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8BCE9">
      <w:pPr>
        <w:pStyle w:val="5"/>
        <w:spacing w:line="278" w:lineRule="auto"/>
        <w:rPr>
          <w:color w:val="auto"/>
          <w:highlight w:val="none"/>
        </w:rPr>
      </w:pPr>
    </w:p>
    <w:p w14:paraId="669BA060">
      <w:pPr>
        <w:pStyle w:val="5"/>
        <w:spacing w:line="279" w:lineRule="auto"/>
        <w:rPr>
          <w:color w:val="auto"/>
          <w:highlight w:val="none"/>
        </w:rPr>
      </w:pPr>
    </w:p>
    <w:p w14:paraId="6638DBA5">
      <w:pPr>
        <w:pStyle w:val="5"/>
        <w:spacing w:line="279" w:lineRule="auto"/>
        <w:rPr>
          <w:color w:val="auto"/>
          <w:highlight w:val="none"/>
        </w:rPr>
      </w:pPr>
    </w:p>
    <w:p w14:paraId="60DA91BF">
      <w:pPr>
        <w:pStyle w:val="5"/>
        <w:spacing w:line="279" w:lineRule="auto"/>
        <w:rPr>
          <w:color w:val="auto"/>
          <w:highlight w:val="none"/>
        </w:rPr>
      </w:pPr>
    </w:p>
    <w:p w14:paraId="69A2C997">
      <w:pPr>
        <w:pStyle w:val="5"/>
        <w:spacing w:line="279" w:lineRule="auto"/>
        <w:rPr>
          <w:color w:val="auto"/>
          <w:highlight w:val="none"/>
        </w:rPr>
      </w:pPr>
    </w:p>
    <w:p w14:paraId="138C78DB">
      <w:pPr>
        <w:pStyle w:val="5"/>
        <w:spacing w:line="279" w:lineRule="auto"/>
        <w:rPr>
          <w:color w:val="auto"/>
          <w:highlight w:val="none"/>
        </w:rPr>
      </w:pPr>
    </w:p>
    <w:p w14:paraId="5116268A">
      <w:pPr>
        <w:tabs>
          <w:tab w:val="left" w:pos="5132"/>
        </w:tabs>
        <w:spacing w:before="104" w:line="221" w:lineRule="auto"/>
        <w:ind w:left="9" w:leftChars="0" w:hanging="9" w:firstLineChars="0"/>
        <w:jc w:val="center"/>
        <w:rPr>
          <w:rFonts w:ascii="宋体" w:hAnsi="宋体" w:eastAsia="宋体" w:cs="宋体"/>
          <w:color w:val="auto"/>
          <w:sz w:val="32"/>
          <w:szCs w:val="32"/>
          <w:highlight w:val="none"/>
        </w:rPr>
      </w:pPr>
      <w:bookmarkStart w:id="0" w:name="EB6cbe765a4abc42f7a96d704a29818f3c"/>
      <w:r>
        <w:rPr>
          <w:rFonts w:hint="eastAsia" w:ascii="宋体" w:hAnsi="宋体" w:eastAsia="宋体" w:cs="宋体"/>
          <w:color w:val="auto"/>
          <w:sz w:val="32"/>
          <w:szCs w:val="32"/>
          <w:highlight w:val="none"/>
          <w:lang w:val="en-US" w:eastAsia="zh-CN"/>
          <w14:textOutline w14:w="5834" w14:cap="flat" w14:cmpd="sng">
            <w14:solidFill>
              <w14:srgbClr w14:val="000000"/>
            </w14:solidFill>
            <w14:prstDash w14:val="solid"/>
            <w14:miter w14:val="0"/>
          </w14:textOutline>
        </w:rPr>
        <w:t xml:space="preserve">     </w:t>
      </w:r>
      <w:bookmarkEnd w:id="0"/>
      <w:r>
        <w:rPr>
          <w:rFonts w:hint="eastAsia" w:ascii="宋体" w:hAnsi="宋体" w:eastAsia="宋体" w:cs="宋体"/>
          <w:color w:val="auto"/>
          <w:sz w:val="32"/>
          <w:szCs w:val="32"/>
          <w:highlight w:val="none"/>
          <w:lang w:eastAsia="zh-CN"/>
          <w14:textOutline w14:w="5834" w14:cap="flat" w14:cmpd="sng">
            <w14:solidFill>
              <w14:srgbClr w14:val="000000"/>
            </w14:solidFill>
            <w14:prstDash w14:val="solid"/>
            <w14:miter w14:val="0"/>
          </w14:textOutline>
        </w:rPr>
        <w:t>国网辽宁营口鲅鱼圈供电分公司运维检修用房项目</w:t>
      </w:r>
      <w:r>
        <w:rPr>
          <w:rFonts w:ascii="宋体" w:hAnsi="宋体" w:eastAsia="宋体" w:cs="宋体"/>
          <w:color w:val="auto"/>
          <w:sz w:val="32"/>
          <w:szCs w:val="32"/>
          <w:highlight w:val="none"/>
        </w:rPr>
        <w:t>（</w:t>
      </w:r>
      <w:r>
        <w:rPr>
          <w:rFonts w:ascii="宋体" w:hAnsi="宋体" w:eastAsia="宋体" w:cs="宋体"/>
          <w:color w:val="auto"/>
          <w:sz w:val="32"/>
          <w:szCs w:val="32"/>
          <w:highlight w:val="none"/>
          <w14:textOutline w14:w="5834" w14:cap="flat" w14:cmpd="sng">
            <w14:solidFill>
              <w14:srgbClr w14:val="000000"/>
            </w14:solidFill>
            <w14:prstDash w14:val="solid"/>
            <w14:miter w14:val="0"/>
          </w14:textOutline>
        </w:rPr>
        <w:t>标段名称</w:t>
      </w:r>
      <w:r>
        <w:rPr>
          <w:rFonts w:ascii="宋体" w:hAnsi="宋体" w:eastAsia="宋体" w:cs="宋体"/>
          <w:color w:val="auto"/>
          <w:sz w:val="32"/>
          <w:szCs w:val="32"/>
          <w:highlight w:val="none"/>
        </w:rPr>
        <w:t>）</w:t>
      </w:r>
    </w:p>
    <w:p w14:paraId="4B085048">
      <w:pPr>
        <w:pStyle w:val="5"/>
        <w:spacing w:line="265" w:lineRule="auto"/>
        <w:rPr>
          <w:color w:val="auto"/>
          <w:highlight w:val="none"/>
        </w:rPr>
      </w:pPr>
    </w:p>
    <w:p w14:paraId="66A98D46">
      <w:pPr>
        <w:pStyle w:val="5"/>
        <w:spacing w:line="266" w:lineRule="auto"/>
        <w:rPr>
          <w:color w:val="auto"/>
          <w:highlight w:val="none"/>
        </w:rPr>
      </w:pPr>
    </w:p>
    <w:p w14:paraId="741D05B4">
      <w:pPr>
        <w:pStyle w:val="5"/>
        <w:spacing w:line="266" w:lineRule="auto"/>
        <w:rPr>
          <w:color w:val="auto"/>
          <w:highlight w:val="none"/>
        </w:rPr>
      </w:pPr>
    </w:p>
    <w:p w14:paraId="3C519443">
      <w:pPr>
        <w:pStyle w:val="5"/>
        <w:spacing w:line="266" w:lineRule="auto"/>
        <w:rPr>
          <w:color w:val="auto"/>
          <w:highlight w:val="none"/>
        </w:rPr>
      </w:pPr>
    </w:p>
    <w:p w14:paraId="55276DFC">
      <w:pPr>
        <w:pStyle w:val="5"/>
        <w:spacing w:line="266" w:lineRule="auto"/>
        <w:rPr>
          <w:color w:val="auto"/>
          <w:highlight w:val="none"/>
        </w:rPr>
      </w:pPr>
    </w:p>
    <w:p w14:paraId="64B4FB24">
      <w:pPr>
        <w:pStyle w:val="5"/>
        <w:spacing w:line="266" w:lineRule="auto"/>
        <w:rPr>
          <w:color w:val="auto"/>
          <w:highlight w:val="none"/>
        </w:rPr>
      </w:pPr>
    </w:p>
    <w:p w14:paraId="007272A1">
      <w:pPr>
        <w:pStyle w:val="5"/>
        <w:spacing w:line="266" w:lineRule="auto"/>
        <w:rPr>
          <w:color w:val="auto"/>
          <w:highlight w:val="none"/>
        </w:rPr>
      </w:pPr>
    </w:p>
    <w:p w14:paraId="1C9D9FC4">
      <w:pPr>
        <w:spacing w:before="234" w:line="219" w:lineRule="auto"/>
        <w:ind w:left="2210"/>
        <w:rPr>
          <w:rFonts w:ascii="黑体" w:hAnsi="黑体" w:eastAsia="黑体" w:cs="黑体"/>
          <w:color w:val="auto"/>
          <w:sz w:val="84"/>
          <w:szCs w:val="84"/>
          <w:highlight w:val="none"/>
        </w:rPr>
      </w:pPr>
      <w:r>
        <w:rPr>
          <w:rFonts w:ascii="黑体" w:hAnsi="黑体" w:eastAsia="黑体" w:cs="黑体"/>
          <w:color w:val="auto"/>
          <w:spacing w:val="-13"/>
          <w:sz w:val="72"/>
          <w:szCs w:val="72"/>
          <w:highlight w:val="none"/>
        </w:rPr>
        <w:t>招 标</w:t>
      </w:r>
      <w:r>
        <w:rPr>
          <w:rFonts w:ascii="黑体" w:hAnsi="黑体" w:eastAsia="黑体" w:cs="黑体"/>
          <w:color w:val="auto"/>
          <w:spacing w:val="39"/>
          <w:sz w:val="72"/>
          <w:szCs w:val="72"/>
          <w:highlight w:val="none"/>
        </w:rPr>
        <w:t xml:space="preserve"> </w:t>
      </w:r>
      <w:r>
        <w:rPr>
          <w:rFonts w:ascii="黑体" w:hAnsi="黑体" w:eastAsia="黑体" w:cs="黑体"/>
          <w:color w:val="auto"/>
          <w:spacing w:val="-13"/>
          <w:sz w:val="72"/>
          <w:szCs w:val="72"/>
          <w:highlight w:val="none"/>
        </w:rPr>
        <w:t>文</w:t>
      </w:r>
      <w:r>
        <w:rPr>
          <w:rFonts w:ascii="黑体" w:hAnsi="黑体" w:eastAsia="黑体" w:cs="黑体"/>
          <w:color w:val="auto"/>
          <w:spacing w:val="23"/>
          <w:sz w:val="72"/>
          <w:szCs w:val="72"/>
          <w:highlight w:val="none"/>
        </w:rPr>
        <w:t xml:space="preserve"> </w:t>
      </w:r>
      <w:r>
        <w:rPr>
          <w:rFonts w:ascii="黑体" w:hAnsi="黑体" w:eastAsia="黑体" w:cs="黑体"/>
          <w:color w:val="auto"/>
          <w:spacing w:val="-13"/>
          <w:sz w:val="72"/>
          <w:szCs w:val="72"/>
          <w:highlight w:val="none"/>
        </w:rPr>
        <w:t>件</w:t>
      </w:r>
    </w:p>
    <w:p w14:paraId="3287A29F">
      <w:pPr>
        <w:pStyle w:val="5"/>
        <w:spacing w:line="307" w:lineRule="auto"/>
        <w:rPr>
          <w:color w:val="auto"/>
          <w:highlight w:val="none"/>
        </w:rPr>
      </w:pPr>
    </w:p>
    <w:p w14:paraId="63C309CE">
      <w:pPr>
        <w:pStyle w:val="5"/>
        <w:spacing w:line="308" w:lineRule="auto"/>
        <w:rPr>
          <w:color w:val="auto"/>
          <w:highlight w:val="none"/>
        </w:rPr>
      </w:pPr>
    </w:p>
    <w:p w14:paraId="72020BC0">
      <w:pPr>
        <w:spacing w:before="88" w:line="371" w:lineRule="auto"/>
        <w:ind w:left="2098"/>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（标段唯一标识码</w:t>
      </w:r>
      <w:r>
        <w:rPr>
          <w:rFonts w:ascii="黑体" w:hAnsi="黑体" w:eastAsia="黑体" w:cs="黑体"/>
          <w:color w:val="auto"/>
          <w:spacing w:val="1"/>
          <w:sz w:val="27"/>
          <w:szCs w:val="27"/>
          <w:highlight w:val="none"/>
          <w:u w:val="single" w:color="auto"/>
        </w:rPr>
        <w:t>：</w:t>
      </w:r>
      <w:r>
        <w:rPr>
          <w:rFonts w:hint="eastAsia" w:ascii="黑体" w:hAnsi="黑体" w:eastAsia="黑体" w:cs="黑体"/>
          <w:color w:val="auto"/>
          <w:spacing w:val="1"/>
          <w:sz w:val="27"/>
          <w:szCs w:val="27"/>
          <w:highlight w:val="none"/>
          <w:u w:val="single" w:color="auto"/>
          <w:lang w:val="en-US" w:eastAsia="zh-CN"/>
        </w:rPr>
        <w:t>xxx</w:t>
      </w:r>
      <w:r>
        <w:rPr>
          <w:rFonts w:ascii="黑体" w:hAnsi="黑体" w:eastAsia="黑体" w:cs="黑体"/>
          <w:color w:val="auto"/>
          <w:spacing w:val="6"/>
          <w:sz w:val="27"/>
          <w:szCs w:val="27"/>
          <w:highlight w:val="none"/>
          <w:u w:val="single" w:color="auto"/>
        </w:rPr>
        <w:t xml:space="preserve">          </w:t>
      </w:r>
      <w:r>
        <w:rPr>
          <w:rFonts w:ascii="黑体" w:hAnsi="黑体" w:eastAsia="黑体" w:cs="黑体"/>
          <w:color w:val="auto"/>
          <w:spacing w:val="1"/>
          <w:sz w:val="27"/>
          <w:szCs w:val="27"/>
          <w:highlight w:val="none"/>
        </w:rPr>
        <w:t>）</w:t>
      </w:r>
    </w:p>
    <w:p w14:paraId="549804E9">
      <w:pPr>
        <w:spacing w:before="1" w:line="223" w:lineRule="auto"/>
        <w:ind w:left="1892"/>
        <w:rPr>
          <w:rFonts w:ascii="黑体" w:hAnsi="黑体" w:eastAsia="黑体" w:cs="黑体"/>
          <w:color w:val="auto"/>
          <w:sz w:val="27"/>
          <w:szCs w:val="27"/>
          <w:highlight w:val="none"/>
        </w:rPr>
      </w:pPr>
      <w:r>
        <w:rPr>
          <w:rFonts w:ascii="黑体" w:hAnsi="黑体" w:eastAsia="黑体" w:cs="黑体"/>
          <w:color w:val="auto"/>
          <w:spacing w:val="-19"/>
          <w:sz w:val="27"/>
          <w:szCs w:val="27"/>
          <w:highlight w:val="none"/>
        </w:rPr>
        <w:t>（标段编号</w:t>
      </w:r>
      <w:r>
        <w:rPr>
          <w:rFonts w:ascii="黑体" w:hAnsi="黑体" w:eastAsia="黑体" w:cs="黑体"/>
          <w:color w:val="auto"/>
          <w:sz w:val="27"/>
          <w:szCs w:val="27"/>
          <w:highlight w:val="none"/>
        </w:rPr>
        <w:t>：</w:t>
      </w:r>
      <w:r>
        <w:rPr>
          <w:rFonts w:ascii="黑体" w:hAnsi="黑体" w:eastAsia="黑体" w:cs="黑体"/>
          <w:color w:val="auto"/>
          <w:spacing w:val="-19"/>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hint="eastAsia" w:ascii="黑体" w:hAnsi="黑体" w:eastAsia="黑体" w:cs="黑体"/>
          <w:color w:val="auto"/>
          <w:spacing w:val="1"/>
          <w:sz w:val="27"/>
          <w:szCs w:val="27"/>
          <w:highlight w:val="none"/>
          <w:u w:val="single" w:color="auto"/>
          <w:lang w:val="en-US" w:eastAsia="zh-CN"/>
        </w:rPr>
        <w:t>xxx</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z w:val="27"/>
          <w:szCs w:val="27"/>
          <w:highlight w:val="none"/>
        </w:rPr>
        <w:t>）</w:t>
      </w:r>
    </w:p>
    <w:p w14:paraId="272464C5">
      <w:pPr>
        <w:pStyle w:val="5"/>
        <w:rPr>
          <w:color w:val="auto"/>
          <w:highlight w:val="none"/>
        </w:rPr>
      </w:pPr>
    </w:p>
    <w:p w14:paraId="10180896">
      <w:pPr>
        <w:pStyle w:val="5"/>
        <w:rPr>
          <w:color w:val="auto"/>
          <w:highlight w:val="none"/>
        </w:rPr>
      </w:pPr>
    </w:p>
    <w:p w14:paraId="620A02E2">
      <w:pPr>
        <w:pStyle w:val="5"/>
        <w:rPr>
          <w:color w:val="auto"/>
          <w:highlight w:val="none"/>
        </w:rPr>
      </w:pPr>
    </w:p>
    <w:p w14:paraId="1C429172">
      <w:pPr>
        <w:pStyle w:val="5"/>
        <w:rPr>
          <w:color w:val="auto"/>
          <w:highlight w:val="none"/>
        </w:rPr>
      </w:pPr>
    </w:p>
    <w:p w14:paraId="073CEEE1">
      <w:pPr>
        <w:pStyle w:val="5"/>
        <w:rPr>
          <w:color w:val="auto"/>
          <w:highlight w:val="none"/>
        </w:rPr>
      </w:pPr>
    </w:p>
    <w:p w14:paraId="24B30328">
      <w:pPr>
        <w:pStyle w:val="5"/>
        <w:rPr>
          <w:color w:val="auto"/>
          <w:highlight w:val="none"/>
        </w:rPr>
      </w:pPr>
    </w:p>
    <w:p w14:paraId="0C7FDAFC">
      <w:pPr>
        <w:pStyle w:val="5"/>
        <w:rPr>
          <w:color w:val="auto"/>
          <w:highlight w:val="none"/>
        </w:rPr>
      </w:pPr>
    </w:p>
    <w:p w14:paraId="640698B8">
      <w:pPr>
        <w:pStyle w:val="5"/>
        <w:rPr>
          <w:color w:val="auto"/>
          <w:highlight w:val="none"/>
        </w:rPr>
      </w:pPr>
    </w:p>
    <w:p w14:paraId="2B4F3926">
      <w:pPr>
        <w:pStyle w:val="5"/>
        <w:rPr>
          <w:color w:val="auto"/>
          <w:highlight w:val="none"/>
        </w:rPr>
      </w:pPr>
    </w:p>
    <w:p w14:paraId="7CA057EB">
      <w:pPr>
        <w:pStyle w:val="5"/>
        <w:rPr>
          <w:color w:val="auto"/>
          <w:highlight w:val="none"/>
        </w:rPr>
      </w:pPr>
    </w:p>
    <w:p w14:paraId="351E748B">
      <w:pPr>
        <w:pStyle w:val="5"/>
        <w:rPr>
          <w:color w:val="auto"/>
          <w:highlight w:val="none"/>
        </w:rPr>
      </w:pPr>
    </w:p>
    <w:p w14:paraId="3F5412A4">
      <w:pPr>
        <w:pStyle w:val="5"/>
        <w:rPr>
          <w:color w:val="auto"/>
          <w:highlight w:val="none"/>
        </w:rPr>
      </w:pPr>
    </w:p>
    <w:p w14:paraId="034CC582">
      <w:pPr>
        <w:pStyle w:val="5"/>
        <w:rPr>
          <w:color w:val="auto"/>
          <w:highlight w:val="none"/>
        </w:rPr>
      </w:pPr>
    </w:p>
    <w:p w14:paraId="25319A00">
      <w:pPr>
        <w:pStyle w:val="5"/>
        <w:rPr>
          <w:color w:val="auto"/>
          <w:highlight w:val="none"/>
        </w:rPr>
      </w:pPr>
    </w:p>
    <w:p w14:paraId="0C78AEE8">
      <w:pPr>
        <w:pStyle w:val="5"/>
        <w:rPr>
          <w:color w:val="auto"/>
          <w:highlight w:val="none"/>
        </w:rPr>
      </w:pPr>
    </w:p>
    <w:p w14:paraId="2DD554B0">
      <w:pPr>
        <w:pStyle w:val="5"/>
        <w:rPr>
          <w:color w:val="auto"/>
          <w:highlight w:val="none"/>
        </w:rPr>
      </w:pPr>
    </w:p>
    <w:p w14:paraId="0067E87E">
      <w:pPr>
        <w:pStyle w:val="5"/>
        <w:spacing w:line="241" w:lineRule="auto"/>
        <w:rPr>
          <w:color w:val="auto"/>
          <w:highlight w:val="none"/>
        </w:rPr>
      </w:pPr>
    </w:p>
    <w:p w14:paraId="6A1C59CE">
      <w:pPr>
        <w:pStyle w:val="5"/>
        <w:spacing w:line="241" w:lineRule="auto"/>
        <w:jc w:val="center"/>
        <w:rPr>
          <w:color w:val="auto"/>
          <w:highlight w:val="none"/>
        </w:rPr>
      </w:pPr>
      <w:r>
        <w:rPr>
          <w:rFonts w:ascii="黑体" w:hAnsi="黑体" w:eastAsia="黑体" w:cs="黑体"/>
          <w:color w:val="auto"/>
          <w:spacing w:val="-12"/>
          <w:sz w:val="27"/>
          <w:szCs w:val="27"/>
          <w:highlight w:val="none"/>
        </w:rPr>
        <w:t>招标人</w:t>
      </w:r>
      <w:r>
        <w:rPr>
          <w:rFonts w:hint="eastAsia" w:ascii="黑体" w:hAnsi="黑体" w:eastAsia="黑体" w:cs="黑体"/>
          <w:color w:val="auto"/>
          <w:spacing w:val="-12"/>
          <w:sz w:val="27"/>
          <w:szCs w:val="27"/>
          <w:highlight w:val="none"/>
          <w:lang w:eastAsia="zh-CN"/>
        </w:rPr>
        <w:t>：国网辽宁省电力有限公司营口供电公司</w:t>
      </w:r>
      <w:r>
        <w:rPr>
          <w:rFonts w:ascii="黑体" w:hAnsi="黑体" w:eastAsia="黑体" w:cs="黑体"/>
          <w:color w:val="auto"/>
          <w:spacing w:val="1"/>
          <w:sz w:val="27"/>
          <w:szCs w:val="27"/>
          <w:highlight w:val="none"/>
        </w:rPr>
        <w:t>（</w:t>
      </w:r>
      <w:r>
        <w:rPr>
          <w:rFonts w:ascii="黑体" w:hAnsi="黑体" w:eastAsia="黑体" w:cs="黑体"/>
          <w:color w:val="auto"/>
          <w:spacing w:val="-12"/>
          <w:sz w:val="27"/>
          <w:szCs w:val="27"/>
          <w:highlight w:val="none"/>
        </w:rPr>
        <w:t>盖章）</w:t>
      </w:r>
    </w:p>
    <w:p w14:paraId="13B901DA">
      <w:pPr>
        <w:spacing w:before="88" w:line="476" w:lineRule="auto"/>
        <w:jc w:val="center"/>
        <w:rPr>
          <w:rFonts w:ascii="黑体" w:hAnsi="黑体" w:eastAsia="黑体" w:cs="黑体"/>
          <w:color w:val="auto"/>
          <w:sz w:val="27"/>
          <w:szCs w:val="27"/>
          <w:highlight w:val="none"/>
        </w:rPr>
      </w:pPr>
      <w:r>
        <w:rPr>
          <w:rFonts w:ascii="黑体" w:hAnsi="黑体" w:eastAsia="黑体" w:cs="黑体"/>
          <w:color w:val="auto"/>
          <w:spacing w:val="-12"/>
          <w:sz w:val="27"/>
          <w:szCs w:val="27"/>
          <w:highlight w:val="none"/>
        </w:rPr>
        <w:t>招标代理机构</w:t>
      </w:r>
      <w:r>
        <w:rPr>
          <w:rFonts w:ascii="黑体" w:hAnsi="黑体" w:eastAsia="黑体" w:cs="黑体"/>
          <w:color w:val="auto"/>
          <w:spacing w:val="1"/>
          <w:sz w:val="27"/>
          <w:szCs w:val="27"/>
          <w:highlight w:val="none"/>
        </w:rPr>
        <w:t>：</w:t>
      </w:r>
      <w:r>
        <w:rPr>
          <w:rFonts w:hint="eastAsia" w:ascii="黑体" w:hAnsi="黑体" w:eastAsia="黑体" w:cs="黑体"/>
          <w:color w:val="auto"/>
          <w:spacing w:val="-12"/>
          <w:sz w:val="27"/>
          <w:szCs w:val="27"/>
          <w:highlight w:val="none"/>
          <w:lang w:eastAsia="zh-CN"/>
        </w:rPr>
        <w:t>辽宁金誉建设工程造价咨询有限责任公司</w:t>
      </w:r>
      <w:r>
        <w:rPr>
          <w:rFonts w:ascii="黑体" w:hAnsi="黑体" w:eastAsia="黑体" w:cs="黑体"/>
          <w:color w:val="auto"/>
          <w:spacing w:val="1"/>
          <w:sz w:val="27"/>
          <w:szCs w:val="27"/>
          <w:highlight w:val="none"/>
        </w:rPr>
        <w:t>（</w:t>
      </w:r>
      <w:r>
        <w:rPr>
          <w:rFonts w:ascii="黑体" w:hAnsi="黑体" w:eastAsia="黑体" w:cs="黑体"/>
          <w:color w:val="auto"/>
          <w:spacing w:val="-12"/>
          <w:sz w:val="27"/>
          <w:szCs w:val="27"/>
          <w:highlight w:val="none"/>
        </w:rPr>
        <w:t>盖章）</w:t>
      </w:r>
    </w:p>
    <w:p w14:paraId="507D8B9F">
      <w:pPr>
        <w:spacing w:before="1" w:line="225" w:lineRule="auto"/>
        <w:ind w:firstLine="1100" w:firstLineChars="500"/>
        <w:rPr>
          <w:rFonts w:hint="eastAsia" w:ascii="黑体" w:hAnsi="黑体" w:eastAsia="黑体" w:cs="黑体"/>
          <w:color w:val="auto"/>
          <w:spacing w:val="-25"/>
          <w:sz w:val="27"/>
          <w:szCs w:val="27"/>
          <w:highlight w:val="none"/>
          <w:lang w:eastAsia="zh-CN"/>
        </w:rPr>
      </w:pPr>
    </w:p>
    <w:p w14:paraId="24EE2461">
      <w:pPr>
        <w:spacing w:before="1" w:line="225" w:lineRule="auto"/>
        <w:ind w:firstLine="1100" w:firstLineChars="500"/>
        <w:rPr>
          <w:rFonts w:ascii="黑体" w:hAnsi="黑体" w:eastAsia="黑体" w:cs="黑体"/>
          <w:color w:val="auto"/>
          <w:spacing w:val="-25"/>
          <w:sz w:val="27"/>
          <w:szCs w:val="27"/>
          <w:highlight w:val="none"/>
        </w:rPr>
      </w:pPr>
    </w:p>
    <w:p w14:paraId="06A3A644">
      <w:pPr>
        <w:spacing w:before="1" w:line="225" w:lineRule="auto"/>
        <w:jc w:val="center"/>
        <w:rPr>
          <w:rFonts w:ascii="黑体" w:hAnsi="黑体" w:eastAsia="黑体" w:cs="黑体"/>
          <w:color w:val="auto"/>
          <w:sz w:val="27"/>
          <w:szCs w:val="27"/>
          <w:highlight w:val="none"/>
        </w:rPr>
      </w:pPr>
      <w:r>
        <w:rPr>
          <w:rFonts w:ascii="黑体" w:hAnsi="黑体" w:eastAsia="黑体" w:cs="黑体"/>
          <w:color w:val="auto"/>
          <w:spacing w:val="-25"/>
          <w:sz w:val="27"/>
          <w:szCs w:val="27"/>
          <w:highlight w:val="none"/>
        </w:rPr>
        <w:t>日</w:t>
      </w:r>
      <w:r>
        <w:rPr>
          <w:rFonts w:ascii="黑体" w:hAnsi="黑体" w:eastAsia="黑体" w:cs="黑体"/>
          <w:color w:val="auto"/>
          <w:spacing w:val="7"/>
          <w:sz w:val="27"/>
          <w:szCs w:val="27"/>
          <w:highlight w:val="none"/>
        </w:rPr>
        <w:t xml:space="preserve">    </w:t>
      </w:r>
      <w:r>
        <w:rPr>
          <w:rFonts w:ascii="黑体" w:hAnsi="黑体" w:eastAsia="黑体" w:cs="黑体"/>
          <w:color w:val="auto"/>
          <w:spacing w:val="-25"/>
          <w:sz w:val="27"/>
          <w:szCs w:val="27"/>
          <w:highlight w:val="none"/>
        </w:rPr>
        <w:t>期：</w:t>
      </w:r>
      <w:r>
        <w:rPr>
          <w:rFonts w:ascii="黑体" w:hAnsi="黑体" w:eastAsia="黑体" w:cs="黑体"/>
          <w:color w:val="auto"/>
          <w:spacing w:val="-34"/>
          <w:sz w:val="27"/>
          <w:szCs w:val="27"/>
          <w:highlight w:val="none"/>
        </w:rPr>
        <w:t xml:space="preserve"> </w:t>
      </w:r>
      <w:r>
        <w:rPr>
          <w:rFonts w:hint="eastAsia" w:ascii="黑体" w:hAnsi="黑体" w:eastAsia="黑体" w:cs="黑体"/>
          <w:color w:val="auto"/>
          <w:spacing w:val="5"/>
          <w:sz w:val="27"/>
          <w:szCs w:val="27"/>
          <w:highlight w:val="none"/>
          <w:u w:val="single" w:color="auto"/>
          <w:lang w:val="en-US" w:eastAsia="zh-CN"/>
        </w:rPr>
        <w:t>2026</w:t>
      </w:r>
      <w:r>
        <w:rPr>
          <w:rFonts w:ascii="黑体" w:hAnsi="黑体" w:eastAsia="黑体" w:cs="黑体"/>
          <w:color w:val="auto"/>
          <w:spacing w:val="-25"/>
          <w:sz w:val="27"/>
          <w:szCs w:val="27"/>
          <w:highlight w:val="none"/>
        </w:rPr>
        <w:t>年</w:t>
      </w:r>
      <w:r>
        <w:rPr>
          <w:rFonts w:hint="eastAsia" w:ascii="黑体" w:hAnsi="黑体" w:eastAsia="黑体" w:cs="黑体"/>
          <w:color w:val="auto"/>
          <w:spacing w:val="5"/>
          <w:sz w:val="27"/>
          <w:szCs w:val="27"/>
          <w:highlight w:val="none"/>
          <w:u w:val="single" w:color="auto"/>
          <w:lang w:val="en-US" w:eastAsia="zh-CN"/>
        </w:rPr>
        <w:t>05</w:t>
      </w:r>
      <w:r>
        <w:rPr>
          <w:rFonts w:ascii="黑体" w:hAnsi="黑体" w:eastAsia="黑体" w:cs="黑体"/>
          <w:color w:val="auto"/>
          <w:spacing w:val="-25"/>
          <w:sz w:val="27"/>
          <w:szCs w:val="27"/>
          <w:highlight w:val="none"/>
        </w:rPr>
        <w:t>月</w:t>
      </w:r>
    </w:p>
    <w:p w14:paraId="4B6D072D">
      <w:pPr>
        <w:spacing w:line="225" w:lineRule="auto"/>
        <w:jc w:val="center"/>
        <w:rPr>
          <w:rFonts w:ascii="黑体" w:hAnsi="黑体" w:eastAsia="黑体" w:cs="黑体"/>
          <w:color w:val="auto"/>
          <w:sz w:val="27"/>
          <w:szCs w:val="27"/>
          <w:highlight w:val="none"/>
        </w:rPr>
        <w:sectPr>
          <w:footerReference r:id="rId5" w:type="default"/>
          <w:pgSz w:w="11905" w:h="16839"/>
          <w:pgMar w:top="1431" w:right="1785" w:bottom="0" w:left="1785" w:header="0" w:footer="0" w:gutter="0"/>
          <w:pgNumType w:fmt="decimal"/>
          <w:cols w:space="720" w:num="1"/>
        </w:sectPr>
      </w:pPr>
    </w:p>
    <w:sdt>
      <w:sdtPr>
        <w:rPr>
          <w:rFonts w:ascii="宋体" w:hAnsi="宋体" w:eastAsia="宋体" w:cs="Arial"/>
          <w:snapToGrid w:val="0"/>
          <w:color w:val="000000"/>
          <w:kern w:val="0"/>
          <w:sz w:val="21"/>
          <w:szCs w:val="21"/>
          <w:lang w:val="en-US" w:eastAsia="en-US" w:bidi="ar-SA"/>
        </w:rPr>
        <w:id w:val="147482253"/>
        <w15:color w:val="DBDBDB"/>
        <w:docPartObj>
          <w:docPartGallery w:val="Table of Contents"/>
          <w:docPartUnique/>
        </w:docPartObj>
      </w:sdtPr>
      <w:sdtEndPr>
        <w:rPr>
          <w:rFonts w:ascii="宋体" w:hAnsi="宋体" w:eastAsia="宋体" w:cs="宋体"/>
          <w:snapToGrid w:val="0"/>
          <w:color w:val="auto"/>
          <w:kern w:val="0"/>
          <w:sz w:val="21"/>
          <w:szCs w:val="21"/>
          <w:highlight w:val="none"/>
          <w:lang w:val="en-US" w:eastAsia="en-US" w:bidi="ar-SA"/>
        </w:rPr>
      </w:sdtEndPr>
      <w:sdtContent>
        <w:p w14:paraId="3B0D1502">
          <w:pPr>
            <w:spacing w:before="0" w:beforeLines="0" w:after="0" w:afterLines="0" w:line="240" w:lineRule="auto"/>
            <w:ind w:left="0" w:leftChars="0" w:right="0" w:rightChars="0" w:firstLine="0" w:firstLineChars="0"/>
            <w:jc w:val="center"/>
          </w:pPr>
          <w:bookmarkStart w:id="1" w:name="bookmark1"/>
          <w:bookmarkEnd w:id="1"/>
          <w:r>
            <w:rPr>
              <w:rFonts w:ascii="宋体" w:hAnsi="宋体" w:eastAsia="宋体"/>
              <w:sz w:val="21"/>
            </w:rPr>
            <w:t>目录</w:t>
          </w:r>
        </w:p>
        <w:p w14:paraId="3A1E412C">
          <w:pPr>
            <w:pStyle w:val="9"/>
            <w:tabs>
              <w:tab w:val="right" w:leader="dot" w:pos="8335"/>
            </w:tabs>
          </w:pPr>
          <w:r>
            <w:rPr>
              <w:rFonts w:ascii="宋体" w:hAnsi="宋体" w:eastAsia="宋体" w:cs="宋体"/>
              <w:color w:val="auto"/>
              <w:sz w:val="21"/>
              <w:szCs w:val="21"/>
              <w:highlight w:val="none"/>
            </w:rPr>
            <w:fldChar w:fldCharType="begin"/>
          </w:r>
          <w:r>
            <w:rPr>
              <w:rFonts w:ascii="宋体" w:hAnsi="宋体" w:eastAsia="宋体" w:cs="宋体"/>
              <w:color w:val="auto"/>
              <w:sz w:val="21"/>
              <w:szCs w:val="21"/>
              <w:highlight w:val="none"/>
            </w:rPr>
            <w:instrText xml:space="preserve">TOC \o "1-3" \h \u </w:instrText>
          </w:r>
          <w:r>
            <w:rPr>
              <w:rFonts w:ascii="宋体" w:hAnsi="宋体" w:eastAsia="宋体" w:cs="宋体"/>
              <w:color w:val="auto"/>
              <w:sz w:val="21"/>
              <w:szCs w:val="21"/>
              <w:highlight w:val="none"/>
            </w:rPr>
            <w:fldChar w:fldCharType="separate"/>
          </w: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_Toc13090 </w:instrText>
          </w:r>
          <w:r>
            <w:rPr>
              <w:rFonts w:ascii="宋体" w:hAnsi="宋体" w:eastAsia="宋体" w:cs="宋体"/>
              <w:szCs w:val="21"/>
              <w:highlight w:val="none"/>
            </w:rPr>
            <w:fldChar w:fldCharType="separate"/>
          </w:r>
          <w:r>
            <w:rPr>
              <w:rFonts w:ascii="黑体" w:hAnsi="黑体" w:eastAsia="黑体" w:cs="黑体"/>
              <w:spacing w:val="-1"/>
              <w:szCs w:val="32"/>
              <w:highlight w:val="none"/>
            </w:rPr>
            <w:t>第一章  招标公告</w:t>
          </w:r>
          <w:r>
            <w:tab/>
          </w:r>
          <w:r>
            <w:fldChar w:fldCharType="begin"/>
          </w:r>
          <w:r>
            <w:instrText xml:space="preserve"> PAGEREF _Toc13090 \h </w:instrText>
          </w:r>
          <w:r>
            <w:fldChar w:fldCharType="separate"/>
          </w:r>
          <w:r>
            <w:t>1</w:t>
          </w:r>
          <w:r>
            <w:fldChar w:fldCharType="end"/>
          </w:r>
          <w:r>
            <w:rPr>
              <w:rFonts w:ascii="宋体" w:hAnsi="宋体" w:eastAsia="宋体" w:cs="宋体"/>
              <w:color w:val="auto"/>
              <w:szCs w:val="21"/>
              <w:highlight w:val="none"/>
            </w:rPr>
            <w:fldChar w:fldCharType="end"/>
          </w:r>
        </w:p>
        <w:p w14:paraId="24E939C8">
          <w:pPr>
            <w:pStyle w:val="9"/>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_Toc2445 </w:instrText>
          </w:r>
          <w:r>
            <w:rPr>
              <w:rFonts w:ascii="宋体" w:hAnsi="宋体" w:eastAsia="宋体" w:cs="宋体"/>
              <w:szCs w:val="21"/>
              <w:highlight w:val="none"/>
            </w:rPr>
            <w:fldChar w:fldCharType="separate"/>
          </w:r>
          <w:r>
            <w:rPr>
              <w:rFonts w:ascii="黑体" w:hAnsi="黑体" w:eastAsia="黑体" w:cs="黑体"/>
              <w:spacing w:val="-1"/>
              <w:szCs w:val="32"/>
              <w:highlight w:val="none"/>
            </w:rPr>
            <w:t>第二章  投标人须知</w:t>
          </w:r>
          <w:r>
            <w:tab/>
          </w:r>
          <w:r>
            <w:fldChar w:fldCharType="begin"/>
          </w:r>
          <w:r>
            <w:instrText xml:space="preserve"> PAGEREF _Toc2445 \h </w:instrText>
          </w:r>
          <w:r>
            <w:fldChar w:fldCharType="separate"/>
          </w:r>
          <w:r>
            <w:t>4</w:t>
          </w:r>
          <w:r>
            <w:fldChar w:fldCharType="end"/>
          </w:r>
          <w:r>
            <w:rPr>
              <w:rFonts w:ascii="宋体" w:hAnsi="宋体" w:eastAsia="宋体" w:cs="宋体"/>
              <w:color w:val="auto"/>
              <w:szCs w:val="21"/>
              <w:highlight w:val="none"/>
            </w:rPr>
            <w:fldChar w:fldCharType="end"/>
          </w:r>
        </w:p>
        <w:p w14:paraId="3B1287EC">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_Toc20187 </w:instrText>
          </w:r>
          <w:r>
            <w:rPr>
              <w:rFonts w:ascii="宋体" w:hAnsi="宋体" w:eastAsia="宋体" w:cs="宋体"/>
              <w:szCs w:val="21"/>
              <w:highlight w:val="none"/>
            </w:rPr>
            <w:fldChar w:fldCharType="separate"/>
          </w:r>
          <w:r>
            <w:rPr>
              <w:rFonts w:ascii="黑体" w:hAnsi="黑体" w:eastAsia="黑体" w:cs="黑体"/>
              <w:spacing w:val="8"/>
              <w:szCs w:val="27"/>
              <w:highlight w:val="none"/>
            </w:rPr>
            <w:t>投标人须知前附表</w:t>
          </w:r>
          <w:r>
            <w:tab/>
          </w:r>
          <w:r>
            <w:fldChar w:fldCharType="begin"/>
          </w:r>
          <w:r>
            <w:instrText xml:space="preserve"> PAGEREF _Toc20187 \h </w:instrText>
          </w:r>
          <w:r>
            <w:fldChar w:fldCharType="separate"/>
          </w:r>
          <w:r>
            <w:t>5</w:t>
          </w:r>
          <w:r>
            <w:fldChar w:fldCharType="end"/>
          </w:r>
          <w:r>
            <w:rPr>
              <w:rFonts w:ascii="宋体" w:hAnsi="宋体" w:eastAsia="宋体" w:cs="宋体"/>
              <w:color w:val="auto"/>
              <w:szCs w:val="21"/>
              <w:highlight w:val="none"/>
            </w:rPr>
            <w:fldChar w:fldCharType="end"/>
          </w:r>
        </w:p>
        <w:p w14:paraId="2DEB1A3D">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_Toc31280 </w:instrText>
          </w:r>
          <w:r>
            <w:rPr>
              <w:rFonts w:ascii="宋体" w:hAnsi="宋体" w:eastAsia="宋体" w:cs="宋体"/>
              <w:szCs w:val="21"/>
              <w:highlight w:val="none"/>
            </w:rPr>
            <w:fldChar w:fldCharType="separate"/>
          </w:r>
          <w:r>
            <w:rPr>
              <w:rFonts w:ascii="黑体" w:hAnsi="黑体" w:eastAsia="黑体" w:cs="黑体"/>
              <w:spacing w:val="8"/>
              <w:szCs w:val="27"/>
              <w:highlight w:val="none"/>
            </w:rPr>
            <w:t>投标人须知正文部分</w:t>
          </w:r>
          <w:r>
            <w:tab/>
          </w:r>
          <w:r>
            <w:fldChar w:fldCharType="begin"/>
          </w:r>
          <w:r>
            <w:instrText xml:space="preserve"> PAGEREF _Toc31280 \h </w:instrText>
          </w:r>
          <w:r>
            <w:fldChar w:fldCharType="separate"/>
          </w:r>
          <w:r>
            <w:t>17</w:t>
          </w:r>
          <w:r>
            <w:fldChar w:fldCharType="end"/>
          </w:r>
          <w:r>
            <w:rPr>
              <w:rFonts w:ascii="宋体" w:hAnsi="宋体" w:eastAsia="宋体" w:cs="宋体"/>
              <w:color w:val="auto"/>
              <w:szCs w:val="21"/>
              <w:highlight w:val="none"/>
            </w:rPr>
            <w:fldChar w:fldCharType="end"/>
          </w:r>
        </w:p>
        <w:p w14:paraId="4F08F056">
          <w:pPr>
            <w:pStyle w:val="9"/>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_Toc18341 </w:instrText>
          </w:r>
          <w:r>
            <w:rPr>
              <w:rFonts w:ascii="宋体" w:hAnsi="宋体" w:eastAsia="宋体" w:cs="宋体"/>
              <w:szCs w:val="21"/>
              <w:highlight w:val="none"/>
            </w:rPr>
            <w:fldChar w:fldCharType="separate"/>
          </w:r>
          <w:r>
            <w:rPr>
              <w:rFonts w:ascii="黑体" w:hAnsi="黑体" w:eastAsia="黑体" w:cs="黑体"/>
              <w:spacing w:val="-1"/>
              <w:szCs w:val="32"/>
              <w:highlight w:val="none"/>
            </w:rPr>
            <w:t>第三章  评标办法</w:t>
          </w:r>
          <w:r>
            <w:tab/>
          </w:r>
          <w:r>
            <w:fldChar w:fldCharType="begin"/>
          </w:r>
          <w:r>
            <w:instrText xml:space="preserve"> PAGEREF _Toc18341 \h </w:instrText>
          </w:r>
          <w:r>
            <w:fldChar w:fldCharType="separate"/>
          </w:r>
          <w:r>
            <w:t>42</w:t>
          </w:r>
          <w:r>
            <w:fldChar w:fldCharType="end"/>
          </w:r>
          <w:r>
            <w:rPr>
              <w:rFonts w:ascii="宋体" w:hAnsi="宋体" w:eastAsia="宋体" w:cs="宋体"/>
              <w:color w:val="auto"/>
              <w:szCs w:val="21"/>
              <w:highlight w:val="none"/>
            </w:rPr>
            <w:fldChar w:fldCharType="end"/>
          </w:r>
        </w:p>
        <w:p w14:paraId="5D70005C">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_Toc27994 </w:instrText>
          </w:r>
          <w:r>
            <w:rPr>
              <w:rFonts w:ascii="宋体" w:hAnsi="宋体" w:eastAsia="宋体" w:cs="宋体"/>
              <w:szCs w:val="21"/>
              <w:highlight w:val="none"/>
            </w:rPr>
            <w:fldChar w:fldCharType="separate"/>
          </w:r>
          <w:r>
            <w:rPr>
              <w:rFonts w:hint="eastAsia"/>
              <w:highlight w:val="none"/>
            </w:rPr>
            <w:t>评标办法前附表（综合评估法）</w:t>
          </w:r>
          <w:r>
            <w:tab/>
          </w:r>
          <w:r>
            <w:fldChar w:fldCharType="begin"/>
          </w:r>
          <w:r>
            <w:instrText xml:space="preserve"> PAGEREF _Toc27994 \h </w:instrText>
          </w:r>
          <w:r>
            <w:fldChar w:fldCharType="separate"/>
          </w:r>
          <w:r>
            <w:t>43</w:t>
          </w:r>
          <w:r>
            <w:fldChar w:fldCharType="end"/>
          </w:r>
          <w:r>
            <w:rPr>
              <w:rFonts w:ascii="宋体" w:hAnsi="宋体" w:eastAsia="宋体" w:cs="宋体"/>
              <w:color w:val="auto"/>
              <w:szCs w:val="21"/>
              <w:highlight w:val="none"/>
            </w:rPr>
            <w:fldChar w:fldCharType="end"/>
          </w:r>
        </w:p>
        <w:p w14:paraId="4AE1E92A">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_Toc7346 </w:instrText>
          </w:r>
          <w:r>
            <w:rPr>
              <w:rFonts w:ascii="宋体" w:hAnsi="宋体" w:eastAsia="宋体" w:cs="宋体"/>
              <w:szCs w:val="21"/>
              <w:highlight w:val="none"/>
            </w:rPr>
            <w:fldChar w:fldCharType="separate"/>
          </w:r>
          <w:r>
            <w:rPr>
              <w:rFonts w:hint="eastAsia"/>
              <w:highlight w:val="none"/>
            </w:rPr>
            <w:t>评标办法正文部分</w:t>
          </w:r>
          <w:r>
            <w:tab/>
          </w:r>
          <w:r>
            <w:fldChar w:fldCharType="begin"/>
          </w:r>
          <w:r>
            <w:instrText xml:space="preserve"> PAGEREF _Toc7346 \h </w:instrText>
          </w:r>
          <w:r>
            <w:fldChar w:fldCharType="separate"/>
          </w:r>
          <w:r>
            <w:t>57</w:t>
          </w:r>
          <w:r>
            <w:fldChar w:fldCharType="end"/>
          </w:r>
          <w:r>
            <w:rPr>
              <w:rFonts w:ascii="宋体" w:hAnsi="宋体" w:eastAsia="宋体" w:cs="宋体"/>
              <w:color w:val="auto"/>
              <w:szCs w:val="21"/>
              <w:highlight w:val="none"/>
            </w:rPr>
            <w:fldChar w:fldCharType="end"/>
          </w:r>
        </w:p>
        <w:p w14:paraId="2E091693">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_Toc3379 </w:instrText>
          </w:r>
          <w:r>
            <w:rPr>
              <w:rFonts w:ascii="宋体" w:hAnsi="宋体" w:eastAsia="宋体" w:cs="宋体"/>
              <w:szCs w:val="21"/>
              <w:highlight w:val="none"/>
            </w:rPr>
            <w:fldChar w:fldCharType="separate"/>
          </w:r>
          <w:r>
            <w:rPr>
              <w:rFonts w:hint="eastAsia"/>
              <w:highlight w:val="none"/>
            </w:rPr>
            <w:t>1. 评标方法</w:t>
          </w:r>
          <w:r>
            <w:tab/>
          </w:r>
          <w:r>
            <w:fldChar w:fldCharType="begin"/>
          </w:r>
          <w:r>
            <w:instrText xml:space="preserve"> PAGEREF _Toc3379 \h </w:instrText>
          </w:r>
          <w:r>
            <w:fldChar w:fldCharType="separate"/>
          </w:r>
          <w:r>
            <w:t>57</w:t>
          </w:r>
          <w:r>
            <w:fldChar w:fldCharType="end"/>
          </w:r>
          <w:r>
            <w:rPr>
              <w:rFonts w:ascii="宋体" w:hAnsi="宋体" w:eastAsia="宋体" w:cs="宋体"/>
              <w:color w:val="auto"/>
              <w:szCs w:val="21"/>
              <w:highlight w:val="none"/>
            </w:rPr>
            <w:fldChar w:fldCharType="end"/>
          </w:r>
        </w:p>
        <w:p w14:paraId="38C36BD6">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_Toc24643 </w:instrText>
          </w:r>
          <w:r>
            <w:rPr>
              <w:rFonts w:ascii="宋体" w:hAnsi="宋体" w:eastAsia="宋体" w:cs="宋体"/>
              <w:szCs w:val="21"/>
              <w:highlight w:val="none"/>
            </w:rPr>
            <w:fldChar w:fldCharType="separate"/>
          </w:r>
          <w:r>
            <w:rPr>
              <w:rFonts w:hint="eastAsia"/>
              <w:highlight w:val="none"/>
            </w:rPr>
            <w:t>2. 评审标准</w:t>
          </w:r>
          <w:r>
            <w:tab/>
          </w:r>
          <w:r>
            <w:fldChar w:fldCharType="begin"/>
          </w:r>
          <w:r>
            <w:instrText xml:space="preserve"> PAGEREF _Toc24643 \h </w:instrText>
          </w:r>
          <w:r>
            <w:fldChar w:fldCharType="separate"/>
          </w:r>
          <w:r>
            <w:t>57</w:t>
          </w:r>
          <w:r>
            <w:fldChar w:fldCharType="end"/>
          </w:r>
          <w:r>
            <w:rPr>
              <w:rFonts w:ascii="宋体" w:hAnsi="宋体" w:eastAsia="宋体" w:cs="宋体"/>
              <w:color w:val="auto"/>
              <w:szCs w:val="21"/>
              <w:highlight w:val="none"/>
            </w:rPr>
            <w:fldChar w:fldCharType="end"/>
          </w:r>
        </w:p>
        <w:p w14:paraId="0F08397A">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_Toc22735 </w:instrText>
          </w:r>
          <w:r>
            <w:rPr>
              <w:rFonts w:ascii="宋体" w:hAnsi="宋体" w:eastAsia="宋体" w:cs="宋体"/>
              <w:szCs w:val="21"/>
              <w:highlight w:val="none"/>
            </w:rPr>
            <w:fldChar w:fldCharType="separate"/>
          </w:r>
          <w:r>
            <w:rPr>
              <w:rFonts w:hint="eastAsia"/>
              <w:highlight w:val="none"/>
            </w:rPr>
            <w:t>2.1 初步评审标准</w:t>
          </w:r>
          <w:r>
            <w:tab/>
          </w:r>
          <w:r>
            <w:fldChar w:fldCharType="begin"/>
          </w:r>
          <w:r>
            <w:instrText xml:space="preserve"> PAGEREF _Toc22735 \h </w:instrText>
          </w:r>
          <w:r>
            <w:fldChar w:fldCharType="separate"/>
          </w:r>
          <w:r>
            <w:t>57</w:t>
          </w:r>
          <w:r>
            <w:fldChar w:fldCharType="end"/>
          </w:r>
          <w:r>
            <w:rPr>
              <w:rFonts w:ascii="宋体" w:hAnsi="宋体" w:eastAsia="宋体" w:cs="宋体"/>
              <w:color w:val="auto"/>
              <w:szCs w:val="21"/>
              <w:highlight w:val="none"/>
            </w:rPr>
            <w:fldChar w:fldCharType="end"/>
          </w:r>
        </w:p>
        <w:p w14:paraId="01DAC963">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_Toc15268 </w:instrText>
          </w:r>
          <w:r>
            <w:rPr>
              <w:rFonts w:ascii="宋体" w:hAnsi="宋体" w:eastAsia="宋体" w:cs="宋体"/>
              <w:szCs w:val="21"/>
              <w:highlight w:val="none"/>
            </w:rPr>
            <w:fldChar w:fldCharType="separate"/>
          </w:r>
          <w:r>
            <w:rPr>
              <w:rFonts w:hint="eastAsia"/>
              <w:highlight w:val="none"/>
            </w:rPr>
            <w:t>2.2 分值构成与评分标准</w:t>
          </w:r>
          <w:r>
            <w:tab/>
          </w:r>
          <w:r>
            <w:fldChar w:fldCharType="begin"/>
          </w:r>
          <w:r>
            <w:instrText xml:space="preserve"> PAGEREF _Toc15268 \h </w:instrText>
          </w:r>
          <w:r>
            <w:fldChar w:fldCharType="separate"/>
          </w:r>
          <w:r>
            <w:t>57</w:t>
          </w:r>
          <w:r>
            <w:fldChar w:fldCharType="end"/>
          </w:r>
          <w:r>
            <w:rPr>
              <w:rFonts w:ascii="宋体" w:hAnsi="宋体" w:eastAsia="宋体" w:cs="宋体"/>
              <w:color w:val="auto"/>
              <w:szCs w:val="21"/>
              <w:highlight w:val="none"/>
            </w:rPr>
            <w:fldChar w:fldCharType="end"/>
          </w:r>
        </w:p>
        <w:p w14:paraId="6524CDB4">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_Toc2216 </w:instrText>
          </w:r>
          <w:r>
            <w:rPr>
              <w:rFonts w:ascii="宋体" w:hAnsi="宋体" w:eastAsia="宋体" w:cs="宋体"/>
              <w:szCs w:val="21"/>
              <w:highlight w:val="none"/>
            </w:rPr>
            <w:fldChar w:fldCharType="separate"/>
          </w:r>
          <w:r>
            <w:rPr>
              <w:rFonts w:hint="eastAsia"/>
              <w:highlight w:val="none"/>
            </w:rPr>
            <w:t>3. 评标程序</w:t>
          </w:r>
          <w:r>
            <w:tab/>
          </w:r>
          <w:r>
            <w:fldChar w:fldCharType="begin"/>
          </w:r>
          <w:r>
            <w:instrText xml:space="preserve"> PAGEREF _Toc2216 \h </w:instrText>
          </w:r>
          <w:r>
            <w:fldChar w:fldCharType="separate"/>
          </w:r>
          <w:r>
            <w:t>57</w:t>
          </w:r>
          <w:r>
            <w:fldChar w:fldCharType="end"/>
          </w:r>
          <w:r>
            <w:rPr>
              <w:rFonts w:ascii="宋体" w:hAnsi="宋体" w:eastAsia="宋体" w:cs="宋体"/>
              <w:color w:val="auto"/>
              <w:szCs w:val="21"/>
              <w:highlight w:val="none"/>
            </w:rPr>
            <w:fldChar w:fldCharType="end"/>
          </w:r>
        </w:p>
        <w:p w14:paraId="49D7F172">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_Toc28740 </w:instrText>
          </w:r>
          <w:r>
            <w:rPr>
              <w:rFonts w:ascii="宋体" w:hAnsi="宋体" w:eastAsia="宋体" w:cs="宋体"/>
              <w:szCs w:val="21"/>
              <w:highlight w:val="none"/>
            </w:rPr>
            <w:fldChar w:fldCharType="separate"/>
          </w:r>
          <w:r>
            <w:rPr>
              <w:rFonts w:hint="eastAsia"/>
              <w:highlight w:val="none"/>
            </w:rPr>
            <w:t>3.1 初步评审</w:t>
          </w:r>
          <w:r>
            <w:tab/>
          </w:r>
          <w:r>
            <w:fldChar w:fldCharType="begin"/>
          </w:r>
          <w:r>
            <w:instrText xml:space="preserve"> PAGEREF _Toc28740 \h </w:instrText>
          </w:r>
          <w:r>
            <w:fldChar w:fldCharType="separate"/>
          </w:r>
          <w:r>
            <w:t>57</w:t>
          </w:r>
          <w:r>
            <w:fldChar w:fldCharType="end"/>
          </w:r>
          <w:r>
            <w:rPr>
              <w:rFonts w:ascii="宋体" w:hAnsi="宋体" w:eastAsia="宋体" w:cs="宋体"/>
              <w:color w:val="auto"/>
              <w:szCs w:val="21"/>
              <w:highlight w:val="none"/>
            </w:rPr>
            <w:fldChar w:fldCharType="end"/>
          </w:r>
        </w:p>
        <w:p w14:paraId="2448D3A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_Toc32738 </w:instrText>
          </w:r>
          <w:r>
            <w:rPr>
              <w:rFonts w:ascii="宋体" w:hAnsi="宋体" w:eastAsia="宋体" w:cs="宋体"/>
              <w:szCs w:val="21"/>
              <w:highlight w:val="none"/>
            </w:rPr>
            <w:fldChar w:fldCharType="separate"/>
          </w:r>
          <w:r>
            <w:rPr>
              <w:rFonts w:hint="eastAsia"/>
              <w:highlight w:val="none"/>
            </w:rPr>
            <w:t>3.2 详细评审</w:t>
          </w:r>
          <w:r>
            <w:tab/>
          </w:r>
          <w:r>
            <w:fldChar w:fldCharType="begin"/>
          </w:r>
          <w:r>
            <w:instrText xml:space="preserve"> PAGEREF _Toc32738 \h </w:instrText>
          </w:r>
          <w:r>
            <w:fldChar w:fldCharType="separate"/>
          </w:r>
          <w:r>
            <w:t>58</w:t>
          </w:r>
          <w:r>
            <w:fldChar w:fldCharType="end"/>
          </w:r>
          <w:r>
            <w:rPr>
              <w:rFonts w:ascii="宋体" w:hAnsi="宋体" w:eastAsia="宋体" w:cs="宋体"/>
              <w:color w:val="auto"/>
              <w:szCs w:val="21"/>
              <w:highlight w:val="none"/>
            </w:rPr>
            <w:fldChar w:fldCharType="end"/>
          </w:r>
        </w:p>
        <w:p w14:paraId="75C1355A">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_Toc9826 </w:instrText>
          </w:r>
          <w:r>
            <w:rPr>
              <w:rFonts w:ascii="宋体" w:hAnsi="宋体" w:eastAsia="宋体" w:cs="宋体"/>
              <w:szCs w:val="21"/>
              <w:highlight w:val="none"/>
            </w:rPr>
            <w:fldChar w:fldCharType="separate"/>
          </w:r>
          <w:r>
            <w:rPr>
              <w:rFonts w:hint="eastAsia"/>
              <w:highlight w:val="none"/>
            </w:rPr>
            <w:t>3.3 投标文件的澄清和补正</w:t>
          </w:r>
          <w:r>
            <w:tab/>
          </w:r>
          <w:r>
            <w:fldChar w:fldCharType="begin"/>
          </w:r>
          <w:r>
            <w:instrText xml:space="preserve"> PAGEREF _Toc9826 \h </w:instrText>
          </w:r>
          <w:r>
            <w:fldChar w:fldCharType="separate"/>
          </w:r>
          <w:r>
            <w:t>59</w:t>
          </w:r>
          <w:r>
            <w:fldChar w:fldCharType="end"/>
          </w:r>
          <w:r>
            <w:rPr>
              <w:rFonts w:ascii="宋体" w:hAnsi="宋体" w:eastAsia="宋体" w:cs="宋体"/>
              <w:color w:val="auto"/>
              <w:szCs w:val="21"/>
              <w:highlight w:val="none"/>
            </w:rPr>
            <w:fldChar w:fldCharType="end"/>
          </w:r>
        </w:p>
        <w:p w14:paraId="1CD7F606">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_Toc30920 </w:instrText>
          </w:r>
          <w:r>
            <w:rPr>
              <w:rFonts w:ascii="宋体" w:hAnsi="宋体" w:eastAsia="宋体" w:cs="宋体"/>
              <w:szCs w:val="21"/>
              <w:highlight w:val="none"/>
            </w:rPr>
            <w:fldChar w:fldCharType="separate"/>
          </w:r>
          <w:r>
            <w:rPr>
              <w:rFonts w:hint="eastAsia"/>
              <w:highlight w:val="none"/>
            </w:rPr>
            <w:t>3.4 评标结果</w:t>
          </w:r>
          <w:r>
            <w:tab/>
          </w:r>
          <w:r>
            <w:fldChar w:fldCharType="begin"/>
          </w:r>
          <w:r>
            <w:instrText xml:space="preserve"> PAGEREF _Toc30920 \h </w:instrText>
          </w:r>
          <w:r>
            <w:fldChar w:fldCharType="separate"/>
          </w:r>
          <w:r>
            <w:t>59</w:t>
          </w:r>
          <w:r>
            <w:fldChar w:fldCharType="end"/>
          </w:r>
          <w:r>
            <w:rPr>
              <w:rFonts w:ascii="宋体" w:hAnsi="宋体" w:eastAsia="宋体" w:cs="宋体"/>
              <w:color w:val="auto"/>
              <w:szCs w:val="21"/>
              <w:highlight w:val="none"/>
            </w:rPr>
            <w:fldChar w:fldCharType="end"/>
          </w:r>
        </w:p>
        <w:p w14:paraId="2F065CE1">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_Toc7700 </w:instrText>
          </w:r>
          <w:r>
            <w:rPr>
              <w:rFonts w:ascii="宋体" w:hAnsi="宋体" w:eastAsia="宋体" w:cs="宋体"/>
              <w:szCs w:val="21"/>
              <w:highlight w:val="none"/>
            </w:rPr>
            <w:fldChar w:fldCharType="separate"/>
          </w:r>
          <w:r>
            <w:rPr>
              <w:rFonts w:hint="eastAsia"/>
              <w:szCs w:val="24"/>
              <w:highlight w:val="none"/>
            </w:rPr>
            <w:t>附件A：评标详细程序</w:t>
          </w:r>
          <w:r>
            <w:tab/>
          </w:r>
          <w:r>
            <w:fldChar w:fldCharType="begin"/>
          </w:r>
          <w:r>
            <w:instrText xml:space="preserve"> PAGEREF _Toc7700 \h </w:instrText>
          </w:r>
          <w:r>
            <w:fldChar w:fldCharType="separate"/>
          </w:r>
          <w:r>
            <w:t>60</w:t>
          </w:r>
          <w:r>
            <w:fldChar w:fldCharType="end"/>
          </w:r>
          <w:r>
            <w:rPr>
              <w:rFonts w:ascii="宋体" w:hAnsi="宋体" w:eastAsia="宋体" w:cs="宋体"/>
              <w:color w:val="auto"/>
              <w:szCs w:val="21"/>
              <w:highlight w:val="none"/>
            </w:rPr>
            <w:fldChar w:fldCharType="end"/>
          </w:r>
        </w:p>
        <w:p w14:paraId="04EF2087">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_Toc20006 </w:instrText>
          </w:r>
          <w:r>
            <w:rPr>
              <w:rFonts w:ascii="宋体" w:hAnsi="宋体" w:eastAsia="宋体" w:cs="宋体"/>
              <w:szCs w:val="21"/>
              <w:highlight w:val="none"/>
            </w:rPr>
            <w:fldChar w:fldCharType="separate"/>
          </w:r>
          <w:r>
            <w:rPr>
              <w:rFonts w:hint="eastAsia"/>
              <w:highlight w:val="none"/>
            </w:rPr>
            <w:t>A0.总  则</w:t>
          </w:r>
          <w:r>
            <w:tab/>
          </w:r>
          <w:r>
            <w:fldChar w:fldCharType="begin"/>
          </w:r>
          <w:r>
            <w:instrText xml:space="preserve"> PAGEREF _Toc20006 \h </w:instrText>
          </w:r>
          <w:r>
            <w:fldChar w:fldCharType="separate"/>
          </w:r>
          <w:r>
            <w:t>60</w:t>
          </w:r>
          <w:r>
            <w:fldChar w:fldCharType="end"/>
          </w:r>
          <w:r>
            <w:rPr>
              <w:rFonts w:ascii="宋体" w:hAnsi="宋体" w:eastAsia="宋体" w:cs="宋体"/>
              <w:color w:val="auto"/>
              <w:szCs w:val="21"/>
              <w:highlight w:val="none"/>
            </w:rPr>
            <w:fldChar w:fldCharType="end"/>
          </w:r>
        </w:p>
        <w:p w14:paraId="3BA0B456">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_Toc15810 </w:instrText>
          </w:r>
          <w:r>
            <w:rPr>
              <w:rFonts w:ascii="宋体" w:hAnsi="宋体" w:eastAsia="宋体" w:cs="宋体"/>
              <w:szCs w:val="21"/>
              <w:highlight w:val="none"/>
            </w:rPr>
            <w:fldChar w:fldCharType="separate"/>
          </w:r>
          <w:r>
            <w:rPr>
              <w:rFonts w:hint="eastAsia"/>
              <w:highlight w:val="none"/>
            </w:rPr>
            <w:t>A1.基本程序</w:t>
          </w:r>
          <w:r>
            <w:tab/>
          </w:r>
          <w:r>
            <w:fldChar w:fldCharType="begin"/>
          </w:r>
          <w:r>
            <w:instrText xml:space="preserve"> PAGEREF _Toc15810 \h </w:instrText>
          </w:r>
          <w:r>
            <w:fldChar w:fldCharType="separate"/>
          </w:r>
          <w:r>
            <w:t>60</w:t>
          </w:r>
          <w:r>
            <w:fldChar w:fldCharType="end"/>
          </w:r>
          <w:r>
            <w:rPr>
              <w:rFonts w:ascii="宋体" w:hAnsi="宋体" w:eastAsia="宋体" w:cs="宋体"/>
              <w:color w:val="auto"/>
              <w:szCs w:val="21"/>
              <w:highlight w:val="none"/>
            </w:rPr>
            <w:fldChar w:fldCharType="end"/>
          </w:r>
        </w:p>
        <w:p w14:paraId="10512140">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_Toc4196 </w:instrText>
          </w:r>
          <w:r>
            <w:rPr>
              <w:rFonts w:ascii="宋体" w:hAnsi="宋体" w:eastAsia="宋体" w:cs="宋体"/>
              <w:szCs w:val="21"/>
              <w:highlight w:val="none"/>
            </w:rPr>
            <w:fldChar w:fldCharType="separate"/>
          </w:r>
          <w:r>
            <w:rPr>
              <w:rFonts w:hint="eastAsia"/>
              <w:highlight w:val="none"/>
            </w:rPr>
            <w:t>A2.评标准备</w:t>
          </w:r>
          <w:r>
            <w:tab/>
          </w:r>
          <w:r>
            <w:fldChar w:fldCharType="begin"/>
          </w:r>
          <w:r>
            <w:instrText xml:space="preserve"> PAGEREF _Toc4196 \h </w:instrText>
          </w:r>
          <w:r>
            <w:fldChar w:fldCharType="separate"/>
          </w:r>
          <w:r>
            <w:t>60</w:t>
          </w:r>
          <w:r>
            <w:fldChar w:fldCharType="end"/>
          </w:r>
          <w:r>
            <w:rPr>
              <w:rFonts w:ascii="宋体" w:hAnsi="宋体" w:eastAsia="宋体" w:cs="宋体"/>
              <w:color w:val="auto"/>
              <w:szCs w:val="21"/>
              <w:highlight w:val="none"/>
            </w:rPr>
            <w:fldChar w:fldCharType="end"/>
          </w:r>
        </w:p>
        <w:p w14:paraId="2A45C50D">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_Toc4430 </w:instrText>
          </w:r>
          <w:r>
            <w:rPr>
              <w:rFonts w:ascii="宋体" w:hAnsi="宋体" w:eastAsia="宋体" w:cs="宋体"/>
              <w:szCs w:val="21"/>
              <w:highlight w:val="none"/>
            </w:rPr>
            <w:fldChar w:fldCharType="separate"/>
          </w:r>
          <w:r>
            <w:rPr>
              <w:rFonts w:hint="eastAsia"/>
              <w:bCs/>
              <w:szCs w:val="21"/>
              <w:highlight w:val="none"/>
            </w:rPr>
            <w:t>A2.1评标委员会成员签到</w:t>
          </w:r>
          <w:r>
            <w:tab/>
          </w:r>
          <w:r>
            <w:fldChar w:fldCharType="begin"/>
          </w:r>
          <w:r>
            <w:instrText xml:space="preserve"> PAGEREF _Toc4430 \h </w:instrText>
          </w:r>
          <w:r>
            <w:fldChar w:fldCharType="separate"/>
          </w:r>
          <w:r>
            <w:t>60</w:t>
          </w:r>
          <w:r>
            <w:fldChar w:fldCharType="end"/>
          </w:r>
          <w:r>
            <w:rPr>
              <w:rFonts w:ascii="宋体" w:hAnsi="宋体" w:eastAsia="宋体" w:cs="宋体"/>
              <w:color w:val="auto"/>
              <w:szCs w:val="21"/>
              <w:highlight w:val="none"/>
            </w:rPr>
            <w:fldChar w:fldCharType="end"/>
          </w:r>
        </w:p>
        <w:p w14:paraId="2101279B">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_Toc19602 </w:instrText>
          </w:r>
          <w:r>
            <w:rPr>
              <w:rFonts w:ascii="宋体" w:hAnsi="宋体" w:eastAsia="宋体" w:cs="宋体"/>
              <w:szCs w:val="21"/>
              <w:highlight w:val="none"/>
            </w:rPr>
            <w:fldChar w:fldCharType="separate"/>
          </w:r>
          <w:r>
            <w:rPr>
              <w:rFonts w:hint="eastAsia"/>
              <w:bCs/>
              <w:szCs w:val="21"/>
              <w:highlight w:val="none"/>
            </w:rPr>
            <w:t>A2.2评标委员会的分工</w:t>
          </w:r>
          <w:r>
            <w:tab/>
          </w:r>
          <w:r>
            <w:fldChar w:fldCharType="begin"/>
          </w:r>
          <w:r>
            <w:instrText xml:space="preserve"> PAGEREF _Toc19602 \h </w:instrText>
          </w:r>
          <w:r>
            <w:fldChar w:fldCharType="separate"/>
          </w:r>
          <w:r>
            <w:t>60</w:t>
          </w:r>
          <w:r>
            <w:fldChar w:fldCharType="end"/>
          </w:r>
          <w:r>
            <w:rPr>
              <w:rFonts w:ascii="宋体" w:hAnsi="宋体" w:eastAsia="宋体" w:cs="宋体"/>
              <w:color w:val="auto"/>
              <w:szCs w:val="21"/>
              <w:highlight w:val="none"/>
            </w:rPr>
            <w:fldChar w:fldCharType="end"/>
          </w:r>
        </w:p>
        <w:p w14:paraId="11E5BE42">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_Toc10095 </w:instrText>
          </w:r>
          <w:r>
            <w:rPr>
              <w:rFonts w:ascii="宋体" w:hAnsi="宋体" w:eastAsia="宋体" w:cs="宋体"/>
              <w:szCs w:val="21"/>
              <w:highlight w:val="none"/>
            </w:rPr>
            <w:fldChar w:fldCharType="separate"/>
          </w:r>
          <w:r>
            <w:rPr>
              <w:rFonts w:hint="eastAsia"/>
              <w:bCs/>
              <w:szCs w:val="21"/>
              <w:highlight w:val="none"/>
            </w:rPr>
            <w:t>A2.3熟悉文件资料</w:t>
          </w:r>
          <w:r>
            <w:tab/>
          </w:r>
          <w:r>
            <w:fldChar w:fldCharType="begin"/>
          </w:r>
          <w:r>
            <w:instrText xml:space="preserve"> PAGEREF _Toc10095 \h </w:instrText>
          </w:r>
          <w:r>
            <w:fldChar w:fldCharType="separate"/>
          </w:r>
          <w:r>
            <w:t>61</w:t>
          </w:r>
          <w:r>
            <w:fldChar w:fldCharType="end"/>
          </w:r>
          <w:r>
            <w:rPr>
              <w:rFonts w:ascii="宋体" w:hAnsi="宋体" w:eastAsia="宋体" w:cs="宋体"/>
              <w:color w:val="auto"/>
              <w:szCs w:val="21"/>
              <w:highlight w:val="none"/>
            </w:rPr>
            <w:fldChar w:fldCharType="end"/>
          </w:r>
        </w:p>
        <w:p w14:paraId="2A95EA82">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_Toc23753 </w:instrText>
          </w:r>
          <w:r>
            <w:rPr>
              <w:rFonts w:ascii="宋体" w:hAnsi="宋体" w:eastAsia="宋体" w:cs="宋体"/>
              <w:szCs w:val="21"/>
              <w:highlight w:val="none"/>
            </w:rPr>
            <w:fldChar w:fldCharType="separate"/>
          </w:r>
          <w:r>
            <w:rPr>
              <w:rFonts w:hint="eastAsia"/>
              <w:bCs/>
              <w:szCs w:val="21"/>
              <w:highlight w:val="none"/>
            </w:rPr>
            <w:t>A2.4暗标编号</w:t>
          </w:r>
          <w:r>
            <w:tab/>
          </w:r>
          <w:r>
            <w:fldChar w:fldCharType="begin"/>
          </w:r>
          <w:r>
            <w:instrText xml:space="preserve"> PAGEREF _Toc23753 \h </w:instrText>
          </w:r>
          <w:r>
            <w:fldChar w:fldCharType="separate"/>
          </w:r>
          <w:r>
            <w:t>61</w:t>
          </w:r>
          <w:r>
            <w:fldChar w:fldCharType="end"/>
          </w:r>
          <w:r>
            <w:rPr>
              <w:rFonts w:ascii="宋体" w:hAnsi="宋体" w:eastAsia="宋体" w:cs="宋体"/>
              <w:color w:val="auto"/>
              <w:szCs w:val="21"/>
              <w:highlight w:val="none"/>
            </w:rPr>
            <w:fldChar w:fldCharType="end"/>
          </w:r>
        </w:p>
        <w:p w14:paraId="227E9770">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_Toc26393 </w:instrText>
          </w:r>
          <w:r>
            <w:rPr>
              <w:rFonts w:ascii="宋体" w:hAnsi="宋体" w:eastAsia="宋体" w:cs="宋体"/>
              <w:szCs w:val="21"/>
              <w:highlight w:val="none"/>
            </w:rPr>
            <w:fldChar w:fldCharType="separate"/>
          </w:r>
          <w:r>
            <w:rPr>
              <w:rFonts w:hint="eastAsia"/>
              <w:bCs/>
              <w:szCs w:val="21"/>
              <w:highlight w:val="none"/>
            </w:rPr>
            <w:t>A2.5对投标文件进行基础性数据分析和整理工作</w:t>
          </w:r>
          <w:r>
            <w:tab/>
          </w:r>
          <w:r>
            <w:fldChar w:fldCharType="begin"/>
          </w:r>
          <w:r>
            <w:instrText xml:space="preserve"> PAGEREF _Toc26393 \h </w:instrText>
          </w:r>
          <w:r>
            <w:fldChar w:fldCharType="separate"/>
          </w:r>
          <w:r>
            <w:t>61</w:t>
          </w:r>
          <w:r>
            <w:fldChar w:fldCharType="end"/>
          </w:r>
          <w:r>
            <w:rPr>
              <w:rFonts w:ascii="宋体" w:hAnsi="宋体" w:eastAsia="宋体" w:cs="宋体"/>
              <w:color w:val="auto"/>
              <w:szCs w:val="21"/>
              <w:highlight w:val="none"/>
            </w:rPr>
            <w:fldChar w:fldCharType="end"/>
          </w:r>
        </w:p>
        <w:p w14:paraId="02254C05">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_Toc5252 </w:instrText>
          </w:r>
          <w:r>
            <w:rPr>
              <w:rFonts w:ascii="宋体" w:hAnsi="宋体" w:eastAsia="宋体" w:cs="宋体"/>
              <w:szCs w:val="21"/>
              <w:highlight w:val="none"/>
            </w:rPr>
            <w:fldChar w:fldCharType="separate"/>
          </w:r>
          <w:r>
            <w:rPr>
              <w:rFonts w:hint="eastAsia"/>
              <w:highlight w:val="none"/>
            </w:rPr>
            <w:t>A3</w:t>
          </w:r>
          <w:r>
            <w:rPr>
              <w:highlight w:val="none"/>
            </w:rPr>
            <w:t>.</w:t>
          </w:r>
          <w:r>
            <w:rPr>
              <w:rFonts w:hint="eastAsia"/>
              <w:highlight w:val="none"/>
            </w:rPr>
            <w:t>初步评审</w:t>
          </w:r>
          <w:r>
            <w:tab/>
          </w:r>
          <w:r>
            <w:fldChar w:fldCharType="begin"/>
          </w:r>
          <w:r>
            <w:instrText xml:space="preserve"> PAGEREF _Toc5252 \h </w:instrText>
          </w:r>
          <w:r>
            <w:fldChar w:fldCharType="separate"/>
          </w:r>
          <w:r>
            <w:t>62</w:t>
          </w:r>
          <w:r>
            <w:fldChar w:fldCharType="end"/>
          </w:r>
          <w:r>
            <w:rPr>
              <w:rFonts w:ascii="宋体" w:hAnsi="宋体" w:eastAsia="宋体" w:cs="宋体"/>
              <w:color w:val="auto"/>
              <w:szCs w:val="21"/>
              <w:highlight w:val="none"/>
            </w:rPr>
            <w:fldChar w:fldCharType="end"/>
          </w:r>
        </w:p>
        <w:p w14:paraId="488EB696">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_Toc1247 </w:instrText>
          </w:r>
          <w:r>
            <w:rPr>
              <w:rFonts w:ascii="宋体" w:hAnsi="宋体" w:eastAsia="宋体" w:cs="宋体"/>
              <w:szCs w:val="21"/>
              <w:highlight w:val="none"/>
            </w:rPr>
            <w:fldChar w:fldCharType="separate"/>
          </w:r>
          <w:r>
            <w:rPr>
              <w:rFonts w:hint="eastAsia"/>
              <w:bCs/>
              <w:szCs w:val="21"/>
              <w:highlight w:val="none"/>
            </w:rPr>
            <w:t>A3.1形式评审</w:t>
          </w:r>
          <w:r>
            <w:tab/>
          </w:r>
          <w:r>
            <w:fldChar w:fldCharType="begin"/>
          </w:r>
          <w:r>
            <w:instrText xml:space="preserve"> PAGEREF _Toc1247 \h </w:instrText>
          </w:r>
          <w:r>
            <w:fldChar w:fldCharType="separate"/>
          </w:r>
          <w:r>
            <w:t>62</w:t>
          </w:r>
          <w:r>
            <w:fldChar w:fldCharType="end"/>
          </w:r>
          <w:r>
            <w:rPr>
              <w:rFonts w:ascii="宋体" w:hAnsi="宋体" w:eastAsia="宋体" w:cs="宋体"/>
              <w:color w:val="auto"/>
              <w:szCs w:val="21"/>
              <w:highlight w:val="none"/>
            </w:rPr>
            <w:fldChar w:fldCharType="end"/>
          </w:r>
        </w:p>
        <w:p w14:paraId="504E1AA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_Toc28902 </w:instrText>
          </w:r>
          <w:r>
            <w:rPr>
              <w:rFonts w:ascii="宋体" w:hAnsi="宋体" w:eastAsia="宋体" w:cs="宋体"/>
              <w:szCs w:val="21"/>
              <w:highlight w:val="none"/>
            </w:rPr>
            <w:fldChar w:fldCharType="separate"/>
          </w:r>
          <w:r>
            <w:rPr>
              <w:rFonts w:hint="eastAsia"/>
              <w:bCs/>
              <w:szCs w:val="21"/>
              <w:highlight w:val="none"/>
            </w:rPr>
            <w:t>A3.2资格评审</w:t>
          </w:r>
          <w:r>
            <w:tab/>
          </w:r>
          <w:r>
            <w:fldChar w:fldCharType="begin"/>
          </w:r>
          <w:r>
            <w:instrText xml:space="preserve"> PAGEREF _Toc28902 \h </w:instrText>
          </w:r>
          <w:r>
            <w:fldChar w:fldCharType="separate"/>
          </w:r>
          <w:r>
            <w:t>62</w:t>
          </w:r>
          <w:r>
            <w:fldChar w:fldCharType="end"/>
          </w:r>
          <w:r>
            <w:rPr>
              <w:rFonts w:ascii="宋体" w:hAnsi="宋体" w:eastAsia="宋体" w:cs="宋体"/>
              <w:color w:val="auto"/>
              <w:szCs w:val="21"/>
              <w:highlight w:val="none"/>
            </w:rPr>
            <w:fldChar w:fldCharType="end"/>
          </w:r>
        </w:p>
        <w:p w14:paraId="636A3137">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_Toc16567 </w:instrText>
          </w:r>
          <w:r>
            <w:rPr>
              <w:rFonts w:ascii="宋体" w:hAnsi="宋体" w:eastAsia="宋体" w:cs="宋体"/>
              <w:szCs w:val="21"/>
              <w:highlight w:val="none"/>
            </w:rPr>
            <w:fldChar w:fldCharType="separate"/>
          </w:r>
          <w:r>
            <w:rPr>
              <w:rFonts w:hint="eastAsia"/>
              <w:bCs/>
              <w:szCs w:val="21"/>
              <w:highlight w:val="none"/>
            </w:rPr>
            <w:t>A3.3响应性评审</w:t>
          </w:r>
          <w:r>
            <w:tab/>
          </w:r>
          <w:r>
            <w:fldChar w:fldCharType="begin"/>
          </w:r>
          <w:r>
            <w:instrText xml:space="preserve"> PAGEREF _Toc16567 \h </w:instrText>
          </w:r>
          <w:r>
            <w:fldChar w:fldCharType="separate"/>
          </w:r>
          <w:r>
            <w:t>62</w:t>
          </w:r>
          <w:r>
            <w:fldChar w:fldCharType="end"/>
          </w:r>
          <w:r>
            <w:rPr>
              <w:rFonts w:ascii="宋体" w:hAnsi="宋体" w:eastAsia="宋体" w:cs="宋体"/>
              <w:color w:val="auto"/>
              <w:szCs w:val="21"/>
              <w:highlight w:val="none"/>
            </w:rPr>
            <w:fldChar w:fldCharType="end"/>
          </w:r>
        </w:p>
        <w:p w14:paraId="7B97F517">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_Toc29701 </w:instrText>
          </w:r>
          <w:r>
            <w:rPr>
              <w:rFonts w:ascii="宋体" w:hAnsi="宋体" w:eastAsia="宋体" w:cs="宋体"/>
              <w:szCs w:val="21"/>
              <w:highlight w:val="none"/>
            </w:rPr>
            <w:fldChar w:fldCharType="separate"/>
          </w:r>
          <w:r>
            <w:rPr>
              <w:rFonts w:hint="eastAsia"/>
              <w:bCs/>
              <w:szCs w:val="21"/>
              <w:highlight w:val="none"/>
            </w:rPr>
            <w:t>A3.</w:t>
          </w:r>
          <w:r>
            <w:rPr>
              <w:bCs/>
              <w:szCs w:val="21"/>
              <w:highlight w:val="none"/>
            </w:rPr>
            <w:t>4</w:t>
          </w:r>
          <w:r>
            <w:rPr>
              <w:rFonts w:hint="eastAsia"/>
              <w:bCs/>
              <w:szCs w:val="21"/>
              <w:highlight w:val="none"/>
            </w:rPr>
            <w:t>算术错误修正</w:t>
          </w:r>
          <w:r>
            <w:tab/>
          </w:r>
          <w:r>
            <w:fldChar w:fldCharType="begin"/>
          </w:r>
          <w:r>
            <w:instrText xml:space="preserve"> PAGEREF _Toc29701 \h </w:instrText>
          </w:r>
          <w:r>
            <w:fldChar w:fldCharType="separate"/>
          </w:r>
          <w:r>
            <w:t>62</w:t>
          </w:r>
          <w:r>
            <w:fldChar w:fldCharType="end"/>
          </w:r>
          <w:r>
            <w:rPr>
              <w:rFonts w:ascii="宋体" w:hAnsi="宋体" w:eastAsia="宋体" w:cs="宋体"/>
              <w:color w:val="auto"/>
              <w:szCs w:val="21"/>
              <w:highlight w:val="none"/>
            </w:rPr>
            <w:fldChar w:fldCharType="end"/>
          </w:r>
        </w:p>
        <w:p w14:paraId="51422E5F">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_Toc5766 </w:instrText>
          </w:r>
          <w:r>
            <w:rPr>
              <w:rFonts w:ascii="宋体" w:hAnsi="宋体" w:eastAsia="宋体" w:cs="宋体"/>
              <w:szCs w:val="21"/>
              <w:highlight w:val="none"/>
            </w:rPr>
            <w:fldChar w:fldCharType="separate"/>
          </w:r>
          <w:r>
            <w:rPr>
              <w:rFonts w:hint="eastAsia"/>
              <w:bCs/>
              <w:szCs w:val="21"/>
              <w:highlight w:val="none"/>
            </w:rPr>
            <w:t>A3.</w:t>
          </w:r>
          <w:r>
            <w:rPr>
              <w:bCs/>
              <w:szCs w:val="21"/>
              <w:highlight w:val="none"/>
            </w:rPr>
            <w:t>5</w:t>
          </w:r>
          <w:r>
            <w:rPr>
              <w:rFonts w:hint="eastAsia"/>
              <w:bCs/>
              <w:szCs w:val="21"/>
              <w:highlight w:val="none"/>
            </w:rPr>
            <w:t>判断投标报价是否低于成本</w:t>
          </w:r>
          <w:r>
            <w:tab/>
          </w:r>
          <w:r>
            <w:fldChar w:fldCharType="begin"/>
          </w:r>
          <w:r>
            <w:instrText xml:space="preserve"> PAGEREF _Toc5766 \h </w:instrText>
          </w:r>
          <w:r>
            <w:fldChar w:fldCharType="separate"/>
          </w:r>
          <w:r>
            <w:t>62</w:t>
          </w:r>
          <w:r>
            <w:fldChar w:fldCharType="end"/>
          </w:r>
          <w:r>
            <w:rPr>
              <w:rFonts w:ascii="宋体" w:hAnsi="宋体" w:eastAsia="宋体" w:cs="宋体"/>
              <w:color w:val="auto"/>
              <w:szCs w:val="21"/>
              <w:highlight w:val="none"/>
            </w:rPr>
            <w:fldChar w:fldCharType="end"/>
          </w:r>
        </w:p>
        <w:p w14:paraId="147E117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_Toc19377 </w:instrText>
          </w:r>
          <w:r>
            <w:rPr>
              <w:rFonts w:ascii="宋体" w:hAnsi="宋体" w:eastAsia="宋体" w:cs="宋体"/>
              <w:szCs w:val="21"/>
              <w:highlight w:val="none"/>
            </w:rPr>
            <w:fldChar w:fldCharType="separate"/>
          </w:r>
          <w:r>
            <w:rPr>
              <w:rFonts w:hint="eastAsia"/>
              <w:bCs/>
              <w:szCs w:val="21"/>
              <w:highlight w:val="none"/>
            </w:rPr>
            <w:t>A3.</w:t>
          </w:r>
          <w:r>
            <w:rPr>
              <w:bCs/>
              <w:szCs w:val="21"/>
              <w:highlight w:val="none"/>
            </w:rPr>
            <w:t>6</w:t>
          </w:r>
          <w:r>
            <w:rPr>
              <w:rFonts w:hint="eastAsia"/>
              <w:bCs/>
              <w:szCs w:val="21"/>
              <w:highlight w:val="none"/>
            </w:rPr>
            <w:t xml:space="preserve"> 判断投标是否为应当被否决</w:t>
          </w:r>
          <w:r>
            <w:tab/>
          </w:r>
          <w:r>
            <w:fldChar w:fldCharType="begin"/>
          </w:r>
          <w:r>
            <w:instrText xml:space="preserve"> PAGEREF _Toc19377 \h </w:instrText>
          </w:r>
          <w:r>
            <w:fldChar w:fldCharType="separate"/>
          </w:r>
          <w:r>
            <w:t>62</w:t>
          </w:r>
          <w:r>
            <w:fldChar w:fldCharType="end"/>
          </w:r>
          <w:r>
            <w:rPr>
              <w:rFonts w:ascii="宋体" w:hAnsi="宋体" w:eastAsia="宋体" w:cs="宋体"/>
              <w:color w:val="auto"/>
              <w:szCs w:val="21"/>
              <w:highlight w:val="none"/>
            </w:rPr>
            <w:fldChar w:fldCharType="end"/>
          </w:r>
        </w:p>
        <w:p w14:paraId="4CE949F7">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_Toc8283 </w:instrText>
          </w:r>
          <w:r>
            <w:rPr>
              <w:rFonts w:ascii="宋体" w:hAnsi="宋体" w:eastAsia="宋体" w:cs="宋体"/>
              <w:szCs w:val="21"/>
              <w:highlight w:val="none"/>
            </w:rPr>
            <w:fldChar w:fldCharType="separate"/>
          </w:r>
          <w:r>
            <w:rPr>
              <w:rFonts w:hint="eastAsia"/>
              <w:bCs/>
              <w:szCs w:val="21"/>
              <w:highlight w:val="none"/>
            </w:rPr>
            <w:t>A3.</w:t>
          </w:r>
          <w:r>
            <w:rPr>
              <w:bCs/>
              <w:szCs w:val="21"/>
              <w:highlight w:val="none"/>
            </w:rPr>
            <w:t>7</w:t>
          </w:r>
          <w:r>
            <w:rPr>
              <w:rFonts w:hint="eastAsia"/>
              <w:bCs/>
              <w:szCs w:val="21"/>
              <w:highlight w:val="none"/>
            </w:rPr>
            <w:t xml:space="preserve"> 澄清、说明或补正</w:t>
          </w:r>
          <w:r>
            <w:tab/>
          </w:r>
          <w:r>
            <w:fldChar w:fldCharType="begin"/>
          </w:r>
          <w:r>
            <w:instrText xml:space="preserve"> PAGEREF _Toc8283 \h </w:instrText>
          </w:r>
          <w:r>
            <w:fldChar w:fldCharType="separate"/>
          </w:r>
          <w:r>
            <w:t>62</w:t>
          </w:r>
          <w:r>
            <w:fldChar w:fldCharType="end"/>
          </w:r>
          <w:r>
            <w:rPr>
              <w:rFonts w:ascii="宋体" w:hAnsi="宋体" w:eastAsia="宋体" w:cs="宋体"/>
              <w:color w:val="auto"/>
              <w:szCs w:val="21"/>
              <w:highlight w:val="none"/>
            </w:rPr>
            <w:fldChar w:fldCharType="end"/>
          </w:r>
        </w:p>
        <w:p w14:paraId="165AF3B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_Toc10063 </w:instrText>
          </w:r>
          <w:r>
            <w:rPr>
              <w:rFonts w:ascii="宋体" w:hAnsi="宋体" w:eastAsia="宋体" w:cs="宋体"/>
              <w:szCs w:val="21"/>
              <w:highlight w:val="none"/>
            </w:rPr>
            <w:fldChar w:fldCharType="separate"/>
          </w:r>
          <w:r>
            <w:rPr>
              <w:rFonts w:hint="eastAsia"/>
              <w:highlight w:val="none"/>
            </w:rPr>
            <w:t>A4.详细评审</w:t>
          </w:r>
          <w:r>
            <w:tab/>
          </w:r>
          <w:r>
            <w:fldChar w:fldCharType="begin"/>
          </w:r>
          <w:r>
            <w:instrText xml:space="preserve"> PAGEREF _Toc10063 \h </w:instrText>
          </w:r>
          <w:r>
            <w:fldChar w:fldCharType="separate"/>
          </w:r>
          <w:r>
            <w:t>63</w:t>
          </w:r>
          <w:r>
            <w:fldChar w:fldCharType="end"/>
          </w:r>
          <w:r>
            <w:rPr>
              <w:rFonts w:ascii="宋体" w:hAnsi="宋体" w:eastAsia="宋体" w:cs="宋体"/>
              <w:color w:val="auto"/>
              <w:szCs w:val="21"/>
              <w:highlight w:val="none"/>
            </w:rPr>
            <w:fldChar w:fldCharType="end"/>
          </w:r>
        </w:p>
        <w:p w14:paraId="3A548D63">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_Toc8010 </w:instrText>
          </w:r>
          <w:r>
            <w:rPr>
              <w:rFonts w:ascii="宋体" w:hAnsi="宋体" w:eastAsia="宋体" w:cs="宋体"/>
              <w:szCs w:val="21"/>
              <w:highlight w:val="none"/>
            </w:rPr>
            <w:fldChar w:fldCharType="separate"/>
          </w:r>
          <w:r>
            <w:rPr>
              <w:rFonts w:hint="eastAsia"/>
              <w:bCs/>
              <w:szCs w:val="21"/>
              <w:highlight w:val="none"/>
            </w:rPr>
            <w:t>A4.1详细评审的程序</w:t>
          </w:r>
          <w:r>
            <w:tab/>
          </w:r>
          <w:r>
            <w:fldChar w:fldCharType="begin"/>
          </w:r>
          <w:r>
            <w:instrText xml:space="preserve"> PAGEREF _Toc8010 \h </w:instrText>
          </w:r>
          <w:r>
            <w:fldChar w:fldCharType="separate"/>
          </w:r>
          <w:r>
            <w:t>63</w:t>
          </w:r>
          <w:r>
            <w:fldChar w:fldCharType="end"/>
          </w:r>
          <w:r>
            <w:rPr>
              <w:rFonts w:ascii="宋体" w:hAnsi="宋体" w:eastAsia="宋体" w:cs="宋体"/>
              <w:color w:val="auto"/>
              <w:szCs w:val="21"/>
              <w:highlight w:val="none"/>
            </w:rPr>
            <w:fldChar w:fldCharType="end"/>
          </w:r>
        </w:p>
        <w:p w14:paraId="19B015D6">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_Toc32198 </w:instrText>
          </w:r>
          <w:r>
            <w:rPr>
              <w:rFonts w:ascii="宋体" w:hAnsi="宋体" w:eastAsia="宋体" w:cs="宋体"/>
              <w:szCs w:val="21"/>
              <w:highlight w:val="none"/>
            </w:rPr>
            <w:fldChar w:fldCharType="separate"/>
          </w:r>
          <w:r>
            <w:rPr>
              <w:rFonts w:hint="eastAsia"/>
              <w:bCs/>
              <w:szCs w:val="21"/>
              <w:highlight w:val="none"/>
            </w:rPr>
            <w:t>A4.2经济标评审和评分</w:t>
          </w:r>
          <w:r>
            <w:tab/>
          </w:r>
          <w:r>
            <w:fldChar w:fldCharType="begin"/>
          </w:r>
          <w:r>
            <w:instrText xml:space="preserve"> PAGEREF _Toc32198 \h </w:instrText>
          </w:r>
          <w:r>
            <w:fldChar w:fldCharType="separate"/>
          </w:r>
          <w:r>
            <w:t>63</w:t>
          </w:r>
          <w:r>
            <w:fldChar w:fldCharType="end"/>
          </w:r>
          <w:r>
            <w:rPr>
              <w:rFonts w:ascii="宋体" w:hAnsi="宋体" w:eastAsia="宋体" w:cs="宋体"/>
              <w:color w:val="auto"/>
              <w:szCs w:val="21"/>
              <w:highlight w:val="none"/>
            </w:rPr>
            <w:fldChar w:fldCharType="end"/>
          </w:r>
        </w:p>
        <w:p w14:paraId="5F17D74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_Toc2107 </w:instrText>
          </w:r>
          <w:r>
            <w:rPr>
              <w:rFonts w:ascii="宋体" w:hAnsi="宋体" w:eastAsia="宋体" w:cs="宋体"/>
              <w:szCs w:val="21"/>
              <w:highlight w:val="none"/>
            </w:rPr>
            <w:fldChar w:fldCharType="separate"/>
          </w:r>
          <w:r>
            <w:rPr>
              <w:rFonts w:hint="eastAsia"/>
              <w:bCs/>
              <w:szCs w:val="21"/>
              <w:highlight w:val="none"/>
            </w:rPr>
            <w:t>A4.3 技术标评审和评分</w:t>
          </w:r>
          <w:r>
            <w:tab/>
          </w:r>
          <w:r>
            <w:fldChar w:fldCharType="begin"/>
          </w:r>
          <w:r>
            <w:instrText xml:space="preserve"> PAGEREF _Toc2107 \h </w:instrText>
          </w:r>
          <w:r>
            <w:fldChar w:fldCharType="separate"/>
          </w:r>
          <w:r>
            <w:t>63</w:t>
          </w:r>
          <w:r>
            <w:fldChar w:fldCharType="end"/>
          </w:r>
          <w:r>
            <w:rPr>
              <w:rFonts w:ascii="宋体" w:hAnsi="宋体" w:eastAsia="宋体" w:cs="宋体"/>
              <w:color w:val="auto"/>
              <w:szCs w:val="21"/>
              <w:highlight w:val="none"/>
            </w:rPr>
            <w:fldChar w:fldCharType="end"/>
          </w:r>
        </w:p>
        <w:p w14:paraId="678030C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_Toc19341 </w:instrText>
          </w:r>
          <w:r>
            <w:rPr>
              <w:rFonts w:ascii="宋体" w:hAnsi="宋体" w:eastAsia="宋体" w:cs="宋体"/>
              <w:szCs w:val="21"/>
              <w:highlight w:val="none"/>
            </w:rPr>
            <w:fldChar w:fldCharType="separate"/>
          </w:r>
          <w:r>
            <w:rPr>
              <w:rFonts w:hint="eastAsia"/>
              <w:bCs/>
              <w:szCs w:val="21"/>
              <w:highlight w:val="none"/>
            </w:rPr>
            <w:t>A4.4资信标评审和评分</w:t>
          </w:r>
          <w:r>
            <w:tab/>
          </w:r>
          <w:r>
            <w:fldChar w:fldCharType="begin"/>
          </w:r>
          <w:r>
            <w:instrText xml:space="preserve"> PAGEREF _Toc19341 \h </w:instrText>
          </w:r>
          <w:r>
            <w:fldChar w:fldCharType="separate"/>
          </w:r>
          <w:r>
            <w:t>63</w:t>
          </w:r>
          <w:r>
            <w:fldChar w:fldCharType="end"/>
          </w:r>
          <w:r>
            <w:rPr>
              <w:rFonts w:ascii="宋体" w:hAnsi="宋体" w:eastAsia="宋体" w:cs="宋体"/>
              <w:color w:val="auto"/>
              <w:szCs w:val="21"/>
              <w:highlight w:val="none"/>
            </w:rPr>
            <w:fldChar w:fldCharType="end"/>
          </w:r>
        </w:p>
        <w:p w14:paraId="331EECCE">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_Toc7222 </w:instrText>
          </w:r>
          <w:r>
            <w:rPr>
              <w:rFonts w:ascii="宋体" w:hAnsi="宋体" w:eastAsia="宋体" w:cs="宋体"/>
              <w:szCs w:val="21"/>
              <w:highlight w:val="none"/>
            </w:rPr>
            <w:fldChar w:fldCharType="separate"/>
          </w:r>
          <w:r>
            <w:rPr>
              <w:rFonts w:hint="eastAsia"/>
              <w:bCs/>
              <w:szCs w:val="21"/>
              <w:highlight w:val="none"/>
            </w:rPr>
            <w:t>A4.5 其他因素的评审和评分</w:t>
          </w:r>
          <w:r>
            <w:tab/>
          </w:r>
          <w:r>
            <w:fldChar w:fldCharType="begin"/>
          </w:r>
          <w:r>
            <w:instrText xml:space="preserve"> PAGEREF _Toc7222 \h </w:instrText>
          </w:r>
          <w:r>
            <w:fldChar w:fldCharType="separate"/>
          </w:r>
          <w:r>
            <w:t>63</w:t>
          </w:r>
          <w:r>
            <w:fldChar w:fldCharType="end"/>
          </w:r>
          <w:r>
            <w:rPr>
              <w:rFonts w:ascii="宋体" w:hAnsi="宋体" w:eastAsia="宋体" w:cs="宋体"/>
              <w:color w:val="auto"/>
              <w:szCs w:val="21"/>
              <w:highlight w:val="none"/>
            </w:rPr>
            <w:fldChar w:fldCharType="end"/>
          </w:r>
        </w:p>
        <w:p w14:paraId="41760C62">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_Toc21073 </w:instrText>
          </w:r>
          <w:r>
            <w:rPr>
              <w:rFonts w:ascii="宋体" w:hAnsi="宋体" w:eastAsia="宋体" w:cs="宋体"/>
              <w:szCs w:val="21"/>
              <w:highlight w:val="none"/>
            </w:rPr>
            <w:fldChar w:fldCharType="separate"/>
          </w:r>
          <w:r>
            <w:rPr>
              <w:rFonts w:hint="eastAsia"/>
              <w:bCs/>
              <w:szCs w:val="21"/>
              <w:highlight w:val="none"/>
            </w:rPr>
            <w:t>A4.6 澄清、说明或补正</w:t>
          </w:r>
          <w:r>
            <w:tab/>
          </w:r>
          <w:r>
            <w:fldChar w:fldCharType="begin"/>
          </w:r>
          <w:r>
            <w:instrText xml:space="preserve"> PAGEREF _Toc21073 \h </w:instrText>
          </w:r>
          <w:r>
            <w:fldChar w:fldCharType="separate"/>
          </w:r>
          <w:r>
            <w:t>63</w:t>
          </w:r>
          <w:r>
            <w:fldChar w:fldCharType="end"/>
          </w:r>
          <w:r>
            <w:rPr>
              <w:rFonts w:ascii="宋体" w:hAnsi="宋体" w:eastAsia="宋体" w:cs="宋体"/>
              <w:color w:val="auto"/>
              <w:szCs w:val="21"/>
              <w:highlight w:val="none"/>
            </w:rPr>
            <w:fldChar w:fldCharType="end"/>
          </w:r>
        </w:p>
        <w:p w14:paraId="602DB30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_Toc4071 </w:instrText>
          </w:r>
          <w:r>
            <w:rPr>
              <w:rFonts w:ascii="宋体" w:hAnsi="宋体" w:eastAsia="宋体" w:cs="宋体"/>
              <w:szCs w:val="21"/>
              <w:highlight w:val="none"/>
            </w:rPr>
            <w:fldChar w:fldCharType="separate"/>
          </w:r>
          <w:r>
            <w:rPr>
              <w:rFonts w:hint="eastAsia"/>
              <w:bCs/>
              <w:szCs w:val="21"/>
              <w:highlight w:val="none"/>
            </w:rPr>
            <w:t>A4.7汇总评分（评审）结果</w:t>
          </w:r>
          <w:r>
            <w:tab/>
          </w:r>
          <w:r>
            <w:fldChar w:fldCharType="begin"/>
          </w:r>
          <w:r>
            <w:instrText xml:space="preserve"> PAGEREF _Toc4071 \h </w:instrText>
          </w:r>
          <w:r>
            <w:fldChar w:fldCharType="separate"/>
          </w:r>
          <w:r>
            <w:t>64</w:t>
          </w:r>
          <w:r>
            <w:fldChar w:fldCharType="end"/>
          </w:r>
          <w:r>
            <w:rPr>
              <w:rFonts w:ascii="宋体" w:hAnsi="宋体" w:eastAsia="宋体" w:cs="宋体"/>
              <w:color w:val="auto"/>
              <w:szCs w:val="21"/>
              <w:highlight w:val="none"/>
            </w:rPr>
            <w:fldChar w:fldCharType="end"/>
          </w:r>
        </w:p>
        <w:p w14:paraId="39A6C645">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_Toc28385 </w:instrText>
          </w:r>
          <w:r>
            <w:rPr>
              <w:rFonts w:ascii="宋体" w:hAnsi="宋体" w:eastAsia="宋体" w:cs="宋体"/>
              <w:szCs w:val="21"/>
              <w:highlight w:val="none"/>
            </w:rPr>
            <w:fldChar w:fldCharType="separate"/>
          </w:r>
          <w:r>
            <w:rPr>
              <w:rFonts w:hint="eastAsia"/>
              <w:highlight w:val="none"/>
            </w:rPr>
            <w:t>A5</w:t>
          </w:r>
          <w:r>
            <w:rPr>
              <w:highlight w:val="none"/>
            </w:rPr>
            <w:t>.</w:t>
          </w:r>
          <w:r>
            <w:rPr>
              <w:rFonts w:hint="eastAsia"/>
              <w:highlight w:val="none"/>
            </w:rPr>
            <w:t>推荐中标候选人或者直接确定中标人</w:t>
          </w:r>
          <w:r>
            <w:tab/>
          </w:r>
          <w:r>
            <w:fldChar w:fldCharType="begin"/>
          </w:r>
          <w:r>
            <w:instrText xml:space="preserve"> PAGEREF _Toc28385 \h </w:instrText>
          </w:r>
          <w:r>
            <w:fldChar w:fldCharType="separate"/>
          </w:r>
          <w:r>
            <w:t>64</w:t>
          </w:r>
          <w:r>
            <w:fldChar w:fldCharType="end"/>
          </w:r>
          <w:r>
            <w:rPr>
              <w:rFonts w:ascii="宋体" w:hAnsi="宋体" w:eastAsia="宋体" w:cs="宋体"/>
              <w:color w:val="auto"/>
              <w:szCs w:val="21"/>
              <w:highlight w:val="none"/>
            </w:rPr>
            <w:fldChar w:fldCharType="end"/>
          </w:r>
        </w:p>
        <w:p w14:paraId="206BACD4">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_Toc9330 </w:instrText>
          </w:r>
          <w:r>
            <w:rPr>
              <w:rFonts w:ascii="宋体" w:hAnsi="宋体" w:eastAsia="宋体" w:cs="宋体"/>
              <w:szCs w:val="21"/>
              <w:highlight w:val="none"/>
            </w:rPr>
            <w:fldChar w:fldCharType="separate"/>
          </w:r>
          <w:r>
            <w:rPr>
              <w:rFonts w:hint="eastAsia"/>
              <w:bCs/>
              <w:szCs w:val="21"/>
              <w:highlight w:val="none"/>
            </w:rPr>
            <w:t>A5.1推荐中标候选人</w:t>
          </w:r>
          <w:r>
            <w:tab/>
          </w:r>
          <w:r>
            <w:fldChar w:fldCharType="begin"/>
          </w:r>
          <w:r>
            <w:instrText xml:space="preserve"> PAGEREF _Toc9330 \h </w:instrText>
          </w:r>
          <w:r>
            <w:fldChar w:fldCharType="separate"/>
          </w:r>
          <w:r>
            <w:t>64</w:t>
          </w:r>
          <w:r>
            <w:fldChar w:fldCharType="end"/>
          </w:r>
          <w:r>
            <w:rPr>
              <w:rFonts w:ascii="宋体" w:hAnsi="宋体" w:eastAsia="宋体" w:cs="宋体"/>
              <w:color w:val="auto"/>
              <w:szCs w:val="21"/>
              <w:highlight w:val="none"/>
            </w:rPr>
            <w:fldChar w:fldCharType="end"/>
          </w:r>
        </w:p>
        <w:p w14:paraId="54B45D0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_Toc32559 </w:instrText>
          </w:r>
          <w:r>
            <w:rPr>
              <w:rFonts w:ascii="宋体" w:hAnsi="宋体" w:eastAsia="宋体" w:cs="宋体"/>
              <w:szCs w:val="21"/>
              <w:highlight w:val="none"/>
            </w:rPr>
            <w:fldChar w:fldCharType="separate"/>
          </w:r>
          <w:r>
            <w:rPr>
              <w:rFonts w:hint="eastAsia"/>
              <w:bCs/>
              <w:szCs w:val="21"/>
              <w:highlight w:val="none"/>
            </w:rPr>
            <w:t>A5.2直接确定中标人</w:t>
          </w:r>
          <w:r>
            <w:tab/>
          </w:r>
          <w:r>
            <w:fldChar w:fldCharType="begin"/>
          </w:r>
          <w:r>
            <w:instrText xml:space="preserve"> PAGEREF _Toc32559 \h </w:instrText>
          </w:r>
          <w:r>
            <w:fldChar w:fldCharType="separate"/>
          </w:r>
          <w:r>
            <w:t>64</w:t>
          </w:r>
          <w:r>
            <w:fldChar w:fldCharType="end"/>
          </w:r>
          <w:r>
            <w:rPr>
              <w:rFonts w:ascii="宋体" w:hAnsi="宋体" w:eastAsia="宋体" w:cs="宋体"/>
              <w:color w:val="auto"/>
              <w:szCs w:val="21"/>
              <w:highlight w:val="none"/>
            </w:rPr>
            <w:fldChar w:fldCharType="end"/>
          </w:r>
        </w:p>
        <w:p w14:paraId="45AA8D01">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_Toc25561 </w:instrText>
          </w:r>
          <w:r>
            <w:rPr>
              <w:rFonts w:ascii="宋体" w:hAnsi="宋体" w:eastAsia="宋体" w:cs="宋体"/>
              <w:szCs w:val="21"/>
              <w:highlight w:val="none"/>
            </w:rPr>
            <w:fldChar w:fldCharType="separate"/>
          </w:r>
          <w:r>
            <w:rPr>
              <w:rFonts w:hint="eastAsia"/>
              <w:bCs/>
              <w:szCs w:val="21"/>
              <w:highlight w:val="none"/>
            </w:rPr>
            <w:t>A5.3编制评标报告</w:t>
          </w:r>
          <w:r>
            <w:tab/>
          </w:r>
          <w:r>
            <w:fldChar w:fldCharType="begin"/>
          </w:r>
          <w:r>
            <w:instrText xml:space="preserve"> PAGEREF _Toc25561 \h </w:instrText>
          </w:r>
          <w:r>
            <w:fldChar w:fldCharType="separate"/>
          </w:r>
          <w:r>
            <w:t>64</w:t>
          </w:r>
          <w:r>
            <w:fldChar w:fldCharType="end"/>
          </w:r>
          <w:r>
            <w:rPr>
              <w:rFonts w:ascii="宋体" w:hAnsi="宋体" w:eastAsia="宋体" w:cs="宋体"/>
              <w:color w:val="auto"/>
              <w:szCs w:val="21"/>
              <w:highlight w:val="none"/>
            </w:rPr>
            <w:fldChar w:fldCharType="end"/>
          </w:r>
        </w:p>
        <w:p w14:paraId="1A539CA4">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_Toc25003 </w:instrText>
          </w:r>
          <w:r>
            <w:rPr>
              <w:rFonts w:ascii="宋体" w:hAnsi="宋体" w:eastAsia="宋体" w:cs="宋体"/>
              <w:szCs w:val="21"/>
              <w:highlight w:val="none"/>
            </w:rPr>
            <w:fldChar w:fldCharType="separate"/>
          </w:r>
          <w:r>
            <w:rPr>
              <w:rFonts w:hint="eastAsia"/>
              <w:highlight w:val="none"/>
            </w:rPr>
            <w:t>A6.特殊情况的处置程序</w:t>
          </w:r>
          <w:r>
            <w:tab/>
          </w:r>
          <w:r>
            <w:fldChar w:fldCharType="begin"/>
          </w:r>
          <w:r>
            <w:instrText xml:space="preserve"> PAGEREF _Toc25003 \h </w:instrText>
          </w:r>
          <w:r>
            <w:fldChar w:fldCharType="separate"/>
          </w:r>
          <w:r>
            <w:t>65</w:t>
          </w:r>
          <w:r>
            <w:fldChar w:fldCharType="end"/>
          </w:r>
          <w:r>
            <w:rPr>
              <w:rFonts w:ascii="宋体" w:hAnsi="宋体" w:eastAsia="宋体" w:cs="宋体"/>
              <w:color w:val="auto"/>
              <w:szCs w:val="21"/>
              <w:highlight w:val="none"/>
            </w:rPr>
            <w:fldChar w:fldCharType="end"/>
          </w:r>
        </w:p>
        <w:p w14:paraId="213473A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_Toc1395 </w:instrText>
          </w:r>
          <w:r>
            <w:rPr>
              <w:rFonts w:ascii="宋体" w:hAnsi="宋体" w:eastAsia="宋体" w:cs="宋体"/>
              <w:szCs w:val="21"/>
              <w:highlight w:val="none"/>
            </w:rPr>
            <w:fldChar w:fldCharType="separate"/>
          </w:r>
          <w:r>
            <w:rPr>
              <w:rFonts w:hint="eastAsia"/>
              <w:bCs/>
              <w:szCs w:val="21"/>
              <w:highlight w:val="none"/>
            </w:rPr>
            <w:t>A6.1暗标评审的评审程序规定（适用于对技术标进行暗标评审的）</w:t>
          </w:r>
          <w:r>
            <w:tab/>
          </w:r>
          <w:r>
            <w:fldChar w:fldCharType="begin"/>
          </w:r>
          <w:r>
            <w:instrText xml:space="preserve"> PAGEREF _Toc1395 \h </w:instrText>
          </w:r>
          <w:r>
            <w:fldChar w:fldCharType="separate"/>
          </w:r>
          <w:r>
            <w:t>65</w:t>
          </w:r>
          <w:r>
            <w:fldChar w:fldCharType="end"/>
          </w:r>
          <w:r>
            <w:rPr>
              <w:rFonts w:ascii="宋体" w:hAnsi="宋体" w:eastAsia="宋体" w:cs="宋体"/>
              <w:color w:val="auto"/>
              <w:szCs w:val="21"/>
              <w:highlight w:val="none"/>
            </w:rPr>
            <w:fldChar w:fldCharType="end"/>
          </w:r>
        </w:p>
        <w:p w14:paraId="71CFBA4A">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_Toc8272 </w:instrText>
          </w:r>
          <w:r>
            <w:rPr>
              <w:rFonts w:ascii="宋体" w:hAnsi="宋体" w:eastAsia="宋体" w:cs="宋体"/>
              <w:szCs w:val="21"/>
              <w:highlight w:val="none"/>
            </w:rPr>
            <w:fldChar w:fldCharType="separate"/>
          </w:r>
          <w:r>
            <w:rPr>
              <w:rFonts w:hint="eastAsia"/>
              <w:bCs/>
              <w:szCs w:val="21"/>
              <w:highlight w:val="none"/>
            </w:rPr>
            <w:t>A6.2关于评标活动暂停</w:t>
          </w:r>
          <w:r>
            <w:tab/>
          </w:r>
          <w:r>
            <w:fldChar w:fldCharType="begin"/>
          </w:r>
          <w:r>
            <w:instrText xml:space="preserve"> PAGEREF _Toc8272 \h </w:instrText>
          </w:r>
          <w:r>
            <w:fldChar w:fldCharType="separate"/>
          </w:r>
          <w:r>
            <w:t>65</w:t>
          </w:r>
          <w:r>
            <w:fldChar w:fldCharType="end"/>
          </w:r>
          <w:r>
            <w:rPr>
              <w:rFonts w:ascii="宋体" w:hAnsi="宋体" w:eastAsia="宋体" w:cs="宋体"/>
              <w:color w:val="auto"/>
              <w:szCs w:val="21"/>
              <w:highlight w:val="none"/>
            </w:rPr>
            <w:fldChar w:fldCharType="end"/>
          </w:r>
        </w:p>
        <w:p w14:paraId="436F2B32">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_Toc25421 </w:instrText>
          </w:r>
          <w:r>
            <w:rPr>
              <w:rFonts w:ascii="宋体" w:hAnsi="宋体" w:eastAsia="宋体" w:cs="宋体"/>
              <w:szCs w:val="21"/>
              <w:highlight w:val="none"/>
            </w:rPr>
            <w:fldChar w:fldCharType="separate"/>
          </w:r>
          <w:r>
            <w:rPr>
              <w:rFonts w:hint="eastAsia"/>
              <w:bCs/>
              <w:szCs w:val="21"/>
              <w:highlight w:val="none"/>
            </w:rPr>
            <w:t>A6.3关于评标中途更换评标委员会成员</w:t>
          </w:r>
          <w:r>
            <w:tab/>
          </w:r>
          <w:r>
            <w:fldChar w:fldCharType="begin"/>
          </w:r>
          <w:r>
            <w:instrText xml:space="preserve"> PAGEREF _Toc25421 \h </w:instrText>
          </w:r>
          <w:r>
            <w:fldChar w:fldCharType="separate"/>
          </w:r>
          <w:r>
            <w:t>65</w:t>
          </w:r>
          <w:r>
            <w:fldChar w:fldCharType="end"/>
          </w:r>
          <w:r>
            <w:rPr>
              <w:rFonts w:ascii="宋体" w:hAnsi="宋体" w:eastAsia="宋体" w:cs="宋体"/>
              <w:color w:val="auto"/>
              <w:szCs w:val="21"/>
              <w:highlight w:val="none"/>
            </w:rPr>
            <w:fldChar w:fldCharType="end"/>
          </w:r>
        </w:p>
        <w:p w14:paraId="5522785F">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_Toc11529 </w:instrText>
          </w:r>
          <w:r>
            <w:rPr>
              <w:rFonts w:ascii="宋体" w:hAnsi="宋体" w:eastAsia="宋体" w:cs="宋体"/>
              <w:szCs w:val="21"/>
              <w:highlight w:val="none"/>
            </w:rPr>
            <w:fldChar w:fldCharType="separate"/>
          </w:r>
          <w:r>
            <w:rPr>
              <w:rFonts w:hint="eastAsia"/>
              <w:bCs/>
              <w:szCs w:val="21"/>
              <w:highlight w:val="none"/>
            </w:rPr>
            <w:t>A6.4 评标争议处理</w:t>
          </w:r>
          <w:r>
            <w:tab/>
          </w:r>
          <w:r>
            <w:fldChar w:fldCharType="begin"/>
          </w:r>
          <w:r>
            <w:instrText xml:space="preserve"> PAGEREF _Toc11529 \h </w:instrText>
          </w:r>
          <w:r>
            <w:fldChar w:fldCharType="separate"/>
          </w:r>
          <w:r>
            <w:t>65</w:t>
          </w:r>
          <w:r>
            <w:fldChar w:fldCharType="end"/>
          </w:r>
          <w:r>
            <w:rPr>
              <w:rFonts w:ascii="宋体" w:hAnsi="宋体" w:eastAsia="宋体" w:cs="宋体"/>
              <w:color w:val="auto"/>
              <w:szCs w:val="21"/>
              <w:highlight w:val="none"/>
            </w:rPr>
            <w:fldChar w:fldCharType="end"/>
          </w:r>
        </w:p>
        <w:p w14:paraId="26A2DEAB">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_Toc28527 </w:instrText>
          </w:r>
          <w:r>
            <w:rPr>
              <w:rFonts w:ascii="宋体" w:hAnsi="宋体" w:eastAsia="宋体" w:cs="宋体"/>
              <w:szCs w:val="21"/>
              <w:highlight w:val="none"/>
            </w:rPr>
            <w:fldChar w:fldCharType="separate"/>
          </w:r>
          <w:r>
            <w:rPr>
              <w:rFonts w:hint="eastAsia"/>
              <w:highlight w:val="none"/>
            </w:rPr>
            <w:t>A7.补充条款</w:t>
          </w:r>
          <w:r>
            <w:tab/>
          </w:r>
          <w:r>
            <w:fldChar w:fldCharType="begin"/>
          </w:r>
          <w:r>
            <w:instrText xml:space="preserve"> PAGEREF _Toc28527 \h </w:instrText>
          </w:r>
          <w:r>
            <w:fldChar w:fldCharType="separate"/>
          </w:r>
          <w:r>
            <w:t>66</w:t>
          </w:r>
          <w:r>
            <w:fldChar w:fldCharType="end"/>
          </w:r>
          <w:r>
            <w:rPr>
              <w:rFonts w:ascii="宋体" w:hAnsi="宋体" w:eastAsia="宋体" w:cs="宋体"/>
              <w:color w:val="auto"/>
              <w:szCs w:val="21"/>
              <w:highlight w:val="none"/>
            </w:rPr>
            <w:fldChar w:fldCharType="end"/>
          </w:r>
        </w:p>
        <w:p w14:paraId="6ED16392">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_Toc608 </w:instrText>
          </w:r>
          <w:r>
            <w:rPr>
              <w:rFonts w:ascii="宋体" w:hAnsi="宋体" w:eastAsia="宋体" w:cs="宋体"/>
              <w:szCs w:val="21"/>
              <w:highlight w:val="none"/>
            </w:rPr>
            <w:fldChar w:fldCharType="separate"/>
          </w:r>
          <w:r>
            <w:rPr>
              <w:rFonts w:hint="eastAsia"/>
              <w:szCs w:val="24"/>
              <w:highlight w:val="none"/>
            </w:rPr>
            <w:t>附件B：否决投标的条件</w:t>
          </w:r>
          <w:r>
            <w:tab/>
          </w:r>
          <w:r>
            <w:fldChar w:fldCharType="begin"/>
          </w:r>
          <w:r>
            <w:instrText xml:space="preserve"> PAGEREF _Toc608 \h </w:instrText>
          </w:r>
          <w:r>
            <w:fldChar w:fldCharType="separate"/>
          </w:r>
          <w:r>
            <w:t>67</w:t>
          </w:r>
          <w:r>
            <w:fldChar w:fldCharType="end"/>
          </w:r>
          <w:r>
            <w:rPr>
              <w:rFonts w:ascii="宋体" w:hAnsi="宋体" w:eastAsia="宋体" w:cs="宋体"/>
              <w:color w:val="auto"/>
              <w:szCs w:val="21"/>
              <w:highlight w:val="none"/>
            </w:rPr>
            <w:fldChar w:fldCharType="end"/>
          </w:r>
        </w:p>
        <w:p w14:paraId="68803A88">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_Toc20563 </w:instrText>
          </w:r>
          <w:r>
            <w:rPr>
              <w:rFonts w:ascii="宋体" w:hAnsi="宋体" w:eastAsia="宋体" w:cs="宋体"/>
              <w:szCs w:val="21"/>
              <w:highlight w:val="none"/>
            </w:rPr>
            <w:fldChar w:fldCharType="separate"/>
          </w:r>
          <w:r>
            <w:rPr>
              <w:rFonts w:hint="eastAsia"/>
              <w:highlight w:val="none"/>
            </w:rPr>
            <w:t>B0.总  则</w:t>
          </w:r>
          <w:r>
            <w:tab/>
          </w:r>
          <w:r>
            <w:fldChar w:fldCharType="begin"/>
          </w:r>
          <w:r>
            <w:instrText xml:space="preserve"> PAGEREF _Toc20563 \h </w:instrText>
          </w:r>
          <w:r>
            <w:fldChar w:fldCharType="separate"/>
          </w:r>
          <w:r>
            <w:t>67</w:t>
          </w:r>
          <w:r>
            <w:fldChar w:fldCharType="end"/>
          </w:r>
          <w:r>
            <w:rPr>
              <w:rFonts w:ascii="宋体" w:hAnsi="宋体" w:eastAsia="宋体" w:cs="宋体"/>
              <w:color w:val="auto"/>
              <w:szCs w:val="21"/>
              <w:highlight w:val="none"/>
            </w:rPr>
            <w:fldChar w:fldCharType="end"/>
          </w:r>
        </w:p>
        <w:p w14:paraId="7446D675">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_Toc21146 </w:instrText>
          </w:r>
          <w:r>
            <w:rPr>
              <w:rFonts w:ascii="宋体" w:hAnsi="宋体" w:eastAsia="宋体" w:cs="宋体"/>
              <w:szCs w:val="21"/>
              <w:highlight w:val="none"/>
            </w:rPr>
            <w:fldChar w:fldCharType="separate"/>
          </w:r>
          <w:r>
            <w:rPr>
              <w:rFonts w:hint="eastAsia"/>
              <w:highlight w:val="none"/>
            </w:rPr>
            <w:t>B1</w:t>
          </w:r>
          <w:r>
            <w:rPr>
              <w:highlight w:val="none"/>
            </w:rPr>
            <w:t>.</w:t>
          </w:r>
          <w:r>
            <w:rPr>
              <w:rFonts w:hint="eastAsia"/>
              <w:highlight w:val="none"/>
            </w:rPr>
            <w:t>否决投标的条件</w:t>
          </w:r>
          <w:r>
            <w:tab/>
          </w:r>
          <w:r>
            <w:fldChar w:fldCharType="begin"/>
          </w:r>
          <w:r>
            <w:instrText xml:space="preserve"> PAGEREF _Toc21146 \h </w:instrText>
          </w:r>
          <w:r>
            <w:fldChar w:fldCharType="separate"/>
          </w:r>
          <w:r>
            <w:t>67</w:t>
          </w:r>
          <w:r>
            <w:fldChar w:fldCharType="end"/>
          </w:r>
          <w:r>
            <w:rPr>
              <w:rFonts w:ascii="宋体" w:hAnsi="宋体" w:eastAsia="宋体" w:cs="宋体"/>
              <w:color w:val="auto"/>
              <w:szCs w:val="21"/>
              <w:highlight w:val="none"/>
            </w:rPr>
            <w:fldChar w:fldCharType="end"/>
          </w:r>
        </w:p>
        <w:p w14:paraId="5844B820">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_Toc17940 </w:instrText>
          </w:r>
          <w:r>
            <w:rPr>
              <w:rFonts w:ascii="宋体" w:hAnsi="宋体" w:eastAsia="宋体" w:cs="宋体"/>
              <w:szCs w:val="21"/>
              <w:highlight w:val="none"/>
            </w:rPr>
            <w:fldChar w:fldCharType="separate"/>
          </w:r>
          <w:r>
            <w:rPr>
              <w:rFonts w:hint="eastAsia"/>
              <w:highlight w:val="none"/>
            </w:rPr>
            <w:t>附表A-1：评标委员会签到表</w:t>
          </w:r>
          <w:r>
            <w:tab/>
          </w:r>
          <w:r>
            <w:fldChar w:fldCharType="begin"/>
          </w:r>
          <w:r>
            <w:instrText xml:space="preserve"> PAGEREF _Toc17940 \h </w:instrText>
          </w:r>
          <w:r>
            <w:fldChar w:fldCharType="separate"/>
          </w:r>
          <w:r>
            <w:t>70</w:t>
          </w:r>
          <w:r>
            <w:fldChar w:fldCharType="end"/>
          </w:r>
          <w:r>
            <w:rPr>
              <w:rFonts w:ascii="宋体" w:hAnsi="宋体" w:eastAsia="宋体" w:cs="宋体"/>
              <w:color w:val="auto"/>
              <w:szCs w:val="21"/>
              <w:highlight w:val="none"/>
            </w:rPr>
            <w:fldChar w:fldCharType="end"/>
          </w:r>
        </w:p>
        <w:p w14:paraId="558DB4A2">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_Toc166 </w:instrText>
          </w:r>
          <w:r>
            <w:rPr>
              <w:rFonts w:ascii="宋体" w:hAnsi="宋体" w:eastAsia="宋体" w:cs="宋体"/>
              <w:szCs w:val="21"/>
              <w:highlight w:val="none"/>
            </w:rPr>
            <w:fldChar w:fldCharType="separate"/>
          </w:r>
          <w:r>
            <w:rPr>
              <w:highlight w:val="none"/>
            </w:rPr>
            <w:t>附表A-2：评标专家</w:t>
          </w:r>
          <w:r>
            <w:rPr>
              <w:rFonts w:hint="eastAsia"/>
              <w:highlight w:val="none"/>
            </w:rPr>
            <w:t>告知承诺函</w:t>
          </w:r>
          <w:r>
            <w:tab/>
          </w:r>
          <w:r>
            <w:fldChar w:fldCharType="begin"/>
          </w:r>
          <w:r>
            <w:instrText xml:space="preserve"> PAGEREF _Toc166 \h </w:instrText>
          </w:r>
          <w:r>
            <w:fldChar w:fldCharType="separate"/>
          </w:r>
          <w:r>
            <w:t>71</w:t>
          </w:r>
          <w:r>
            <w:fldChar w:fldCharType="end"/>
          </w:r>
          <w:r>
            <w:rPr>
              <w:rFonts w:ascii="宋体" w:hAnsi="宋体" w:eastAsia="宋体" w:cs="宋体"/>
              <w:color w:val="auto"/>
              <w:szCs w:val="21"/>
              <w:highlight w:val="none"/>
            </w:rPr>
            <w:fldChar w:fldCharType="end"/>
          </w:r>
        </w:p>
        <w:p w14:paraId="172DF934">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_Toc17954 </w:instrText>
          </w:r>
          <w:r>
            <w:rPr>
              <w:rFonts w:ascii="宋体" w:hAnsi="宋体" w:eastAsia="宋体" w:cs="宋体"/>
              <w:szCs w:val="21"/>
              <w:highlight w:val="none"/>
            </w:rPr>
            <w:fldChar w:fldCharType="separate"/>
          </w:r>
          <w:r>
            <w:rPr>
              <w:highlight w:val="none"/>
            </w:rPr>
            <w:t>附表A-3：技术暗标编号确认表</w:t>
          </w:r>
          <w:r>
            <w:tab/>
          </w:r>
          <w:r>
            <w:fldChar w:fldCharType="begin"/>
          </w:r>
          <w:r>
            <w:instrText xml:space="preserve"> PAGEREF _Toc17954 \h </w:instrText>
          </w:r>
          <w:r>
            <w:fldChar w:fldCharType="separate"/>
          </w:r>
          <w:r>
            <w:t>73</w:t>
          </w:r>
          <w:r>
            <w:fldChar w:fldCharType="end"/>
          </w:r>
          <w:r>
            <w:rPr>
              <w:rFonts w:ascii="宋体" w:hAnsi="宋体" w:eastAsia="宋体" w:cs="宋体"/>
              <w:color w:val="auto"/>
              <w:szCs w:val="21"/>
              <w:highlight w:val="none"/>
            </w:rPr>
            <w:fldChar w:fldCharType="end"/>
          </w:r>
        </w:p>
        <w:p w14:paraId="5544E894">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_Toc14728 </w:instrText>
          </w:r>
          <w:r>
            <w:rPr>
              <w:rFonts w:ascii="宋体" w:hAnsi="宋体" w:eastAsia="宋体" w:cs="宋体"/>
              <w:szCs w:val="21"/>
              <w:highlight w:val="none"/>
            </w:rPr>
            <w:fldChar w:fldCharType="separate"/>
          </w:r>
          <w:r>
            <w:rPr>
              <w:rFonts w:hint="eastAsia"/>
              <w:highlight w:val="none"/>
            </w:rPr>
            <w:t>附表A-4：形式评审记录表</w:t>
          </w:r>
          <w:r>
            <w:tab/>
          </w:r>
          <w:r>
            <w:fldChar w:fldCharType="begin"/>
          </w:r>
          <w:r>
            <w:instrText xml:space="preserve"> PAGEREF _Toc14728 \h </w:instrText>
          </w:r>
          <w:r>
            <w:fldChar w:fldCharType="separate"/>
          </w:r>
          <w:r>
            <w:t>74</w:t>
          </w:r>
          <w:r>
            <w:fldChar w:fldCharType="end"/>
          </w:r>
          <w:r>
            <w:rPr>
              <w:rFonts w:ascii="宋体" w:hAnsi="宋体" w:eastAsia="宋体" w:cs="宋体"/>
              <w:color w:val="auto"/>
              <w:szCs w:val="21"/>
              <w:highlight w:val="none"/>
            </w:rPr>
            <w:fldChar w:fldCharType="end"/>
          </w:r>
        </w:p>
        <w:p w14:paraId="4428C179">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_Toc27001 </w:instrText>
          </w:r>
          <w:r>
            <w:rPr>
              <w:rFonts w:ascii="宋体" w:hAnsi="宋体" w:eastAsia="宋体" w:cs="宋体"/>
              <w:szCs w:val="21"/>
              <w:highlight w:val="none"/>
            </w:rPr>
            <w:fldChar w:fldCharType="separate"/>
          </w:r>
          <w:r>
            <w:rPr>
              <w:rFonts w:hint="eastAsia"/>
              <w:highlight w:val="none"/>
            </w:rPr>
            <w:t>附表A-5：资格评审记录表</w:t>
          </w:r>
          <w:r>
            <w:tab/>
          </w:r>
          <w:r>
            <w:fldChar w:fldCharType="begin"/>
          </w:r>
          <w:r>
            <w:instrText xml:space="preserve"> PAGEREF _Toc27001 \h </w:instrText>
          </w:r>
          <w:r>
            <w:fldChar w:fldCharType="separate"/>
          </w:r>
          <w:r>
            <w:t>75</w:t>
          </w:r>
          <w:r>
            <w:fldChar w:fldCharType="end"/>
          </w:r>
          <w:r>
            <w:rPr>
              <w:rFonts w:ascii="宋体" w:hAnsi="宋体" w:eastAsia="宋体" w:cs="宋体"/>
              <w:color w:val="auto"/>
              <w:szCs w:val="21"/>
              <w:highlight w:val="none"/>
            </w:rPr>
            <w:fldChar w:fldCharType="end"/>
          </w:r>
        </w:p>
        <w:p w14:paraId="4FD2C8BD">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_Toc31276 </w:instrText>
          </w:r>
          <w:r>
            <w:rPr>
              <w:rFonts w:ascii="宋体" w:hAnsi="宋体" w:eastAsia="宋体" w:cs="宋体"/>
              <w:szCs w:val="21"/>
              <w:highlight w:val="none"/>
            </w:rPr>
            <w:fldChar w:fldCharType="separate"/>
          </w:r>
          <w:r>
            <w:rPr>
              <w:rFonts w:hint="eastAsia"/>
              <w:highlight w:val="none"/>
            </w:rPr>
            <w:t>附表A-6：响应性评审记录表</w:t>
          </w:r>
          <w:r>
            <w:tab/>
          </w:r>
          <w:r>
            <w:fldChar w:fldCharType="begin"/>
          </w:r>
          <w:r>
            <w:instrText xml:space="preserve"> PAGEREF _Toc31276 \h </w:instrText>
          </w:r>
          <w:r>
            <w:fldChar w:fldCharType="separate"/>
          </w:r>
          <w:r>
            <w:t>76</w:t>
          </w:r>
          <w:r>
            <w:fldChar w:fldCharType="end"/>
          </w:r>
          <w:r>
            <w:rPr>
              <w:rFonts w:ascii="宋体" w:hAnsi="宋体" w:eastAsia="宋体" w:cs="宋体"/>
              <w:color w:val="auto"/>
              <w:szCs w:val="21"/>
              <w:highlight w:val="none"/>
            </w:rPr>
            <w:fldChar w:fldCharType="end"/>
          </w:r>
        </w:p>
        <w:p w14:paraId="747FE490">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_Toc27055 </w:instrText>
          </w:r>
          <w:r>
            <w:rPr>
              <w:rFonts w:ascii="宋体" w:hAnsi="宋体" w:eastAsia="宋体" w:cs="宋体"/>
              <w:szCs w:val="21"/>
              <w:highlight w:val="none"/>
            </w:rPr>
            <w:fldChar w:fldCharType="separate"/>
          </w:r>
          <w:r>
            <w:rPr>
              <w:rFonts w:hint="eastAsia"/>
              <w:highlight w:val="none"/>
            </w:rPr>
            <w:t>附表A-7：技术标评审记录表（合格性）</w:t>
          </w:r>
          <w:r>
            <w:tab/>
          </w:r>
          <w:r>
            <w:fldChar w:fldCharType="begin"/>
          </w:r>
          <w:r>
            <w:instrText xml:space="preserve"> PAGEREF _Toc27055 \h </w:instrText>
          </w:r>
          <w:r>
            <w:fldChar w:fldCharType="separate"/>
          </w:r>
          <w:r>
            <w:t>77</w:t>
          </w:r>
          <w:r>
            <w:fldChar w:fldCharType="end"/>
          </w:r>
          <w:r>
            <w:rPr>
              <w:rFonts w:ascii="宋体" w:hAnsi="宋体" w:eastAsia="宋体" w:cs="宋体"/>
              <w:color w:val="auto"/>
              <w:szCs w:val="21"/>
              <w:highlight w:val="none"/>
            </w:rPr>
            <w:fldChar w:fldCharType="end"/>
          </w:r>
        </w:p>
        <w:p w14:paraId="7B2B8AD6">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_Toc27845 </w:instrText>
          </w:r>
          <w:r>
            <w:rPr>
              <w:rFonts w:ascii="宋体" w:hAnsi="宋体" w:eastAsia="宋体" w:cs="宋体"/>
              <w:szCs w:val="21"/>
              <w:highlight w:val="none"/>
            </w:rPr>
            <w:fldChar w:fldCharType="separate"/>
          </w:r>
          <w:r>
            <w:rPr>
              <w:rFonts w:hint="eastAsia"/>
              <w:highlight w:val="none"/>
            </w:rPr>
            <w:t>附表A-</w:t>
          </w:r>
          <w:r>
            <w:rPr>
              <w:highlight w:val="none"/>
            </w:rPr>
            <w:t>8</w:t>
          </w:r>
          <w:r>
            <w:rPr>
              <w:rFonts w:hint="eastAsia"/>
              <w:highlight w:val="none"/>
            </w:rPr>
            <w:t>：初步评审汇总记录表</w:t>
          </w:r>
          <w:r>
            <w:tab/>
          </w:r>
          <w:r>
            <w:fldChar w:fldCharType="begin"/>
          </w:r>
          <w:r>
            <w:instrText xml:space="preserve"> PAGEREF _Toc27845 \h </w:instrText>
          </w:r>
          <w:r>
            <w:fldChar w:fldCharType="separate"/>
          </w:r>
          <w:r>
            <w:t>78</w:t>
          </w:r>
          <w:r>
            <w:fldChar w:fldCharType="end"/>
          </w:r>
          <w:r>
            <w:rPr>
              <w:rFonts w:ascii="宋体" w:hAnsi="宋体" w:eastAsia="宋体" w:cs="宋体"/>
              <w:color w:val="auto"/>
              <w:szCs w:val="21"/>
              <w:highlight w:val="none"/>
            </w:rPr>
            <w:fldChar w:fldCharType="end"/>
          </w:r>
        </w:p>
        <w:p w14:paraId="6972E41D">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_Toc2901 </w:instrText>
          </w:r>
          <w:r>
            <w:rPr>
              <w:rFonts w:ascii="宋体" w:hAnsi="宋体" w:eastAsia="宋体" w:cs="宋体"/>
              <w:szCs w:val="21"/>
              <w:highlight w:val="none"/>
            </w:rPr>
            <w:fldChar w:fldCharType="separate"/>
          </w:r>
          <w:r>
            <w:rPr>
              <w:rFonts w:hint="eastAsia"/>
              <w:highlight w:val="none"/>
            </w:rPr>
            <w:t>附表A-</w:t>
          </w:r>
          <w:r>
            <w:rPr>
              <w:highlight w:val="none"/>
            </w:rPr>
            <w:t>9</w:t>
          </w:r>
          <w:r>
            <w:rPr>
              <w:rFonts w:hint="eastAsia"/>
              <w:highlight w:val="none"/>
            </w:rPr>
            <w:t>：否决投标的情况说明</w:t>
          </w:r>
          <w:r>
            <w:tab/>
          </w:r>
          <w:r>
            <w:fldChar w:fldCharType="begin"/>
          </w:r>
          <w:r>
            <w:instrText xml:space="preserve"> PAGEREF _Toc2901 \h </w:instrText>
          </w:r>
          <w:r>
            <w:fldChar w:fldCharType="separate"/>
          </w:r>
          <w:r>
            <w:t>79</w:t>
          </w:r>
          <w:r>
            <w:fldChar w:fldCharType="end"/>
          </w:r>
          <w:r>
            <w:rPr>
              <w:rFonts w:ascii="宋体" w:hAnsi="宋体" w:eastAsia="宋体" w:cs="宋体"/>
              <w:color w:val="auto"/>
              <w:szCs w:val="21"/>
              <w:highlight w:val="none"/>
            </w:rPr>
            <w:fldChar w:fldCharType="end"/>
          </w:r>
        </w:p>
        <w:p w14:paraId="1F3129DB">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_Toc8736 </w:instrText>
          </w:r>
          <w:r>
            <w:rPr>
              <w:rFonts w:ascii="宋体" w:hAnsi="宋体" w:eastAsia="宋体" w:cs="宋体"/>
              <w:szCs w:val="21"/>
              <w:highlight w:val="none"/>
            </w:rPr>
            <w:fldChar w:fldCharType="separate"/>
          </w:r>
          <w:r>
            <w:rPr>
              <w:rFonts w:hint="eastAsia"/>
              <w:highlight w:val="none"/>
            </w:rPr>
            <w:t>附表A-</w:t>
          </w:r>
          <w:r>
            <w:rPr>
              <w:highlight w:val="none"/>
            </w:rPr>
            <w:t>10</w:t>
          </w:r>
          <w:r>
            <w:rPr>
              <w:rFonts w:hint="eastAsia"/>
              <w:highlight w:val="none"/>
            </w:rPr>
            <w:t>：经济标评分记录表</w:t>
          </w:r>
          <w:r>
            <w:tab/>
          </w:r>
          <w:r>
            <w:fldChar w:fldCharType="begin"/>
          </w:r>
          <w:r>
            <w:instrText xml:space="preserve"> PAGEREF _Toc8736 \h </w:instrText>
          </w:r>
          <w:r>
            <w:fldChar w:fldCharType="separate"/>
          </w:r>
          <w:r>
            <w:t>80</w:t>
          </w:r>
          <w:r>
            <w:fldChar w:fldCharType="end"/>
          </w:r>
          <w:r>
            <w:rPr>
              <w:rFonts w:ascii="宋体" w:hAnsi="宋体" w:eastAsia="宋体" w:cs="宋体"/>
              <w:color w:val="auto"/>
              <w:szCs w:val="21"/>
              <w:highlight w:val="none"/>
            </w:rPr>
            <w:fldChar w:fldCharType="end"/>
          </w:r>
        </w:p>
        <w:p w14:paraId="37BB07F1">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_Toc2174 </w:instrText>
          </w:r>
          <w:r>
            <w:rPr>
              <w:rFonts w:ascii="宋体" w:hAnsi="宋体" w:eastAsia="宋体" w:cs="宋体"/>
              <w:szCs w:val="21"/>
              <w:highlight w:val="none"/>
            </w:rPr>
            <w:fldChar w:fldCharType="separate"/>
          </w:r>
          <w:r>
            <w:rPr>
              <w:rFonts w:hint="eastAsia"/>
              <w:highlight w:val="none"/>
            </w:rPr>
            <w:t>附表A-</w:t>
          </w:r>
          <w:r>
            <w:rPr>
              <w:highlight w:val="none"/>
            </w:rPr>
            <w:t>11</w:t>
          </w:r>
          <w:r>
            <w:rPr>
              <w:rFonts w:hint="eastAsia"/>
              <w:highlight w:val="none"/>
            </w:rPr>
            <w:t>：技术标评审记录表（评分）</w:t>
          </w:r>
          <w:r>
            <w:tab/>
          </w:r>
          <w:r>
            <w:fldChar w:fldCharType="begin"/>
          </w:r>
          <w:r>
            <w:instrText xml:space="preserve"> PAGEREF _Toc2174 \h </w:instrText>
          </w:r>
          <w:r>
            <w:fldChar w:fldCharType="separate"/>
          </w:r>
          <w:r>
            <w:t>81</w:t>
          </w:r>
          <w:r>
            <w:fldChar w:fldCharType="end"/>
          </w:r>
          <w:r>
            <w:rPr>
              <w:rFonts w:ascii="宋体" w:hAnsi="宋体" w:eastAsia="宋体" w:cs="宋体"/>
              <w:color w:val="auto"/>
              <w:szCs w:val="21"/>
              <w:highlight w:val="none"/>
            </w:rPr>
            <w:fldChar w:fldCharType="end"/>
          </w:r>
        </w:p>
        <w:p w14:paraId="55EFCA53">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_Toc3732 </w:instrText>
          </w:r>
          <w:r>
            <w:rPr>
              <w:rFonts w:ascii="宋体" w:hAnsi="宋体" w:eastAsia="宋体" w:cs="宋体"/>
              <w:szCs w:val="21"/>
              <w:highlight w:val="none"/>
            </w:rPr>
            <w:fldChar w:fldCharType="separate"/>
          </w:r>
          <w:r>
            <w:rPr>
              <w:rFonts w:hint="eastAsia"/>
              <w:highlight w:val="none"/>
            </w:rPr>
            <w:t>附表A-</w:t>
          </w:r>
          <w:r>
            <w:rPr>
              <w:highlight w:val="none"/>
            </w:rPr>
            <w:t>12</w:t>
          </w:r>
          <w:r>
            <w:rPr>
              <w:rFonts w:hint="eastAsia"/>
              <w:highlight w:val="none"/>
            </w:rPr>
            <w:t>：技术标评审记录表（个人）</w:t>
          </w:r>
          <w:r>
            <w:tab/>
          </w:r>
          <w:r>
            <w:fldChar w:fldCharType="begin"/>
          </w:r>
          <w:r>
            <w:instrText xml:space="preserve"> PAGEREF _Toc3732 \h </w:instrText>
          </w:r>
          <w:r>
            <w:fldChar w:fldCharType="separate"/>
          </w:r>
          <w:r>
            <w:t>82</w:t>
          </w:r>
          <w:r>
            <w:fldChar w:fldCharType="end"/>
          </w:r>
          <w:r>
            <w:rPr>
              <w:rFonts w:ascii="宋体" w:hAnsi="宋体" w:eastAsia="宋体" w:cs="宋体"/>
              <w:color w:val="auto"/>
              <w:szCs w:val="21"/>
              <w:highlight w:val="none"/>
            </w:rPr>
            <w:fldChar w:fldCharType="end"/>
          </w:r>
        </w:p>
        <w:p w14:paraId="04FD71A7">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_Toc25711 </w:instrText>
          </w:r>
          <w:r>
            <w:rPr>
              <w:rFonts w:ascii="宋体" w:hAnsi="宋体" w:eastAsia="宋体" w:cs="宋体"/>
              <w:szCs w:val="21"/>
              <w:highlight w:val="none"/>
            </w:rPr>
            <w:fldChar w:fldCharType="separate"/>
          </w:r>
          <w:r>
            <w:rPr>
              <w:rFonts w:hint="eastAsia"/>
              <w:highlight w:val="none"/>
            </w:rPr>
            <w:t>附表A-1</w:t>
          </w:r>
          <w:r>
            <w:rPr>
              <w:highlight w:val="none"/>
            </w:rPr>
            <w:t>3</w:t>
          </w:r>
          <w:r>
            <w:rPr>
              <w:rFonts w:hint="eastAsia"/>
              <w:highlight w:val="none"/>
            </w:rPr>
            <w:t>：</w:t>
          </w:r>
          <w:r>
            <w:rPr>
              <w:rFonts w:hint="eastAsia" w:ascii="宋体" w:hAnsi="宋体"/>
              <w:szCs w:val="21"/>
              <w:highlight w:val="none"/>
            </w:rPr>
            <w:t>资信标</w:t>
          </w:r>
          <w:r>
            <w:rPr>
              <w:rFonts w:hint="eastAsia"/>
              <w:highlight w:val="none"/>
            </w:rPr>
            <w:t>评审记录表</w:t>
          </w:r>
          <w:r>
            <w:tab/>
          </w:r>
          <w:r>
            <w:fldChar w:fldCharType="begin"/>
          </w:r>
          <w:r>
            <w:instrText xml:space="preserve"> PAGEREF _Toc25711 \h </w:instrText>
          </w:r>
          <w:r>
            <w:fldChar w:fldCharType="separate"/>
          </w:r>
          <w:r>
            <w:t>83</w:t>
          </w:r>
          <w:r>
            <w:fldChar w:fldCharType="end"/>
          </w:r>
          <w:r>
            <w:rPr>
              <w:rFonts w:ascii="宋体" w:hAnsi="宋体" w:eastAsia="宋体" w:cs="宋体"/>
              <w:color w:val="auto"/>
              <w:szCs w:val="21"/>
              <w:highlight w:val="none"/>
            </w:rPr>
            <w:fldChar w:fldCharType="end"/>
          </w:r>
        </w:p>
        <w:p w14:paraId="7809514E">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_Toc12154 </w:instrText>
          </w:r>
          <w:r>
            <w:rPr>
              <w:rFonts w:ascii="宋体" w:hAnsi="宋体" w:eastAsia="宋体" w:cs="宋体"/>
              <w:szCs w:val="21"/>
              <w:highlight w:val="none"/>
            </w:rPr>
            <w:fldChar w:fldCharType="separate"/>
          </w:r>
          <w:r>
            <w:rPr>
              <w:rFonts w:hint="eastAsia"/>
              <w:highlight w:val="none"/>
            </w:rPr>
            <w:t>附表A-1</w:t>
          </w:r>
          <w:r>
            <w:rPr>
              <w:highlight w:val="none"/>
            </w:rPr>
            <w:t>4</w:t>
          </w:r>
          <w:r>
            <w:rPr>
              <w:rFonts w:hint="eastAsia"/>
              <w:highlight w:val="none"/>
            </w:rPr>
            <w:t>：其他因素评审记录表</w:t>
          </w:r>
          <w:r>
            <w:tab/>
          </w:r>
          <w:r>
            <w:fldChar w:fldCharType="begin"/>
          </w:r>
          <w:r>
            <w:instrText xml:space="preserve"> PAGEREF _Toc12154 \h </w:instrText>
          </w:r>
          <w:r>
            <w:fldChar w:fldCharType="separate"/>
          </w:r>
          <w:r>
            <w:t>84</w:t>
          </w:r>
          <w:r>
            <w:fldChar w:fldCharType="end"/>
          </w:r>
          <w:r>
            <w:rPr>
              <w:rFonts w:ascii="宋体" w:hAnsi="宋体" w:eastAsia="宋体" w:cs="宋体"/>
              <w:color w:val="auto"/>
              <w:szCs w:val="21"/>
              <w:highlight w:val="none"/>
            </w:rPr>
            <w:fldChar w:fldCharType="end"/>
          </w:r>
        </w:p>
        <w:p w14:paraId="04FC2626">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_Toc6584 </w:instrText>
          </w:r>
          <w:r>
            <w:rPr>
              <w:rFonts w:ascii="宋体" w:hAnsi="宋体" w:eastAsia="宋体" w:cs="宋体"/>
              <w:szCs w:val="21"/>
              <w:highlight w:val="none"/>
            </w:rPr>
            <w:fldChar w:fldCharType="separate"/>
          </w:r>
          <w:r>
            <w:rPr>
              <w:rFonts w:hint="eastAsia"/>
              <w:highlight w:val="none"/>
            </w:rPr>
            <w:t>附表A-1</w:t>
          </w:r>
          <w:r>
            <w:rPr>
              <w:highlight w:val="none"/>
            </w:rPr>
            <w:t>5</w:t>
          </w:r>
          <w:r>
            <w:rPr>
              <w:rFonts w:hint="eastAsia"/>
              <w:highlight w:val="none"/>
            </w:rPr>
            <w:t>：详细评审评分汇总表</w:t>
          </w:r>
          <w:r>
            <w:tab/>
          </w:r>
          <w:r>
            <w:fldChar w:fldCharType="begin"/>
          </w:r>
          <w:r>
            <w:instrText xml:space="preserve"> PAGEREF _Toc6584 \h </w:instrText>
          </w:r>
          <w:r>
            <w:fldChar w:fldCharType="separate"/>
          </w:r>
          <w:r>
            <w:t>85</w:t>
          </w:r>
          <w:r>
            <w:fldChar w:fldCharType="end"/>
          </w:r>
          <w:r>
            <w:rPr>
              <w:rFonts w:ascii="宋体" w:hAnsi="宋体" w:eastAsia="宋体" w:cs="宋体"/>
              <w:color w:val="auto"/>
              <w:szCs w:val="21"/>
              <w:highlight w:val="none"/>
            </w:rPr>
            <w:fldChar w:fldCharType="end"/>
          </w:r>
        </w:p>
        <w:p w14:paraId="4CE2234C">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_Toc9548 </w:instrText>
          </w:r>
          <w:r>
            <w:rPr>
              <w:rFonts w:ascii="宋体" w:hAnsi="宋体" w:eastAsia="宋体" w:cs="宋体"/>
              <w:szCs w:val="21"/>
              <w:highlight w:val="none"/>
            </w:rPr>
            <w:fldChar w:fldCharType="separate"/>
          </w:r>
          <w:r>
            <w:rPr>
              <w:rFonts w:hint="eastAsia"/>
              <w:highlight w:val="none"/>
            </w:rPr>
            <w:t>附表A-1</w:t>
          </w:r>
          <w:r>
            <w:rPr>
              <w:highlight w:val="none"/>
            </w:rPr>
            <w:t>6</w:t>
          </w:r>
          <w:r>
            <w:rPr>
              <w:rFonts w:hint="eastAsia"/>
              <w:highlight w:val="none"/>
            </w:rPr>
            <w:t>：评标结果汇总表</w:t>
          </w:r>
          <w:r>
            <w:tab/>
          </w:r>
          <w:r>
            <w:fldChar w:fldCharType="begin"/>
          </w:r>
          <w:r>
            <w:instrText xml:space="preserve"> PAGEREF _Toc9548 \h </w:instrText>
          </w:r>
          <w:r>
            <w:fldChar w:fldCharType="separate"/>
          </w:r>
          <w:r>
            <w:t>86</w:t>
          </w:r>
          <w:r>
            <w:fldChar w:fldCharType="end"/>
          </w:r>
          <w:r>
            <w:rPr>
              <w:rFonts w:ascii="宋体" w:hAnsi="宋体" w:eastAsia="宋体" w:cs="宋体"/>
              <w:color w:val="auto"/>
              <w:szCs w:val="21"/>
              <w:highlight w:val="none"/>
            </w:rPr>
            <w:fldChar w:fldCharType="end"/>
          </w:r>
        </w:p>
        <w:p w14:paraId="32729ECA">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_Toc24149 </w:instrText>
          </w:r>
          <w:r>
            <w:rPr>
              <w:rFonts w:ascii="宋体" w:hAnsi="宋体" w:eastAsia="宋体" w:cs="宋体"/>
              <w:szCs w:val="21"/>
              <w:highlight w:val="none"/>
            </w:rPr>
            <w:fldChar w:fldCharType="separate"/>
          </w:r>
          <w:r>
            <w:rPr>
              <w:rFonts w:hint="eastAsia"/>
              <w:highlight w:val="none"/>
            </w:rPr>
            <w:t>附表A-1</w:t>
          </w:r>
          <w:r>
            <w:rPr>
              <w:highlight w:val="none"/>
            </w:rPr>
            <w:t>7</w:t>
          </w:r>
          <w:r>
            <w:rPr>
              <w:rFonts w:hint="eastAsia"/>
              <w:highlight w:val="none"/>
            </w:rPr>
            <w:t>：推荐中标候选人一览表</w:t>
          </w:r>
          <w:r>
            <w:tab/>
          </w:r>
          <w:r>
            <w:fldChar w:fldCharType="begin"/>
          </w:r>
          <w:r>
            <w:instrText xml:space="preserve"> PAGEREF _Toc24149 \h </w:instrText>
          </w:r>
          <w:r>
            <w:fldChar w:fldCharType="separate"/>
          </w:r>
          <w:r>
            <w:t>87</w:t>
          </w:r>
          <w:r>
            <w:fldChar w:fldCharType="end"/>
          </w:r>
          <w:r>
            <w:rPr>
              <w:rFonts w:ascii="宋体" w:hAnsi="宋体" w:eastAsia="宋体" w:cs="宋体"/>
              <w:color w:val="auto"/>
              <w:szCs w:val="21"/>
              <w:highlight w:val="none"/>
            </w:rPr>
            <w:fldChar w:fldCharType="end"/>
          </w:r>
        </w:p>
        <w:p w14:paraId="35621ED1">
          <w:pPr>
            <w:pStyle w:val="6"/>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_Toc12255 </w:instrText>
          </w:r>
          <w:r>
            <w:rPr>
              <w:rFonts w:ascii="宋体" w:hAnsi="宋体" w:eastAsia="宋体" w:cs="宋体"/>
              <w:szCs w:val="21"/>
              <w:highlight w:val="none"/>
            </w:rPr>
            <w:fldChar w:fldCharType="separate"/>
          </w:r>
          <w:r>
            <w:rPr>
              <w:rFonts w:hint="eastAsia"/>
              <w:highlight w:val="none"/>
            </w:rPr>
            <w:t>附表</w:t>
          </w:r>
          <w:r>
            <w:rPr>
              <w:highlight w:val="none"/>
            </w:rPr>
            <w:t>C</w:t>
          </w:r>
          <w:r>
            <w:rPr>
              <w:rFonts w:hint="eastAsia"/>
              <w:highlight w:val="none"/>
            </w:rPr>
            <w:t>-1：成本评审结论记录表</w:t>
          </w:r>
          <w:r>
            <w:tab/>
          </w:r>
          <w:r>
            <w:fldChar w:fldCharType="begin"/>
          </w:r>
          <w:r>
            <w:instrText xml:space="preserve"> PAGEREF _Toc12255 \h </w:instrText>
          </w:r>
          <w:r>
            <w:fldChar w:fldCharType="separate"/>
          </w:r>
          <w:r>
            <w:t>88</w:t>
          </w:r>
          <w:r>
            <w:fldChar w:fldCharType="end"/>
          </w:r>
          <w:r>
            <w:rPr>
              <w:rFonts w:ascii="宋体" w:hAnsi="宋体" w:eastAsia="宋体" w:cs="宋体"/>
              <w:color w:val="auto"/>
              <w:szCs w:val="21"/>
              <w:highlight w:val="none"/>
            </w:rPr>
            <w:fldChar w:fldCharType="end"/>
          </w:r>
        </w:p>
        <w:p w14:paraId="6110576F">
          <w:pPr>
            <w:pStyle w:val="9"/>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_Toc21887 </w:instrText>
          </w:r>
          <w:r>
            <w:rPr>
              <w:rFonts w:ascii="宋体" w:hAnsi="宋体" w:eastAsia="宋体" w:cs="宋体"/>
              <w:szCs w:val="21"/>
              <w:highlight w:val="none"/>
            </w:rPr>
            <w:fldChar w:fldCharType="separate"/>
          </w:r>
          <w:r>
            <w:rPr>
              <w:rFonts w:ascii="黑体" w:hAnsi="黑体" w:eastAsia="黑体" w:cs="黑体"/>
              <w:spacing w:val="-1"/>
              <w:szCs w:val="32"/>
              <w:highlight w:val="none"/>
            </w:rPr>
            <w:t>第四章  合同条款及格式</w:t>
          </w:r>
          <w:r>
            <w:tab/>
          </w:r>
          <w:r>
            <w:fldChar w:fldCharType="begin"/>
          </w:r>
          <w:r>
            <w:instrText xml:space="preserve"> PAGEREF _Toc21887 \h </w:instrText>
          </w:r>
          <w:r>
            <w:fldChar w:fldCharType="separate"/>
          </w:r>
          <w:r>
            <w:t>89</w:t>
          </w:r>
          <w:r>
            <w:fldChar w:fldCharType="end"/>
          </w:r>
          <w:r>
            <w:rPr>
              <w:rFonts w:ascii="宋体" w:hAnsi="宋体" w:eastAsia="宋体" w:cs="宋体"/>
              <w:color w:val="auto"/>
              <w:szCs w:val="21"/>
              <w:highlight w:val="none"/>
            </w:rPr>
            <w:fldChar w:fldCharType="end"/>
          </w:r>
        </w:p>
        <w:p w14:paraId="6061F30E">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_Toc9560 </w:instrText>
          </w:r>
          <w:r>
            <w:rPr>
              <w:rFonts w:ascii="宋体" w:hAnsi="宋体" w:eastAsia="宋体" w:cs="宋体"/>
              <w:szCs w:val="21"/>
              <w:highlight w:val="none"/>
            </w:rPr>
            <w:fldChar w:fldCharType="separate"/>
          </w:r>
          <w:r>
            <w:rPr>
              <w:rFonts w:ascii="黑体" w:hAnsi="黑体" w:eastAsia="黑体" w:cs="黑体"/>
              <w:spacing w:val="-3"/>
              <w:szCs w:val="36"/>
              <w:highlight w:val="none"/>
            </w:rPr>
            <w:t>第一部分</w:t>
          </w:r>
          <w:r>
            <w:rPr>
              <w:rFonts w:ascii="黑体" w:hAnsi="黑体" w:eastAsia="黑体" w:cs="黑体"/>
              <w:spacing w:val="-73"/>
              <w:szCs w:val="36"/>
              <w:highlight w:val="none"/>
            </w:rPr>
            <w:t xml:space="preserve"> </w:t>
          </w:r>
          <w:r>
            <w:rPr>
              <w:rFonts w:ascii="黑体" w:hAnsi="黑体" w:eastAsia="黑体" w:cs="黑体"/>
              <w:spacing w:val="-3"/>
              <w:szCs w:val="36"/>
              <w:highlight w:val="none"/>
            </w:rPr>
            <w:t>合同协议书</w:t>
          </w:r>
          <w:r>
            <w:tab/>
          </w:r>
          <w:r>
            <w:fldChar w:fldCharType="begin"/>
          </w:r>
          <w:r>
            <w:instrText xml:space="preserve"> PAGEREF _Toc9560 \h </w:instrText>
          </w:r>
          <w:r>
            <w:fldChar w:fldCharType="separate"/>
          </w:r>
          <w:r>
            <w:t>90</w:t>
          </w:r>
          <w:r>
            <w:fldChar w:fldCharType="end"/>
          </w:r>
          <w:r>
            <w:rPr>
              <w:rFonts w:ascii="宋体" w:hAnsi="宋体" w:eastAsia="宋体" w:cs="宋体"/>
              <w:color w:val="auto"/>
              <w:szCs w:val="21"/>
              <w:highlight w:val="none"/>
            </w:rPr>
            <w:fldChar w:fldCharType="end"/>
          </w:r>
        </w:p>
        <w:p w14:paraId="412F3E86">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_Toc1361 </w:instrText>
          </w:r>
          <w:r>
            <w:rPr>
              <w:rFonts w:ascii="宋体" w:hAnsi="宋体" w:eastAsia="宋体" w:cs="宋体"/>
              <w:szCs w:val="21"/>
              <w:highlight w:val="none"/>
            </w:rPr>
            <w:fldChar w:fldCharType="separate"/>
          </w:r>
          <w:r>
            <w:rPr>
              <w:rFonts w:ascii="黑体" w:hAnsi="黑体" w:eastAsia="黑体" w:cs="黑体"/>
              <w:spacing w:val="-3"/>
              <w:szCs w:val="36"/>
              <w:highlight w:val="none"/>
            </w:rPr>
            <w:t>第二部分</w:t>
          </w:r>
          <w:r>
            <w:rPr>
              <w:rFonts w:ascii="黑体" w:hAnsi="黑体" w:eastAsia="黑体" w:cs="黑体"/>
              <w:spacing w:val="-71"/>
              <w:szCs w:val="36"/>
              <w:highlight w:val="none"/>
            </w:rPr>
            <w:t xml:space="preserve"> </w:t>
          </w:r>
          <w:r>
            <w:rPr>
              <w:rFonts w:ascii="黑体" w:hAnsi="黑体" w:eastAsia="黑体" w:cs="黑体"/>
              <w:spacing w:val="-3"/>
              <w:szCs w:val="36"/>
              <w:highlight w:val="none"/>
            </w:rPr>
            <w:t>通用合同条款</w:t>
          </w:r>
          <w:r>
            <w:tab/>
          </w:r>
          <w:r>
            <w:fldChar w:fldCharType="begin"/>
          </w:r>
          <w:r>
            <w:instrText xml:space="preserve"> PAGEREF _Toc1361 \h </w:instrText>
          </w:r>
          <w:r>
            <w:fldChar w:fldCharType="separate"/>
          </w:r>
          <w:r>
            <w:t>93</w:t>
          </w:r>
          <w:r>
            <w:fldChar w:fldCharType="end"/>
          </w:r>
          <w:r>
            <w:rPr>
              <w:rFonts w:ascii="宋体" w:hAnsi="宋体" w:eastAsia="宋体" w:cs="宋体"/>
              <w:color w:val="auto"/>
              <w:szCs w:val="21"/>
              <w:highlight w:val="none"/>
            </w:rPr>
            <w:fldChar w:fldCharType="end"/>
          </w:r>
        </w:p>
        <w:p w14:paraId="2489ADF5">
          <w:pPr>
            <w:pStyle w:val="10"/>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_Toc453 </w:instrText>
          </w:r>
          <w:r>
            <w:rPr>
              <w:rFonts w:ascii="宋体" w:hAnsi="宋体" w:eastAsia="宋体" w:cs="宋体"/>
              <w:szCs w:val="21"/>
              <w:highlight w:val="none"/>
            </w:rPr>
            <w:fldChar w:fldCharType="separate"/>
          </w:r>
          <w:r>
            <w:rPr>
              <w:rFonts w:ascii="黑体" w:hAnsi="黑体" w:eastAsia="黑体" w:cs="黑体"/>
              <w:spacing w:val="6"/>
              <w:szCs w:val="27"/>
              <w:highlight w:val="none"/>
            </w:rPr>
            <w:t>第三部分</w:t>
          </w:r>
          <w:r>
            <w:rPr>
              <w:rFonts w:ascii="黑体" w:hAnsi="黑体" w:eastAsia="黑体" w:cs="黑体"/>
              <w:spacing w:val="-42"/>
              <w:szCs w:val="27"/>
              <w:highlight w:val="none"/>
            </w:rPr>
            <w:t xml:space="preserve"> </w:t>
          </w:r>
          <w:r>
            <w:rPr>
              <w:rFonts w:ascii="黑体" w:hAnsi="黑体" w:eastAsia="黑体" w:cs="黑体"/>
              <w:spacing w:val="6"/>
              <w:szCs w:val="27"/>
              <w:highlight w:val="none"/>
            </w:rPr>
            <w:t>专用合同条款</w:t>
          </w:r>
          <w:r>
            <w:tab/>
          </w:r>
          <w:r>
            <w:fldChar w:fldCharType="begin"/>
          </w:r>
          <w:r>
            <w:instrText xml:space="preserve"> PAGEREF _Toc453 \h </w:instrText>
          </w:r>
          <w:r>
            <w:fldChar w:fldCharType="separate"/>
          </w:r>
          <w:r>
            <w:t>143</w:t>
          </w:r>
          <w:r>
            <w:fldChar w:fldCharType="end"/>
          </w:r>
          <w:r>
            <w:rPr>
              <w:rFonts w:ascii="宋体" w:hAnsi="宋体" w:eastAsia="宋体" w:cs="宋体"/>
              <w:color w:val="auto"/>
              <w:szCs w:val="21"/>
              <w:highlight w:val="none"/>
            </w:rPr>
            <w:fldChar w:fldCharType="end"/>
          </w:r>
        </w:p>
        <w:p w14:paraId="730F330E">
          <w:pPr>
            <w:pStyle w:val="9"/>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_Toc22142 </w:instrText>
          </w:r>
          <w:r>
            <w:rPr>
              <w:rFonts w:ascii="宋体" w:hAnsi="宋体" w:eastAsia="宋体" w:cs="宋体"/>
              <w:szCs w:val="21"/>
              <w:highlight w:val="none"/>
            </w:rPr>
            <w:fldChar w:fldCharType="separate"/>
          </w:r>
          <w:r>
            <w:rPr>
              <w:rFonts w:ascii="黑体" w:hAnsi="黑体" w:eastAsia="黑体" w:cs="黑体"/>
              <w:spacing w:val="7"/>
              <w:szCs w:val="27"/>
              <w:highlight w:val="none"/>
            </w:rPr>
            <w:t>第五章  工程量清单</w:t>
          </w:r>
          <w:r>
            <w:tab/>
          </w:r>
          <w:r>
            <w:fldChar w:fldCharType="begin"/>
          </w:r>
          <w:r>
            <w:instrText xml:space="preserve"> PAGEREF _Toc22142 \h </w:instrText>
          </w:r>
          <w:r>
            <w:fldChar w:fldCharType="separate"/>
          </w:r>
          <w:r>
            <w:t>184</w:t>
          </w:r>
          <w:r>
            <w:fldChar w:fldCharType="end"/>
          </w:r>
          <w:r>
            <w:rPr>
              <w:rFonts w:ascii="宋体" w:hAnsi="宋体" w:eastAsia="宋体" w:cs="宋体"/>
              <w:color w:val="auto"/>
              <w:szCs w:val="21"/>
              <w:highlight w:val="none"/>
            </w:rPr>
            <w:fldChar w:fldCharType="end"/>
          </w:r>
        </w:p>
        <w:p w14:paraId="3CA90E2F">
          <w:pPr>
            <w:pStyle w:val="9"/>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_Toc23683 </w:instrText>
          </w:r>
          <w:r>
            <w:rPr>
              <w:rFonts w:ascii="宋体" w:hAnsi="宋体" w:eastAsia="宋体" w:cs="宋体"/>
              <w:szCs w:val="21"/>
              <w:highlight w:val="none"/>
            </w:rPr>
            <w:fldChar w:fldCharType="separate"/>
          </w:r>
          <w:r>
            <w:rPr>
              <w:rFonts w:ascii="黑体" w:hAnsi="黑体" w:eastAsia="黑体" w:cs="黑体"/>
              <w:spacing w:val="-8"/>
              <w:szCs w:val="32"/>
              <w:highlight w:val="none"/>
            </w:rPr>
            <w:t>第六章</w:t>
          </w:r>
          <w:r>
            <w:rPr>
              <w:rFonts w:ascii="黑体" w:hAnsi="黑体" w:eastAsia="黑体" w:cs="黑体"/>
              <w:spacing w:val="15"/>
              <w:szCs w:val="32"/>
              <w:highlight w:val="none"/>
            </w:rPr>
            <w:t xml:space="preserve">  </w:t>
          </w:r>
          <w:r>
            <w:rPr>
              <w:rFonts w:ascii="黑体" w:hAnsi="黑体" w:eastAsia="黑体" w:cs="黑体"/>
              <w:spacing w:val="-8"/>
              <w:szCs w:val="32"/>
              <w:highlight w:val="none"/>
            </w:rPr>
            <w:t>图</w:t>
          </w:r>
          <w:r>
            <w:rPr>
              <w:rFonts w:ascii="黑体" w:hAnsi="黑体" w:eastAsia="黑体" w:cs="黑体"/>
              <w:spacing w:val="9"/>
              <w:szCs w:val="32"/>
              <w:highlight w:val="none"/>
            </w:rPr>
            <w:t xml:space="preserve">  </w:t>
          </w:r>
          <w:r>
            <w:rPr>
              <w:rFonts w:ascii="黑体" w:hAnsi="黑体" w:eastAsia="黑体" w:cs="黑体"/>
              <w:spacing w:val="-8"/>
              <w:szCs w:val="32"/>
              <w:highlight w:val="none"/>
            </w:rPr>
            <w:t>纸</w:t>
          </w:r>
          <w:r>
            <w:tab/>
          </w:r>
          <w:r>
            <w:fldChar w:fldCharType="begin"/>
          </w:r>
          <w:r>
            <w:instrText xml:space="preserve"> PAGEREF _Toc23683 \h </w:instrText>
          </w:r>
          <w:r>
            <w:fldChar w:fldCharType="separate"/>
          </w:r>
          <w:r>
            <w:t>212</w:t>
          </w:r>
          <w:r>
            <w:fldChar w:fldCharType="end"/>
          </w:r>
          <w:r>
            <w:rPr>
              <w:rFonts w:ascii="宋体" w:hAnsi="宋体" w:eastAsia="宋体" w:cs="宋体"/>
              <w:color w:val="auto"/>
              <w:szCs w:val="21"/>
              <w:highlight w:val="none"/>
            </w:rPr>
            <w:fldChar w:fldCharType="end"/>
          </w:r>
        </w:p>
        <w:p w14:paraId="05FEAD77">
          <w:pPr>
            <w:pStyle w:val="9"/>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_Toc22169 </w:instrText>
          </w:r>
          <w:r>
            <w:rPr>
              <w:rFonts w:ascii="宋体" w:hAnsi="宋体" w:eastAsia="宋体" w:cs="宋体"/>
              <w:szCs w:val="21"/>
              <w:highlight w:val="none"/>
            </w:rPr>
            <w:fldChar w:fldCharType="separate"/>
          </w:r>
          <w:r>
            <w:rPr>
              <w:rFonts w:ascii="黑体" w:hAnsi="黑体" w:eastAsia="黑体" w:cs="黑体"/>
              <w:spacing w:val="-1"/>
              <w:szCs w:val="32"/>
              <w:highlight w:val="none"/>
            </w:rPr>
            <w:t>第七章  技术标准和要求</w:t>
          </w:r>
          <w:r>
            <w:tab/>
          </w:r>
          <w:r>
            <w:fldChar w:fldCharType="begin"/>
          </w:r>
          <w:r>
            <w:instrText xml:space="preserve"> PAGEREF _Toc22169 \h </w:instrText>
          </w:r>
          <w:r>
            <w:fldChar w:fldCharType="separate"/>
          </w:r>
          <w:r>
            <w:t>216</w:t>
          </w:r>
          <w:r>
            <w:fldChar w:fldCharType="end"/>
          </w:r>
          <w:r>
            <w:rPr>
              <w:rFonts w:ascii="宋体" w:hAnsi="宋体" w:eastAsia="宋体" w:cs="宋体"/>
              <w:color w:val="auto"/>
              <w:szCs w:val="21"/>
              <w:highlight w:val="none"/>
            </w:rPr>
            <w:fldChar w:fldCharType="end"/>
          </w:r>
        </w:p>
        <w:p w14:paraId="0AFEB96E">
          <w:pPr>
            <w:pStyle w:val="9"/>
            <w:tabs>
              <w:tab w:val="right" w:leader="dot" w:pos="8335"/>
            </w:tabs>
          </w:pPr>
          <w:r>
            <w:rPr>
              <w:rFonts w:ascii="宋体" w:hAnsi="宋体" w:eastAsia="宋体" w:cs="宋体"/>
              <w:color w:val="auto"/>
              <w:szCs w:val="21"/>
              <w:highlight w:val="none"/>
            </w:rPr>
            <w:fldChar w:fldCharType="begin"/>
          </w:r>
          <w:r>
            <w:rPr>
              <w:rFonts w:ascii="宋体" w:hAnsi="宋体" w:eastAsia="宋体" w:cs="宋体"/>
              <w:szCs w:val="21"/>
              <w:highlight w:val="none"/>
            </w:rPr>
            <w:instrText xml:space="preserve"> HYPERLINK \l _Toc14809 </w:instrText>
          </w:r>
          <w:r>
            <w:rPr>
              <w:rFonts w:ascii="宋体" w:hAnsi="宋体" w:eastAsia="宋体" w:cs="宋体"/>
              <w:szCs w:val="21"/>
              <w:highlight w:val="none"/>
            </w:rPr>
            <w:fldChar w:fldCharType="separate"/>
          </w:r>
          <w:r>
            <w:rPr>
              <w:rFonts w:ascii="黑体" w:hAnsi="黑体" w:eastAsia="黑体" w:cs="黑体"/>
              <w:spacing w:val="-1"/>
              <w:szCs w:val="32"/>
              <w:highlight w:val="none"/>
            </w:rPr>
            <w:t>第八章  投标文件格式</w:t>
          </w:r>
          <w:r>
            <w:tab/>
          </w:r>
          <w:r>
            <w:fldChar w:fldCharType="begin"/>
          </w:r>
          <w:r>
            <w:instrText xml:space="preserve"> PAGEREF _Toc14809 \h </w:instrText>
          </w:r>
          <w:r>
            <w:fldChar w:fldCharType="separate"/>
          </w:r>
          <w:r>
            <w:t>219</w:t>
          </w:r>
          <w:r>
            <w:fldChar w:fldCharType="end"/>
          </w:r>
          <w:r>
            <w:rPr>
              <w:rFonts w:ascii="宋体" w:hAnsi="宋体" w:eastAsia="宋体" w:cs="宋体"/>
              <w:color w:val="auto"/>
              <w:szCs w:val="21"/>
              <w:highlight w:val="none"/>
            </w:rPr>
            <w:fldChar w:fldCharType="end"/>
          </w:r>
        </w:p>
        <w:p w14:paraId="11AEC77A">
          <w:pPr>
            <w:spacing w:line="220" w:lineRule="auto"/>
            <w:rPr>
              <w:rFonts w:ascii="宋体" w:hAnsi="宋体" w:eastAsia="宋体" w:cs="宋体"/>
              <w:snapToGrid w:val="0"/>
              <w:color w:val="auto"/>
              <w:kern w:val="0"/>
              <w:sz w:val="21"/>
              <w:szCs w:val="21"/>
              <w:highlight w:val="none"/>
              <w:lang w:val="en-US" w:eastAsia="en-US" w:bidi="ar-SA"/>
            </w:rPr>
          </w:pPr>
          <w:r>
            <w:rPr>
              <w:rFonts w:ascii="宋体" w:hAnsi="宋体" w:eastAsia="宋体" w:cs="宋体"/>
              <w:color w:val="auto"/>
              <w:szCs w:val="21"/>
              <w:highlight w:val="none"/>
            </w:rPr>
            <w:fldChar w:fldCharType="end"/>
          </w:r>
        </w:p>
      </w:sdtContent>
    </w:sdt>
    <w:p w14:paraId="3879AB0D">
      <w:pPr>
        <w:spacing w:line="220" w:lineRule="auto"/>
        <w:rPr>
          <w:rFonts w:ascii="宋体" w:hAnsi="宋体" w:eastAsia="宋体" w:cs="宋体"/>
          <w:snapToGrid w:val="0"/>
          <w:color w:val="auto"/>
          <w:kern w:val="0"/>
          <w:sz w:val="21"/>
          <w:szCs w:val="21"/>
          <w:highlight w:val="none"/>
          <w:lang w:val="en-US" w:eastAsia="en-US" w:bidi="ar-SA"/>
        </w:rPr>
        <w:sectPr>
          <w:footerReference r:id="rId6" w:type="default"/>
          <w:pgSz w:w="11905" w:h="16839"/>
          <w:pgMar w:top="1427" w:right="1785" w:bottom="1033" w:left="1785" w:header="0" w:footer="848" w:gutter="0"/>
          <w:pgNumType w:fmt="decimal"/>
          <w:cols w:space="720" w:num="1"/>
        </w:sectPr>
      </w:pPr>
    </w:p>
    <w:sdt>
      <w:sdtPr>
        <w:rPr>
          <w:rFonts w:ascii="宋体" w:hAnsi="宋体" w:eastAsia="宋体" w:cs="宋体"/>
          <w:color w:val="auto"/>
          <w:sz w:val="21"/>
          <w:szCs w:val="21"/>
          <w:highlight w:val="none"/>
        </w:rPr>
        <w:id w:val="8"/>
        <w:showingPlcHdr/>
        <w:docPartObj>
          <w:docPartGallery w:val="Table of Contents"/>
          <w:docPartUnique/>
        </w:docPartObj>
      </w:sdtPr>
      <w:sdtEndPr>
        <w:rPr>
          <w:rFonts w:ascii="宋体" w:hAnsi="宋体" w:eastAsia="宋体" w:cs="宋体"/>
          <w:color w:val="auto"/>
          <w:sz w:val="21"/>
          <w:szCs w:val="21"/>
          <w:highlight w:val="none"/>
        </w:rPr>
      </w:sdtEndPr>
      <w:sdtContent>
        <w:p w14:paraId="275A508A">
          <w:pPr>
            <w:pStyle w:val="5"/>
            <w:spacing w:line="250" w:lineRule="auto"/>
            <w:rPr>
              <w:color w:val="auto"/>
              <w:highlight w:val="none"/>
            </w:rPr>
          </w:pPr>
          <w:r>
            <w:rPr>
              <w:rFonts w:hint="eastAsia" w:ascii="宋体" w:hAnsi="宋体" w:eastAsia="宋体" w:cs="宋体"/>
              <w:color w:val="auto"/>
              <w:sz w:val="21"/>
              <w:szCs w:val="21"/>
              <w:highlight w:val="none"/>
              <w:lang w:eastAsia="zh-CN"/>
            </w:rPr>
            <w:t xml:space="preserve">     </w:t>
          </w:r>
        </w:p>
      </w:sdtContent>
    </w:sdt>
    <w:p w14:paraId="5CB4A6C4">
      <w:pPr>
        <w:pStyle w:val="5"/>
        <w:spacing w:line="250" w:lineRule="auto"/>
        <w:rPr>
          <w:color w:val="auto"/>
          <w:highlight w:val="none"/>
        </w:rPr>
      </w:pPr>
    </w:p>
    <w:p w14:paraId="2BF2C672">
      <w:pPr>
        <w:pStyle w:val="5"/>
        <w:spacing w:line="250" w:lineRule="auto"/>
        <w:rPr>
          <w:color w:val="auto"/>
          <w:highlight w:val="none"/>
        </w:rPr>
      </w:pPr>
    </w:p>
    <w:p w14:paraId="576EBDF6">
      <w:pPr>
        <w:pStyle w:val="5"/>
        <w:spacing w:line="250" w:lineRule="auto"/>
        <w:rPr>
          <w:color w:val="auto"/>
          <w:highlight w:val="none"/>
        </w:rPr>
      </w:pPr>
    </w:p>
    <w:p w14:paraId="04FC0BDD">
      <w:pPr>
        <w:pStyle w:val="5"/>
        <w:spacing w:line="250" w:lineRule="auto"/>
        <w:rPr>
          <w:color w:val="auto"/>
          <w:highlight w:val="none"/>
        </w:rPr>
      </w:pPr>
    </w:p>
    <w:p w14:paraId="31637221">
      <w:pPr>
        <w:pStyle w:val="5"/>
        <w:spacing w:line="250" w:lineRule="auto"/>
        <w:rPr>
          <w:color w:val="auto"/>
          <w:highlight w:val="none"/>
        </w:rPr>
      </w:pPr>
    </w:p>
    <w:p w14:paraId="69186B9F">
      <w:pPr>
        <w:pStyle w:val="5"/>
        <w:spacing w:line="250" w:lineRule="auto"/>
        <w:rPr>
          <w:color w:val="auto"/>
          <w:highlight w:val="none"/>
        </w:rPr>
      </w:pPr>
    </w:p>
    <w:p w14:paraId="126B566D">
      <w:pPr>
        <w:pStyle w:val="5"/>
        <w:spacing w:line="250" w:lineRule="auto"/>
        <w:rPr>
          <w:color w:val="auto"/>
          <w:highlight w:val="none"/>
        </w:rPr>
      </w:pPr>
    </w:p>
    <w:p w14:paraId="0C46B04E">
      <w:pPr>
        <w:pStyle w:val="5"/>
        <w:spacing w:line="250" w:lineRule="auto"/>
        <w:rPr>
          <w:color w:val="auto"/>
          <w:highlight w:val="none"/>
        </w:rPr>
      </w:pPr>
    </w:p>
    <w:p w14:paraId="113B4BC8">
      <w:pPr>
        <w:pStyle w:val="5"/>
        <w:spacing w:line="251" w:lineRule="auto"/>
        <w:rPr>
          <w:color w:val="auto"/>
          <w:highlight w:val="none"/>
        </w:rPr>
      </w:pPr>
    </w:p>
    <w:p w14:paraId="5CD207B3">
      <w:pPr>
        <w:pStyle w:val="5"/>
        <w:spacing w:line="251" w:lineRule="auto"/>
        <w:rPr>
          <w:color w:val="auto"/>
          <w:highlight w:val="none"/>
        </w:rPr>
      </w:pPr>
    </w:p>
    <w:p w14:paraId="78A189E8">
      <w:pPr>
        <w:pStyle w:val="5"/>
        <w:spacing w:line="251" w:lineRule="auto"/>
        <w:rPr>
          <w:color w:val="auto"/>
          <w:highlight w:val="none"/>
        </w:rPr>
      </w:pPr>
    </w:p>
    <w:p w14:paraId="2872A5A9">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7"/>
          <w:sz w:val="48"/>
          <w:szCs w:val="48"/>
          <w:highlight w:val="none"/>
        </w:rPr>
        <w:t>第一卷</w:t>
      </w:r>
    </w:p>
    <w:p w14:paraId="7EB926C4">
      <w:pPr>
        <w:spacing w:line="219" w:lineRule="auto"/>
        <w:rPr>
          <w:rFonts w:ascii="黑体" w:hAnsi="黑体" w:eastAsia="黑体" w:cs="黑体"/>
          <w:color w:val="auto"/>
          <w:sz w:val="48"/>
          <w:szCs w:val="48"/>
          <w:highlight w:val="none"/>
        </w:rPr>
        <w:sectPr>
          <w:footerReference r:id="rId7" w:type="default"/>
          <w:pgSz w:w="11905" w:h="16839"/>
          <w:pgMar w:top="1431" w:right="1785" w:bottom="1036" w:left="1785" w:header="0" w:footer="847" w:gutter="0"/>
          <w:pgNumType w:fmt="decimal"/>
          <w:cols w:space="720" w:num="1"/>
        </w:sectPr>
      </w:pPr>
    </w:p>
    <w:p w14:paraId="0400020F">
      <w:pPr>
        <w:spacing w:before="63" w:line="220" w:lineRule="auto"/>
        <w:ind w:left="2899"/>
        <w:outlineLvl w:val="0"/>
        <w:rPr>
          <w:rFonts w:ascii="黑体" w:hAnsi="黑体" w:eastAsia="黑体" w:cs="黑体"/>
          <w:color w:val="auto"/>
          <w:sz w:val="32"/>
          <w:szCs w:val="32"/>
          <w:highlight w:val="none"/>
        </w:rPr>
      </w:pPr>
      <w:bookmarkStart w:id="2" w:name="_Toc32013"/>
      <w:bookmarkStart w:id="3" w:name="_Toc13090"/>
      <w:bookmarkStart w:id="4" w:name="_Toc25584"/>
      <w:bookmarkStart w:id="5" w:name="_Toc258"/>
      <w:r>
        <w:rPr>
          <w:rFonts w:ascii="黑体" w:hAnsi="黑体" w:eastAsia="黑体" w:cs="黑体"/>
          <w:color w:val="auto"/>
          <w:spacing w:val="-1"/>
          <w:sz w:val="32"/>
          <w:szCs w:val="32"/>
          <w:highlight w:val="none"/>
        </w:rPr>
        <w:t>第一章  招标公告</w:t>
      </w:r>
      <w:bookmarkEnd w:id="2"/>
      <w:bookmarkEnd w:id="3"/>
      <w:bookmarkEnd w:id="4"/>
      <w:bookmarkEnd w:id="5"/>
    </w:p>
    <w:p w14:paraId="64E47DA5">
      <w:pPr>
        <w:pStyle w:val="5"/>
        <w:spacing w:line="386" w:lineRule="auto"/>
        <w:rPr>
          <w:color w:val="auto"/>
          <w:highlight w:val="none"/>
        </w:rPr>
      </w:pPr>
    </w:p>
    <w:p w14:paraId="65B91887">
      <w:pPr>
        <w:tabs>
          <w:tab w:val="left" w:pos="3016"/>
        </w:tabs>
        <w:spacing w:before="78" w:line="220" w:lineRule="auto"/>
        <w:ind w:left="1930"/>
        <w:rPr>
          <w:rFonts w:ascii="黑体" w:hAnsi="黑体" w:eastAsia="黑体" w:cs="黑体"/>
          <w:color w:val="auto"/>
          <w:spacing w:val="-11"/>
          <w:sz w:val="24"/>
          <w:szCs w:val="24"/>
          <w:highlight w:val="none"/>
        </w:rPr>
      </w:pPr>
      <w:r>
        <w:rPr>
          <w:rFonts w:hint="eastAsia" w:ascii="黑体" w:hAnsi="黑体" w:eastAsia="黑体" w:cs="黑体"/>
          <w:color w:val="auto"/>
          <w:spacing w:val="-11"/>
          <w:sz w:val="24"/>
          <w:szCs w:val="24"/>
          <w:highlight w:val="none"/>
          <w:lang w:eastAsia="zh-CN"/>
        </w:rPr>
        <w:t>国网辽宁营口鲅鱼圈供电分公司运维检修用房项目</w:t>
      </w:r>
      <w:r>
        <w:rPr>
          <w:rFonts w:ascii="黑体" w:hAnsi="黑体" w:eastAsia="黑体" w:cs="黑体"/>
          <w:color w:val="auto"/>
          <w:spacing w:val="-11"/>
          <w:sz w:val="24"/>
          <w:szCs w:val="24"/>
          <w:highlight w:val="none"/>
        </w:rPr>
        <w:t>招标公告</w:t>
      </w:r>
    </w:p>
    <w:p w14:paraId="71060709">
      <w:pPr>
        <w:spacing w:before="161" w:line="221" w:lineRule="auto"/>
        <w:ind w:left="2646"/>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标段唯一标识码：</w:t>
      </w:r>
      <w:r>
        <w:rPr>
          <w:rFonts w:ascii="宋体" w:hAnsi="宋体" w:eastAsia="宋体" w:cs="宋体"/>
          <w:color w:val="auto"/>
          <w:spacing w:val="-8"/>
          <w:sz w:val="21"/>
          <w:szCs w:val="21"/>
          <w:highlight w:val="none"/>
          <w:u w:val="single" w:color="auto"/>
        </w:rPr>
        <w:t>(</w:t>
      </w:r>
      <w:r>
        <w:rPr>
          <w:rFonts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u w:val="single" w:color="auto"/>
          <w:lang w:val="en-US" w:eastAsia="zh-CN"/>
        </w:rPr>
        <w:t>xxx</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
          <w:sz w:val="21"/>
          <w:szCs w:val="21"/>
          <w:highlight w:val="none"/>
          <w:u w:val="single" w:color="auto"/>
        </w:rPr>
        <w:t>)</w:t>
      </w:r>
      <w:r>
        <w:rPr>
          <w:rFonts w:ascii="宋体" w:hAnsi="宋体" w:eastAsia="宋体" w:cs="宋体"/>
          <w:color w:val="auto"/>
          <w:sz w:val="21"/>
          <w:szCs w:val="21"/>
          <w:highlight w:val="none"/>
          <w:u w:val="single" w:color="auto"/>
        </w:rPr>
        <w:t xml:space="preserve">  </w:t>
      </w:r>
    </w:p>
    <w:p w14:paraId="13B0FEA3">
      <w:pPr>
        <w:pStyle w:val="5"/>
        <w:spacing w:line="241" w:lineRule="auto"/>
        <w:rPr>
          <w:color w:val="auto"/>
          <w:highlight w:val="none"/>
        </w:rPr>
      </w:pPr>
    </w:p>
    <w:p w14:paraId="30461C26">
      <w:pPr>
        <w:pStyle w:val="5"/>
        <w:spacing w:line="241" w:lineRule="auto"/>
        <w:rPr>
          <w:color w:val="auto"/>
          <w:highlight w:val="none"/>
        </w:rPr>
      </w:pPr>
    </w:p>
    <w:p w14:paraId="7969374A">
      <w:pPr>
        <w:spacing w:before="79"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招标条件</w:t>
      </w:r>
    </w:p>
    <w:p w14:paraId="70ED363B">
      <w:pPr>
        <w:ind w:firstLine="420" w:firstLineChars="200"/>
        <w:rPr>
          <w:rFonts w:ascii="宋体" w:hAnsi="宋体" w:eastAsia="宋体" w:cs="宋体"/>
          <w:color w:val="auto"/>
          <w:sz w:val="21"/>
          <w:szCs w:val="21"/>
          <w:highlight w:val="none"/>
        </w:rPr>
      </w:pPr>
      <w:r>
        <w:rPr>
          <w:rFonts w:ascii="宋体" w:hAnsi="宋体" w:eastAsia="宋体" w:cs="宋体"/>
          <w:color w:val="auto"/>
          <w:sz w:val="21"/>
          <w:szCs w:val="21"/>
          <w:highlight w:val="none"/>
        </w:rPr>
        <w:t>本招标项目</w:t>
      </w:r>
      <w:r>
        <w:rPr>
          <w:rFonts w:hint="eastAsia" w:ascii="宋体" w:hAnsi="宋体" w:eastAsia="宋体" w:cs="宋体"/>
          <w:color w:val="auto"/>
          <w:sz w:val="21"/>
          <w:szCs w:val="21"/>
          <w:highlight w:val="none"/>
          <w:u w:val="single"/>
          <w:lang w:eastAsia="zh-CN"/>
        </w:rPr>
        <w:t>国网辽宁营口鲅鱼圈供电分公司运维检修用房项目</w:t>
      </w:r>
      <w:r>
        <w:rPr>
          <w:rFonts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rPr>
        <w:t>已由</w:t>
      </w:r>
      <w:r>
        <w:rPr>
          <w:rFonts w:hint="eastAsia" w:ascii="宋体" w:hAnsi="宋体" w:eastAsia="宋体" w:cs="宋体"/>
          <w:color w:val="auto"/>
          <w:sz w:val="21"/>
          <w:szCs w:val="21"/>
          <w:highlight w:val="none"/>
          <w:u w:val="single"/>
          <w:lang w:val="en-US" w:eastAsia="zh-CN"/>
        </w:rPr>
        <w:t>营口市</w:t>
      </w:r>
      <w:r>
        <w:rPr>
          <w:rFonts w:hint="eastAsia"/>
          <w:color w:val="auto"/>
          <w:highlight w:val="none"/>
          <w:u w:val="single"/>
          <w:lang w:val="en-US" w:eastAsia="zh-CN"/>
        </w:rPr>
        <w:t>鲅鱼圈区发展和改革局</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以</w:t>
      </w:r>
      <w:r>
        <w:rPr>
          <w:rFonts w:hint="eastAsia" w:ascii="宋体" w:hAnsi="宋体" w:eastAsia="宋体" w:cs="宋体"/>
          <w:color w:val="auto"/>
          <w:spacing w:val="-4"/>
          <w:sz w:val="21"/>
          <w:szCs w:val="21"/>
          <w:highlight w:val="none"/>
          <w:u w:val="single"/>
          <w:lang w:val="en-US" w:eastAsia="zh-CN"/>
        </w:rPr>
        <w:t>关于《国网辽宁营口鲅鱼圈供电分公司运维检修用房项目》项目备案证明（营开发改备【2025】275号）</w:t>
      </w:r>
      <w:r>
        <w:rPr>
          <w:rFonts w:hint="eastAsia" w:ascii="宋体" w:hAnsi="宋体" w:eastAsia="宋体" w:cs="宋体"/>
          <w:color w:val="auto"/>
          <w:sz w:val="21"/>
          <w:szCs w:val="21"/>
          <w:highlight w:val="none"/>
          <w:u w:val="single"/>
          <w:lang w:eastAsia="zh-CN"/>
        </w:rPr>
        <w:t>批准建设，</w:t>
      </w:r>
      <w:r>
        <w:rPr>
          <w:rFonts w:hint="eastAsia" w:ascii="宋体" w:hAnsi="宋体" w:eastAsia="宋体" w:cs="宋体"/>
          <w:color w:val="auto"/>
          <w:sz w:val="21"/>
          <w:szCs w:val="21"/>
          <w:highlight w:val="none"/>
          <w:u w:val="none"/>
          <w:lang w:eastAsia="zh-CN"/>
        </w:rPr>
        <w:t>项目业主</w:t>
      </w:r>
      <w:r>
        <w:rPr>
          <w:rFonts w:hint="eastAsia" w:ascii="宋体" w:hAnsi="宋体" w:eastAsia="宋体" w:cs="宋体"/>
          <w:color w:val="auto"/>
          <w:sz w:val="21"/>
          <w:szCs w:val="21"/>
          <w:highlight w:val="none"/>
          <w:u w:val="single"/>
          <w:lang w:eastAsia="zh-CN"/>
        </w:rPr>
        <w:t>为国网辽宁省电力有限公司营口供电公司 ，</w:t>
      </w:r>
      <w:r>
        <w:rPr>
          <w:rFonts w:hint="eastAsia" w:ascii="宋体" w:hAnsi="宋体" w:eastAsia="宋体" w:cs="宋体"/>
          <w:color w:val="auto"/>
          <w:sz w:val="21"/>
          <w:szCs w:val="21"/>
          <w:highlight w:val="none"/>
          <w:u w:val="none"/>
          <w:lang w:eastAsia="zh-CN"/>
        </w:rPr>
        <w:t>建设资金来自</w:t>
      </w:r>
      <w:r>
        <w:rPr>
          <w:rFonts w:hint="eastAsia" w:ascii="宋体" w:hAnsi="宋体" w:eastAsia="宋体" w:cs="宋体"/>
          <w:color w:val="auto"/>
          <w:sz w:val="21"/>
          <w:szCs w:val="21"/>
          <w:highlight w:val="none"/>
          <w:u w:val="single"/>
          <w:lang w:val="en-US" w:eastAsia="zh-CN"/>
        </w:rPr>
        <w:t>自筹</w:t>
      </w:r>
      <w:r>
        <w:rPr>
          <w:rFonts w:hint="eastAsia" w:ascii="宋体" w:hAnsi="宋体" w:eastAsia="宋体" w:cs="宋体"/>
          <w:color w:val="auto"/>
          <w:sz w:val="21"/>
          <w:szCs w:val="21"/>
          <w:highlight w:val="none"/>
          <w:u w:val="single"/>
          <w:lang w:eastAsia="zh-CN"/>
        </w:rPr>
        <w:t>资金，</w:t>
      </w:r>
      <w:r>
        <w:rPr>
          <w:rFonts w:hint="eastAsia" w:ascii="宋体" w:hAnsi="宋体" w:eastAsia="宋体" w:cs="宋体"/>
          <w:color w:val="auto"/>
          <w:sz w:val="21"/>
          <w:szCs w:val="21"/>
          <w:highlight w:val="none"/>
          <w:u w:val="none"/>
          <w:lang w:eastAsia="zh-CN"/>
        </w:rPr>
        <w:t>项目出资比例为</w:t>
      </w:r>
      <w:r>
        <w:rPr>
          <w:rFonts w:hint="eastAsia" w:ascii="宋体" w:hAnsi="宋体" w:eastAsia="宋体" w:cs="宋体"/>
          <w:color w:val="auto"/>
          <w:sz w:val="21"/>
          <w:szCs w:val="21"/>
          <w:highlight w:val="none"/>
          <w:u w:val="single"/>
          <w:lang w:val="en-US" w:eastAsia="zh-CN"/>
        </w:rPr>
        <w:t>自筹资金100</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none"/>
          <w:lang w:eastAsia="zh-CN"/>
        </w:rPr>
        <w:t>招标人为国网辽宁省电力有限公司营口供电公司</w:t>
      </w:r>
      <w:r>
        <w:rPr>
          <w:rFonts w:ascii="宋体" w:hAnsi="宋体" w:eastAsia="宋体" w:cs="宋体"/>
          <w:color w:val="auto"/>
          <w:spacing w:val="-75"/>
          <w:sz w:val="21"/>
          <w:szCs w:val="21"/>
          <w:highlight w:val="none"/>
        </w:rPr>
        <w:t xml:space="preserve"> </w:t>
      </w:r>
      <w:r>
        <w:rPr>
          <w:rFonts w:ascii="宋体" w:hAnsi="宋体" w:eastAsia="宋体" w:cs="宋体"/>
          <w:color w:val="auto"/>
          <w:spacing w:val="-2"/>
          <w:sz w:val="21"/>
          <w:szCs w:val="21"/>
          <w:highlight w:val="none"/>
        </w:rPr>
        <w:t>，招标代理机构为</w:t>
      </w:r>
      <w:r>
        <w:rPr>
          <w:rFonts w:hint="eastAsia" w:ascii="宋体" w:hAnsi="宋体" w:eastAsia="宋体" w:cs="宋体"/>
          <w:color w:val="auto"/>
          <w:spacing w:val="-2"/>
          <w:sz w:val="21"/>
          <w:szCs w:val="21"/>
          <w:highlight w:val="none"/>
          <w:lang w:eastAsia="zh-CN"/>
        </w:rPr>
        <w:t>辽宁金誉建设工程造价咨询有限责任公司</w:t>
      </w:r>
      <w:r>
        <w:rPr>
          <w:rFonts w:ascii="宋体" w:hAnsi="宋体" w:eastAsia="宋体" w:cs="宋体"/>
          <w:color w:val="auto"/>
          <w:spacing w:val="-74"/>
          <w:sz w:val="21"/>
          <w:szCs w:val="21"/>
          <w:highlight w:val="none"/>
        </w:rPr>
        <w:t xml:space="preserve"> </w:t>
      </w:r>
      <w:r>
        <w:rPr>
          <w:rFonts w:ascii="宋体" w:hAnsi="宋体" w:eastAsia="宋体" w:cs="宋体"/>
          <w:color w:val="auto"/>
          <w:spacing w:val="-2"/>
          <w:sz w:val="21"/>
          <w:szCs w:val="21"/>
          <w:highlight w:val="none"/>
        </w:rPr>
        <w:t>。项</w:t>
      </w:r>
      <w:r>
        <w:rPr>
          <w:rFonts w:ascii="宋体" w:hAnsi="宋体" w:eastAsia="宋体" w:cs="宋体"/>
          <w:color w:val="auto"/>
          <w:spacing w:val="-3"/>
          <w:sz w:val="21"/>
          <w:szCs w:val="21"/>
          <w:highlight w:val="none"/>
        </w:rPr>
        <w:t>目已具备招标</w:t>
      </w:r>
      <w:r>
        <w:rPr>
          <w:rFonts w:ascii="宋体" w:hAnsi="宋体" w:eastAsia="宋体" w:cs="宋体"/>
          <w:color w:val="auto"/>
          <w:spacing w:val="-2"/>
          <w:sz w:val="21"/>
          <w:szCs w:val="21"/>
          <w:highlight w:val="none"/>
        </w:rPr>
        <w:t>条件，现对该项目进行公开招标。</w:t>
      </w:r>
    </w:p>
    <w:p w14:paraId="09AE0B80">
      <w:pPr>
        <w:spacing w:before="142" w:line="447" w:lineRule="exact"/>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1"/>
          <w:position w:val="15"/>
          <w:sz w:val="24"/>
          <w:szCs w:val="24"/>
          <w:highlight w:val="none"/>
        </w:rPr>
        <w:t>2.</w:t>
      </w:r>
      <w:r>
        <w:rPr>
          <w:rFonts w:ascii="黑体" w:hAnsi="黑体" w:eastAsia="黑体" w:cs="黑体"/>
          <w:color w:val="auto"/>
          <w:spacing w:val="-1"/>
          <w:position w:val="15"/>
          <w:sz w:val="24"/>
          <w:szCs w:val="24"/>
          <w:highlight w:val="none"/>
        </w:rPr>
        <w:t>项目概况与招标范围</w:t>
      </w:r>
    </w:p>
    <w:p w14:paraId="0C68C59B">
      <w:pPr>
        <w:spacing w:before="1"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w:t>
      </w:r>
      <w:r>
        <w:rPr>
          <w:rFonts w:ascii="Times New Roman" w:hAnsi="Times New Roman" w:eastAsia="Times New Roman" w:cs="Times New Roman"/>
          <w:color w:val="auto"/>
          <w:spacing w:val="16"/>
          <w:w w:val="101"/>
          <w:sz w:val="21"/>
          <w:szCs w:val="21"/>
          <w:highlight w:val="none"/>
        </w:rPr>
        <w:t xml:space="preserve"> </w:t>
      </w:r>
      <w:r>
        <w:rPr>
          <w:rFonts w:ascii="宋体" w:hAnsi="宋体" w:eastAsia="宋体" w:cs="宋体"/>
          <w:color w:val="auto"/>
          <w:spacing w:val="-2"/>
          <w:sz w:val="21"/>
          <w:szCs w:val="21"/>
          <w:highlight w:val="none"/>
        </w:rPr>
        <w:t>项目概况</w:t>
      </w:r>
    </w:p>
    <w:p w14:paraId="07A82E74">
      <w:pPr>
        <w:spacing w:before="167" w:line="371" w:lineRule="auto"/>
        <w:ind w:left="86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建设地点：</w:t>
      </w:r>
      <w:r>
        <w:rPr>
          <w:rFonts w:ascii="宋体" w:hAnsi="宋体" w:eastAsia="宋体" w:cs="宋体"/>
          <w:color w:val="auto"/>
          <w:spacing w:val="26"/>
          <w:sz w:val="21"/>
          <w:szCs w:val="21"/>
          <w:highlight w:val="none"/>
        </w:rPr>
        <w:t xml:space="preserve"> </w:t>
      </w:r>
      <w:r>
        <w:rPr>
          <w:rFonts w:hint="eastAsia" w:ascii="宋体" w:hAnsi="宋体" w:eastAsia="宋体" w:cs="宋体"/>
          <w:color w:val="auto"/>
          <w:spacing w:val="26"/>
          <w:sz w:val="21"/>
          <w:szCs w:val="21"/>
          <w:highlight w:val="none"/>
          <w:u w:val="single"/>
          <w:lang w:val="en-US" w:eastAsia="zh-CN"/>
        </w:rPr>
        <w:t>辽宁省</w:t>
      </w:r>
      <w:r>
        <w:rPr>
          <w:rFonts w:hint="eastAsia"/>
          <w:color w:val="auto"/>
          <w:highlight w:val="none"/>
          <w:u w:val="single"/>
          <w:lang w:eastAsia="zh-CN"/>
        </w:rPr>
        <w:t>营口市</w:t>
      </w:r>
      <w:r>
        <w:rPr>
          <w:rFonts w:hint="eastAsia" w:ascii="宋体" w:hAnsi="宋体" w:eastAsia="宋体" w:cs="宋体"/>
          <w:color w:val="auto"/>
          <w:sz w:val="21"/>
          <w:szCs w:val="21"/>
          <w:highlight w:val="none"/>
          <w:u w:val="single"/>
          <w:lang w:eastAsia="zh-CN"/>
        </w:rPr>
        <w:t>鲅鱼圈</w:t>
      </w:r>
      <w:r>
        <w:rPr>
          <w:rFonts w:hint="eastAsia" w:ascii="宋体" w:hAnsi="宋体" w:eastAsia="宋体" w:cs="宋体"/>
          <w:color w:val="auto"/>
          <w:sz w:val="21"/>
          <w:szCs w:val="21"/>
          <w:highlight w:val="none"/>
          <w:u w:val="single"/>
          <w:lang w:val="en-US" w:eastAsia="zh-CN"/>
        </w:rPr>
        <w:t>区青龙山大街与海韵路交汇处</w:t>
      </w:r>
      <w:r>
        <w:rPr>
          <w:rFonts w:hint="eastAsia"/>
          <w:color w:val="auto"/>
          <w:highlight w:val="none"/>
          <w:lang w:eastAsia="zh-CN"/>
        </w:rPr>
        <w:t>。</w:t>
      </w:r>
    </w:p>
    <w:p w14:paraId="3B451181">
      <w:pPr>
        <w:spacing w:before="1" w:line="220" w:lineRule="auto"/>
        <w:ind w:left="861"/>
        <w:rPr>
          <w:rFonts w:hint="eastAsia" w:ascii="宋体" w:hAnsi="宋体" w:eastAsia="宋体" w:cs="宋体"/>
          <w:color w:val="auto"/>
          <w:sz w:val="21"/>
          <w:szCs w:val="21"/>
          <w:highlight w:val="none"/>
          <w:lang w:eastAsia="zh-CN"/>
        </w:rPr>
      </w:pPr>
      <w:r>
        <w:rPr>
          <w:rFonts w:ascii="宋体" w:hAnsi="宋体" w:eastAsia="宋体" w:cs="宋体"/>
          <w:color w:val="auto"/>
          <w:spacing w:val="-13"/>
          <w:sz w:val="21"/>
          <w:szCs w:val="21"/>
          <w:highlight w:val="none"/>
        </w:rPr>
        <w:t>建设规模：</w:t>
      </w:r>
      <w:r>
        <w:rPr>
          <w:rFonts w:hint="eastAsia" w:ascii="宋体" w:hAnsi="宋体" w:eastAsia="宋体" w:cs="宋体"/>
          <w:color w:val="auto"/>
          <w:spacing w:val="26"/>
          <w:sz w:val="21"/>
          <w:szCs w:val="21"/>
          <w:highlight w:val="none"/>
          <w:u w:val="single"/>
          <w:lang w:eastAsia="zh-CN"/>
        </w:rPr>
        <w:t>拟建国网辽宁营口鲅鱼圈供电分公司运维检修用房项目，利用现有存量土地位于鲅鱼圈供电分公司院内，建筑面积2513平方米，主要布置主要功能区为生产班组用房 、输电运维工器具、变电运维工器具、变电运维备品备件、输电运维备品备件库房等。</w:t>
      </w:r>
    </w:p>
    <w:p w14:paraId="6AA8D2A9">
      <w:pPr>
        <w:spacing w:before="167"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2.2 </w:t>
      </w:r>
      <w:r>
        <w:rPr>
          <w:rFonts w:ascii="宋体" w:hAnsi="宋体" w:eastAsia="宋体" w:cs="宋体"/>
          <w:color w:val="auto"/>
          <w:sz w:val="21"/>
          <w:szCs w:val="21"/>
          <w:highlight w:val="none"/>
        </w:rPr>
        <w:t>招标范围</w:t>
      </w:r>
    </w:p>
    <w:p w14:paraId="5F65A44C">
      <w:pPr>
        <w:spacing w:before="171" w:line="367" w:lineRule="auto"/>
        <w:ind w:left="859"/>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标段划分：</w:t>
      </w:r>
      <w:r>
        <w:rPr>
          <w:rFonts w:hint="eastAsia" w:ascii="宋体" w:hAnsi="宋体" w:eastAsia="宋体" w:cs="宋体"/>
          <w:color w:val="auto"/>
          <w:spacing w:val="-21"/>
          <w:sz w:val="21"/>
          <w:szCs w:val="21"/>
          <w:highlight w:val="none"/>
          <w:lang w:val="en-US" w:eastAsia="zh-CN"/>
        </w:rPr>
        <w:t>1个</w:t>
      </w:r>
      <w:r>
        <w:rPr>
          <w:rFonts w:ascii="宋体" w:hAnsi="宋体" w:eastAsia="宋体" w:cs="宋体"/>
          <w:color w:val="auto"/>
          <w:spacing w:val="-92"/>
          <w:sz w:val="21"/>
          <w:szCs w:val="21"/>
          <w:highlight w:val="none"/>
        </w:rPr>
        <w:t xml:space="preserve"> </w:t>
      </w:r>
      <w:r>
        <w:rPr>
          <w:rFonts w:ascii="宋体" w:hAnsi="宋体" w:eastAsia="宋体" w:cs="宋体"/>
          <w:color w:val="auto"/>
          <w:spacing w:val="-21"/>
          <w:sz w:val="21"/>
          <w:szCs w:val="21"/>
          <w:highlight w:val="none"/>
        </w:rPr>
        <w:t>标段；是否兼投</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hint="eastAsia" w:ascii="宋体" w:hAnsi="宋体" w:eastAsia="宋体" w:cs="宋体"/>
          <w:color w:val="auto"/>
          <w:spacing w:val="17"/>
          <w:sz w:val="21"/>
          <w:szCs w:val="21"/>
          <w:highlight w:val="none"/>
          <w:u w:val="single" w:color="auto"/>
          <w:lang w:val="en-US" w:eastAsia="zh-CN"/>
        </w:rPr>
        <w:t>否</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1"/>
          <w:sz w:val="21"/>
          <w:szCs w:val="21"/>
          <w:highlight w:val="none"/>
        </w:rPr>
        <w:t xml:space="preserve">是否兼中： </w:t>
      </w:r>
      <w:r>
        <w:rPr>
          <w:rFonts w:hint="eastAsia" w:ascii="宋体" w:hAnsi="宋体" w:eastAsia="宋体" w:cs="宋体"/>
          <w:color w:val="auto"/>
          <w:spacing w:val="20"/>
          <w:sz w:val="21"/>
          <w:szCs w:val="21"/>
          <w:highlight w:val="none"/>
          <w:u w:val="single" w:color="auto"/>
          <w:lang w:val="en-US" w:eastAsia="zh-CN"/>
        </w:rPr>
        <w:t>否</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21"/>
          <w:sz w:val="21"/>
          <w:szCs w:val="21"/>
          <w:highlight w:val="none"/>
        </w:rPr>
        <w:t>。</w:t>
      </w:r>
    </w:p>
    <w:p w14:paraId="48FB6759">
      <w:pPr>
        <w:spacing w:before="1" w:line="219" w:lineRule="auto"/>
        <w:ind w:left="85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计划工期/服务期限/供货期限：</w:t>
      </w:r>
      <w:r>
        <w:rPr>
          <w:rFonts w:hint="eastAsia" w:ascii="宋体" w:hAnsi="宋体" w:eastAsia="宋体" w:cs="宋体"/>
          <w:color w:val="auto"/>
          <w:spacing w:val="-2"/>
          <w:sz w:val="21"/>
          <w:szCs w:val="21"/>
          <w:highlight w:val="none"/>
          <w:u w:val="single" w:color="auto"/>
          <w:lang w:val="en-US" w:eastAsia="zh-CN"/>
        </w:rPr>
        <w:t>**日历天</w:t>
      </w:r>
    </w:p>
    <w:p w14:paraId="11767A94">
      <w:pPr>
        <w:spacing w:before="172" w:line="367" w:lineRule="auto"/>
        <w:ind w:right="1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计划开工/服务开始/供货开始日期</w:t>
      </w:r>
      <w:r>
        <w:rPr>
          <w:rFonts w:ascii="宋体" w:hAnsi="宋体" w:eastAsia="宋体" w:cs="宋体"/>
          <w:color w:val="auto"/>
          <w:spacing w:val="-104"/>
          <w:sz w:val="21"/>
          <w:szCs w:val="21"/>
          <w:highlight w:val="none"/>
        </w:rPr>
        <w:t xml:space="preserve"> </w:t>
      </w:r>
      <w:r>
        <w:rPr>
          <w:rFonts w:hint="eastAsia" w:ascii="宋体" w:hAnsi="宋体" w:eastAsia="宋体" w:cs="宋体"/>
          <w:color w:val="auto"/>
          <w:spacing w:val="5"/>
          <w:sz w:val="21"/>
          <w:szCs w:val="21"/>
          <w:highlight w:val="none"/>
          <w:u w:val="single" w:color="auto"/>
          <w:lang w:val="en-US" w:eastAsia="zh-CN"/>
        </w:rPr>
        <w:t>2026年**月**日</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1"/>
          <w:sz w:val="21"/>
          <w:szCs w:val="21"/>
          <w:highlight w:val="none"/>
        </w:rPr>
        <w:t>；计划竣工/服务结</w:t>
      </w:r>
      <w:r>
        <w:rPr>
          <w:rFonts w:ascii="宋体" w:hAnsi="宋体" w:eastAsia="宋体" w:cs="宋体"/>
          <w:color w:val="auto"/>
          <w:sz w:val="21"/>
          <w:szCs w:val="21"/>
          <w:highlight w:val="none"/>
        </w:rPr>
        <w:t>束/供货结束日</w:t>
      </w:r>
    </w:p>
    <w:p w14:paraId="128CF844">
      <w:pPr>
        <w:spacing w:before="1" w:line="221" w:lineRule="auto"/>
        <w:ind w:left="20"/>
        <w:rPr>
          <w:rFonts w:hint="eastAsia" w:ascii="宋体" w:hAnsi="宋体" w:eastAsia="宋体" w:cs="宋体"/>
          <w:color w:val="auto"/>
          <w:sz w:val="21"/>
          <w:szCs w:val="21"/>
          <w:highlight w:val="none"/>
          <w:lang w:val="en-US" w:eastAsia="zh-CN"/>
        </w:rPr>
      </w:pPr>
      <w:r>
        <w:rPr>
          <w:rFonts w:ascii="宋体" w:hAnsi="宋体" w:eastAsia="宋体" w:cs="宋体"/>
          <w:color w:val="auto"/>
          <w:spacing w:val="-5"/>
          <w:sz w:val="21"/>
          <w:szCs w:val="21"/>
          <w:highlight w:val="none"/>
        </w:rPr>
        <w:t>期</w:t>
      </w:r>
      <w:r>
        <w:rPr>
          <w:rFonts w:hint="eastAsia" w:ascii="宋体" w:hAnsi="宋体" w:eastAsia="宋体" w:cs="宋体"/>
          <w:color w:val="auto"/>
          <w:spacing w:val="-5"/>
          <w:sz w:val="21"/>
          <w:szCs w:val="21"/>
          <w:highlight w:val="none"/>
          <w:lang w:val="en-US" w:eastAsia="zh-CN"/>
        </w:rPr>
        <w:t xml:space="preserve"> </w:t>
      </w:r>
      <w:r>
        <w:rPr>
          <w:rFonts w:hint="eastAsia" w:ascii="宋体" w:hAnsi="宋体" w:eastAsia="宋体" w:cs="宋体"/>
          <w:color w:val="auto"/>
          <w:spacing w:val="5"/>
          <w:sz w:val="21"/>
          <w:szCs w:val="21"/>
          <w:highlight w:val="none"/>
          <w:u w:val="single" w:color="auto"/>
          <w:lang w:val="en-US" w:eastAsia="zh-CN"/>
        </w:rPr>
        <w:t>2027年12月31日</w:t>
      </w:r>
    </w:p>
    <w:p w14:paraId="46B1904E">
      <w:pPr>
        <w:spacing w:before="171" w:line="367" w:lineRule="auto"/>
        <w:ind w:left="859"/>
        <w:rPr>
          <w:rFonts w:hint="default" w:ascii="宋体" w:hAnsi="宋体" w:eastAsia="宋体" w:cs="宋体"/>
          <w:color w:val="auto"/>
          <w:sz w:val="21"/>
          <w:szCs w:val="21"/>
          <w:highlight w:val="none"/>
          <w:lang w:val="en-US"/>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8"/>
          <w:sz w:val="21"/>
          <w:szCs w:val="21"/>
          <w:highlight w:val="none"/>
        </w:rPr>
        <w:t xml:space="preserve"> </w:t>
      </w:r>
      <w:r>
        <w:rPr>
          <w:rFonts w:hint="eastAsia" w:ascii="宋体" w:hAnsi="宋体" w:eastAsia="宋体" w:cs="宋体"/>
          <w:color w:val="auto"/>
          <w:sz w:val="21"/>
          <w:szCs w:val="21"/>
          <w:highlight w:val="none"/>
          <w:u w:val="single"/>
          <w:lang w:eastAsia="zh-CN"/>
        </w:rPr>
        <w:t>国网辽宁营口鲅鱼圈供电分公司运维检修用房项目</w:t>
      </w:r>
    </w:p>
    <w:p w14:paraId="06B0D32D">
      <w:pPr>
        <w:spacing w:before="1" w:line="220" w:lineRule="auto"/>
        <w:ind w:left="859"/>
        <w:rPr>
          <w:rFonts w:ascii="宋体" w:hAnsi="宋体" w:eastAsia="宋体" w:cs="宋体"/>
          <w:color w:val="auto"/>
          <w:sz w:val="21"/>
          <w:szCs w:val="21"/>
          <w:highlight w:val="none"/>
        </w:rPr>
      </w:pPr>
      <w:r>
        <w:rPr>
          <w:rFonts w:ascii="宋体" w:hAnsi="宋体" w:eastAsia="宋体" w:cs="宋体"/>
          <w:color w:val="auto"/>
          <w:spacing w:val="-25"/>
          <w:w w:val="96"/>
          <w:sz w:val="21"/>
          <w:szCs w:val="21"/>
          <w:highlight w:val="none"/>
        </w:rPr>
        <w:t>标段编号：</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xxx</w:t>
      </w:r>
      <w:r>
        <w:rPr>
          <w:rFonts w:ascii="宋体" w:hAnsi="宋体" w:eastAsia="宋体" w:cs="宋体"/>
          <w:color w:val="auto"/>
          <w:sz w:val="21"/>
          <w:szCs w:val="21"/>
          <w:highlight w:val="none"/>
          <w:u w:val="single" w:color="auto"/>
        </w:rPr>
        <w:t xml:space="preserve">                                </w:t>
      </w:r>
    </w:p>
    <w:p w14:paraId="6CBF8684">
      <w:pPr>
        <w:spacing w:before="171" w:line="367" w:lineRule="auto"/>
        <w:ind w:left="859"/>
        <w:rPr>
          <w:rFonts w:hint="eastAsia" w:ascii="宋体" w:hAnsi="宋体" w:eastAsia="宋体" w:cs="宋体"/>
          <w:color w:val="auto"/>
          <w:sz w:val="21"/>
          <w:szCs w:val="21"/>
          <w:highlight w:val="none"/>
          <w:lang w:eastAsia="zh-CN"/>
        </w:rPr>
      </w:pPr>
      <w:r>
        <w:rPr>
          <w:rFonts w:ascii="宋体" w:hAnsi="宋体" w:eastAsia="宋体" w:cs="宋体"/>
          <w:color w:val="auto"/>
          <w:spacing w:val="-11"/>
          <w:sz w:val="21"/>
          <w:szCs w:val="21"/>
          <w:highlight w:val="none"/>
        </w:rPr>
        <w:t>标段招标范围：</w:t>
      </w:r>
      <w:r>
        <w:rPr>
          <w:rFonts w:hint="eastAsia" w:ascii="宋体" w:hAnsi="宋体" w:eastAsia="宋体" w:cs="宋体"/>
          <w:color w:val="auto"/>
          <w:spacing w:val="26"/>
          <w:sz w:val="21"/>
          <w:szCs w:val="21"/>
          <w:highlight w:val="none"/>
          <w:lang w:eastAsia="zh-CN"/>
        </w:rPr>
        <w:t>拟建国网辽宁营口鲅鱼圈供电分公司运维检修用房项目，利用现有存量土地位于鲅鱼圈供电分公司院内，建筑面积2513平方米，主要布置主要功能区为生产班组用房 、输电运维工器具、变电运维工器具、变电运维备品备件、输电运维备品备件库房等。</w:t>
      </w:r>
    </w:p>
    <w:p w14:paraId="337A52A0">
      <w:pPr>
        <w:spacing w:line="219" w:lineRule="auto"/>
        <w:ind w:left="859"/>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标段类别</w:t>
      </w:r>
      <w:r>
        <w:rPr>
          <w:rFonts w:ascii="宋体" w:hAnsi="宋体" w:eastAsia="宋体" w:cs="宋体"/>
          <w:color w:val="auto"/>
          <w:spacing w:val="-16"/>
          <w:sz w:val="21"/>
          <w:szCs w:val="21"/>
          <w:highlight w:val="none"/>
        </w:rPr>
        <w:t>：</w:t>
      </w:r>
      <w:r>
        <w:rPr>
          <w:rFonts w:ascii="宋体" w:hAnsi="宋体" w:eastAsia="宋体" w:cs="宋体"/>
          <w:color w:val="auto"/>
          <w:spacing w:val="49"/>
          <w:sz w:val="21"/>
          <w:szCs w:val="21"/>
          <w:highlight w:val="none"/>
        </w:rPr>
        <w:t xml:space="preserve"> </w:t>
      </w:r>
      <w:r>
        <w:rPr>
          <w:rFonts w:hint="eastAsia" w:ascii="宋体" w:hAnsi="宋体" w:eastAsia="宋体" w:cs="宋体"/>
          <w:color w:val="auto"/>
          <w:spacing w:val="49"/>
          <w:sz w:val="21"/>
          <w:szCs w:val="21"/>
          <w:highlight w:val="none"/>
          <w:lang w:val="en-US" w:eastAsia="zh-CN"/>
        </w:rPr>
        <w:t>施工</w:t>
      </w:r>
      <w:r>
        <w:rPr>
          <w:rFonts w:ascii="宋体" w:hAnsi="宋体" w:eastAsia="宋体" w:cs="宋体"/>
          <w:color w:val="auto"/>
          <w:spacing w:val="-16"/>
          <w:sz w:val="21"/>
          <w:szCs w:val="21"/>
          <w:highlight w:val="none"/>
        </w:rPr>
        <w:t>；</w:t>
      </w:r>
      <w:r>
        <w:rPr>
          <w:rFonts w:ascii="宋体" w:hAnsi="宋体" w:eastAsia="宋体" w:cs="宋体"/>
          <w:color w:val="auto"/>
          <w:spacing w:val="-17"/>
          <w:sz w:val="21"/>
          <w:szCs w:val="21"/>
          <w:highlight w:val="none"/>
        </w:rPr>
        <w:t>标段合同估算价：</w:t>
      </w:r>
      <w:r>
        <w:rPr>
          <w:rFonts w:hint="eastAsia"/>
          <w:color w:val="auto"/>
          <w:highlight w:val="none"/>
          <w:u w:val="single"/>
          <w:lang w:val="en-US" w:eastAsia="zh-CN"/>
        </w:rPr>
        <w:t>1161.96万元</w:t>
      </w:r>
      <w:r>
        <w:rPr>
          <w:rFonts w:ascii="宋体" w:hAnsi="宋体" w:eastAsia="宋体" w:cs="宋体"/>
          <w:color w:val="auto"/>
          <w:spacing w:val="-17"/>
          <w:sz w:val="21"/>
          <w:szCs w:val="21"/>
          <w:highlight w:val="none"/>
        </w:rPr>
        <w:t>。</w:t>
      </w:r>
    </w:p>
    <w:p w14:paraId="3627B6E4">
      <w:pPr>
        <w:spacing w:before="173" w:line="221" w:lineRule="auto"/>
        <w:ind w:left="86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投标保证金金额：</w:t>
      </w:r>
      <w:r>
        <w:rPr>
          <w:rFonts w:hint="eastAsia" w:ascii="宋体" w:hAnsi="宋体" w:eastAsia="宋体" w:cs="宋体"/>
          <w:color w:val="auto"/>
          <w:spacing w:val="-9"/>
          <w:sz w:val="21"/>
          <w:szCs w:val="21"/>
          <w:highlight w:val="none"/>
          <w:u w:val="single" w:color="auto"/>
          <w:lang w:val="en-US" w:eastAsia="zh-CN"/>
        </w:rPr>
        <w:t>10万元</w:t>
      </w:r>
      <w:r>
        <w:rPr>
          <w:rFonts w:ascii="宋体" w:hAnsi="宋体" w:eastAsia="宋体" w:cs="宋体"/>
          <w:color w:val="auto"/>
          <w:spacing w:val="-9"/>
          <w:sz w:val="21"/>
          <w:szCs w:val="21"/>
          <w:highlight w:val="none"/>
        </w:rPr>
        <w:t>； 缴纳方式：</w:t>
      </w:r>
      <w:r>
        <w:rPr>
          <w:rFonts w:ascii="宋体" w:hAnsi="宋体" w:eastAsia="宋体" w:cs="宋体"/>
          <w:color w:val="auto"/>
          <w:spacing w:val="-10"/>
          <w:sz w:val="21"/>
          <w:szCs w:val="21"/>
          <w:highlight w:val="none"/>
          <w:u w:val="single" w:color="auto"/>
        </w:rPr>
        <w:t>现金/保函（保险）</w:t>
      </w:r>
      <w:r>
        <w:rPr>
          <w:rFonts w:ascii="宋体" w:hAnsi="宋体" w:eastAsia="宋体" w:cs="宋体"/>
          <w:color w:val="auto"/>
          <w:spacing w:val="22"/>
          <w:sz w:val="21"/>
          <w:szCs w:val="21"/>
          <w:highlight w:val="none"/>
          <w:u w:val="single" w:color="auto"/>
        </w:rPr>
        <w:t xml:space="preserve"> </w:t>
      </w:r>
      <w:r>
        <w:rPr>
          <w:rFonts w:ascii="宋体" w:hAnsi="宋体" w:eastAsia="宋体" w:cs="宋体"/>
          <w:color w:val="auto"/>
          <w:spacing w:val="-10"/>
          <w:sz w:val="21"/>
          <w:szCs w:val="21"/>
          <w:highlight w:val="none"/>
          <w:u w:val="single" w:color="auto"/>
        </w:rPr>
        <w:t>/其他形式</w:t>
      </w:r>
      <w:r>
        <w:rPr>
          <w:rFonts w:ascii="宋体" w:hAnsi="宋体" w:eastAsia="宋体" w:cs="宋体"/>
          <w:color w:val="auto"/>
          <w:spacing w:val="-10"/>
          <w:sz w:val="21"/>
          <w:szCs w:val="21"/>
          <w:highlight w:val="none"/>
        </w:rPr>
        <w:t>。</w:t>
      </w:r>
    </w:p>
    <w:p w14:paraId="70AE6EDB">
      <w:pPr>
        <w:spacing w:before="167" w:line="350" w:lineRule="auto"/>
        <w:ind w:left="451"/>
        <w:rPr>
          <w:rFonts w:ascii="宋体" w:hAnsi="宋体"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2.3</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5"/>
          <w:sz w:val="21"/>
          <w:szCs w:val="21"/>
          <w:highlight w:val="none"/>
        </w:rPr>
        <w:t xml:space="preserve">其他： </w:t>
      </w:r>
      <w:r>
        <w:rPr>
          <w:rFonts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lang w:val="en-US" w:eastAsia="zh-CN"/>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5"/>
          <w:sz w:val="21"/>
          <w:szCs w:val="21"/>
          <w:highlight w:val="none"/>
        </w:rPr>
        <w:t>。</w:t>
      </w:r>
    </w:p>
    <w:p w14:paraId="2A1D0146">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黑体" w:hAnsi="黑体" w:eastAsia="黑体" w:cs="黑体"/>
          <w:color w:val="auto"/>
          <w:spacing w:val="-1"/>
          <w:sz w:val="24"/>
          <w:szCs w:val="24"/>
          <w:highlight w:val="none"/>
        </w:rPr>
        <w:t>投标人资格要求</w:t>
      </w:r>
    </w:p>
    <w:p w14:paraId="1253FE72">
      <w:pPr>
        <w:spacing w:before="159" w:line="369" w:lineRule="auto"/>
        <w:ind w:left="17" w:right="7" w:firstLine="438"/>
        <w:jc w:val="lef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3.1 </w:t>
      </w:r>
      <w:r>
        <w:rPr>
          <w:rFonts w:ascii="宋体" w:hAnsi="宋体" w:eastAsia="宋体" w:cs="宋体"/>
          <w:color w:val="auto"/>
          <w:spacing w:val="-1"/>
          <w:sz w:val="21"/>
          <w:szCs w:val="21"/>
          <w:highlight w:val="none"/>
        </w:rPr>
        <w:t>本次招标要求投标人</w:t>
      </w:r>
      <w:r>
        <w:rPr>
          <w:rFonts w:hint="eastAsia" w:ascii="宋体" w:hAnsi="宋体" w:eastAsia="宋体" w:cs="宋体"/>
          <w:color w:val="auto"/>
          <w:spacing w:val="-1"/>
          <w:sz w:val="21"/>
          <w:szCs w:val="21"/>
          <w:highlight w:val="none"/>
          <w:lang w:eastAsia="zh-CN"/>
        </w:rPr>
        <w:t>须具备 [施工总承包·建筑工程·建筑工程二级](含)以上资质</w:t>
      </w:r>
      <w:r>
        <w:rPr>
          <w:rFonts w:hint="eastAsia" w:ascii="宋体" w:hAnsi="宋体" w:eastAsia="宋体" w:cs="宋体"/>
          <w:color w:val="auto"/>
          <w:spacing w:val="-1"/>
          <w:sz w:val="21"/>
          <w:szCs w:val="21"/>
          <w:highlight w:val="none"/>
          <w:u w:val="single" w:color="auto"/>
          <w:lang w:val="en-US" w:eastAsia="zh-CN"/>
        </w:rPr>
        <w:t>，</w:t>
      </w:r>
      <w:r>
        <w:rPr>
          <w:rFonts w:ascii="宋体" w:hAnsi="宋体" w:eastAsia="宋体" w:cs="宋体"/>
          <w:color w:val="auto"/>
          <w:spacing w:val="-1"/>
          <w:sz w:val="21"/>
          <w:szCs w:val="21"/>
          <w:highlight w:val="none"/>
          <w:u w:val="single" w:color="auto"/>
        </w:rPr>
        <w:t>并在人员、设备、资金等方面具有相应的</w:t>
      </w:r>
      <w:r>
        <w:rPr>
          <w:rFonts w:ascii="宋体" w:hAnsi="宋体" w:eastAsia="宋体" w:cs="宋体"/>
          <w:color w:val="auto"/>
          <w:spacing w:val="-3"/>
          <w:sz w:val="21"/>
          <w:szCs w:val="21"/>
          <w:highlight w:val="none"/>
          <w:u w:val="single" w:color="auto"/>
        </w:rPr>
        <w:t>施工能力，</w:t>
      </w:r>
      <w:r>
        <w:rPr>
          <w:rFonts w:ascii="宋体" w:hAnsi="宋体" w:eastAsia="宋体" w:cs="宋体"/>
          <w:color w:val="auto"/>
          <w:spacing w:val="52"/>
          <w:sz w:val="21"/>
          <w:szCs w:val="21"/>
          <w:highlight w:val="none"/>
          <w:u w:val="single" w:color="auto"/>
        </w:rPr>
        <w:t xml:space="preserve"> </w:t>
      </w:r>
      <w:r>
        <w:rPr>
          <w:rFonts w:ascii="宋体" w:hAnsi="宋体" w:eastAsia="宋体" w:cs="宋体"/>
          <w:color w:val="auto"/>
          <w:spacing w:val="-3"/>
          <w:sz w:val="21"/>
          <w:szCs w:val="21"/>
          <w:highlight w:val="none"/>
          <w:u w:val="single" w:color="auto"/>
        </w:rPr>
        <w:t>其中，投标人拟派项目经理须具备注册</w:t>
      </w:r>
      <w:r>
        <w:rPr>
          <w:rFonts w:hint="eastAsia" w:ascii="宋体" w:hAnsi="宋体" w:eastAsia="宋体" w:cs="宋体"/>
          <w:color w:val="auto"/>
          <w:spacing w:val="-3"/>
          <w:sz w:val="21"/>
          <w:szCs w:val="21"/>
          <w:highlight w:val="none"/>
          <w:u w:val="single" w:color="auto"/>
          <w:lang w:val="en-US" w:eastAsia="zh-CN"/>
        </w:rPr>
        <w:t>二</w:t>
      </w:r>
      <w:r>
        <w:rPr>
          <w:rFonts w:ascii="宋体" w:hAnsi="宋体" w:eastAsia="宋体" w:cs="宋体"/>
          <w:color w:val="auto"/>
          <w:spacing w:val="-3"/>
          <w:sz w:val="21"/>
          <w:szCs w:val="21"/>
          <w:highlight w:val="none"/>
          <w:u w:val="single" w:color="auto"/>
        </w:rPr>
        <w:t>级建造师·</w:t>
      </w:r>
      <w:r>
        <w:rPr>
          <w:rFonts w:hint="eastAsia" w:ascii="宋体" w:hAnsi="宋体" w:eastAsia="宋体" w:cs="宋体"/>
          <w:color w:val="auto"/>
          <w:spacing w:val="-3"/>
          <w:sz w:val="21"/>
          <w:szCs w:val="21"/>
          <w:highlight w:val="none"/>
          <w:u w:val="single" w:color="auto"/>
          <w:lang w:eastAsia="zh-CN"/>
        </w:rPr>
        <w:t>建筑工程</w:t>
      </w:r>
      <w:r>
        <w:rPr>
          <w:rStyle w:val="14"/>
          <w:rFonts w:ascii="宋体" w:hAnsi="宋体" w:cs="宋体"/>
          <w:b w:val="0"/>
          <w:bCs w:val="0"/>
          <w:i w:val="0"/>
          <w:iCs w:val="0"/>
          <w:smallCaps w:val="0"/>
          <w:color w:val="auto"/>
          <w:kern w:val="0"/>
          <w:sz w:val="27"/>
          <w:szCs w:val="27"/>
          <w:highlight w:val="none"/>
        </w:rPr>
        <w:t>]</w:t>
      </w:r>
      <w:r>
        <w:rPr>
          <w:rFonts w:ascii="宋体" w:hAnsi="宋体" w:eastAsia="宋体" w:cs="宋体"/>
          <w:color w:val="auto"/>
          <w:spacing w:val="-4"/>
          <w:sz w:val="21"/>
          <w:szCs w:val="21"/>
          <w:highlight w:val="none"/>
          <w:u w:val="single" w:color="auto"/>
        </w:rPr>
        <w:t>，具备有</w:t>
      </w:r>
      <w:r>
        <w:rPr>
          <w:rFonts w:ascii="宋体" w:hAnsi="宋体" w:eastAsia="宋体" w:cs="宋体"/>
          <w:color w:val="auto"/>
          <w:sz w:val="21"/>
          <w:szCs w:val="21"/>
          <w:highlight w:val="none"/>
          <w:u w:val="single" w:color="auto"/>
        </w:rPr>
        <w:t>效的安全生产考核合格证书（</w:t>
      </w:r>
      <w:r>
        <w:rPr>
          <w:rFonts w:ascii="Times New Roman" w:hAnsi="Times New Roman" w:eastAsia="Times New Roman" w:cs="Times New Roman"/>
          <w:color w:val="auto"/>
          <w:sz w:val="21"/>
          <w:szCs w:val="21"/>
          <w:highlight w:val="none"/>
          <w:u w:val="single" w:color="auto"/>
        </w:rPr>
        <w:t xml:space="preserve">B </w:t>
      </w:r>
      <w:r>
        <w:rPr>
          <w:rFonts w:ascii="宋体" w:hAnsi="宋体" w:eastAsia="宋体" w:cs="宋体"/>
          <w:color w:val="auto"/>
          <w:sz w:val="21"/>
          <w:szCs w:val="21"/>
          <w:highlight w:val="none"/>
          <w:u w:val="single" w:color="auto"/>
        </w:rPr>
        <w:t>证</w:t>
      </w:r>
      <w:r>
        <w:rPr>
          <w:rFonts w:ascii="宋体" w:hAnsi="宋体" w:eastAsia="宋体" w:cs="宋体"/>
          <w:color w:val="auto"/>
          <w:spacing w:val="-54"/>
          <w:w w:val="98"/>
          <w:sz w:val="21"/>
          <w:szCs w:val="21"/>
          <w:highlight w:val="none"/>
          <w:u w:val="single" w:color="auto"/>
        </w:rPr>
        <w:t>），</w:t>
      </w:r>
      <w:r>
        <w:rPr>
          <w:rFonts w:ascii="宋体" w:hAnsi="宋体" w:eastAsia="宋体" w:cs="宋体"/>
          <w:color w:val="auto"/>
          <w:sz w:val="21"/>
          <w:szCs w:val="21"/>
          <w:highlight w:val="none"/>
          <w:u w:val="single" w:color="auto"/>
        </w:rPr>
        <w:t>且未担任其他在施建</w:t>
      </w:r>
      <w:r>
        <w:rPr>
          <w:rFonts w:ascii="宋体" w:hAnsi="宋体" w:eastAsia="宋体" w:cs="宋体"/>
          <w:color w:val="auto"/>
          <w:spacing w:val="-1"/>
          <w:sz w:val="21"/>
          <w:szCs w:val="21"/>
          <w:highlight w:val="none"/>
          <w:u w:val="single" w:color="auto"/>
        </w:rPr>
        <w:t>设工程项目的项目经理</w:t>
      </w:r>
      <w:r>
        <w:rPr>
          <w:rFonts w:ascii="宋体" w:hAnsi="宋体" w:eastAsia="宋体" w:cs="宋体"/>
          <w:color w:val="auto"/>
          <w:spacing w:val="-1"/>
          <w:sz w:val="21"/>
          <w:szCs w:val="21"/>
          <w:highlight w:val="none"/>
        </w:rPr>
        <w:t>。</w:t>
      </w:r>
    </w:p>
    <w:p w14:paraId="212BDF32">
      <w:pPr>
        <w:spacing w:before="172" w:line="220" w:lineRule="auto"/>
        <w:ind w:right="7"/>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2"/>
          <w:sz w:val="21"/>
          <w:szCs w:val="21"/>
          <w:highlight w:val="none"/>
        </w:rPr>
        <w:t>本次招标</w:t>
      </w:r>
      <w:r>
        <w:rPr>
          <w:rFonts w:hint="eastAsia" w:ascii="宋体" w:hAnsi="宋体" w:eastAsia="宋体" w:cs="宋体"/>
          <w:color w:val="auto"/>
          <w:spacing w:val="2"/>
          <w:sz w:val="21"/>
          <w:szCs w:val="21"/>
          <w:highlight w:val="none"/>
          <w:u w:val="single"/>
          <w:lang w:val="en-US" w:eastAsia="zh-CN"/>
        </w:rPr>
        <w:t xml:space="preserve"> </w:t>
      </w:r>
      <w:r>
        <w:rPr>
          <w:rFonts w:ascii="宋体" w:hAnsi="宋体" w:eastAsia="宋体" w:cs="宋体"/>
          <w:color w:val="auto"/>
          <w:spacing w:val="-105"/>
          <w:sz w:val="21"/>
          <w:szCs w:val="21"/>
          <w:highlight w:val="none"/>
          <w:u w:val="single"/>
        </w:rPr>
        <w:t xml:space="preserve"> </w:t>
      </w:r>
      <w:r>
        <w:rPr>
          <w:rFonts w:ascii="宋体" w:hAnsi="宋体" w:eastAsia="宋体" w:cs="宋体"/>
          <w:color w:val="auto"/>
          <w:spacing w:val="2"/>
          <w:sz w:val="21"/>
          <w:szCs w:val="21"/>
          <w:highlight w:val="none"/>
          <w:u w:val="single"/>
        </w:rPr>
        <w:t>不接受</w:t>
      </w:r>
      <w:r>
        <w:rPr>
          <w:rFonts w:hint="eastAsia" w:ascii="宋体" w:hAnsi="宋体" w:eastAsia="宋体" w:cs="宋体"/>
          <w:color w:val="auto"/>
          <w:spacing w:val="2"/>
          <w:sz w:val="21"/>
          <w:szCs w:val="21"/>
          <w:highlight w:val="none"/>
          <w:u w:val="single"/>
          <w:lang w:val="en-US" w:eastAsia="zh-CN"/>
        </w:rPr>
        <w:t xml:space="preserve"> </w:t>
      </w:r>
      <w:r>
        <w:rPr>
          <w:rFonts w:ascii="宋体" w:hAnsi="宋体" w:eastAsia="宋体" w:cs="宋体"/>
          <w:color w:val="auto"/>
          <w:spacing w:val="2"/>
          <w:sz w:val="21"/>
          <w:szCs w:val="21"/>
          <w:highlight w:val="none"/>
        </w:rPr>
        <w:t>（接受或不接受）联合体投标。联合体投标的，应满足下列要</w:t>
      </w:r>
    </w:p>
    <w:p w14:paraId="4C75569B">
      <w:pPr>
        <w:spacing w:before="167" w:line="222"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求：</w:t>
      </w:r>
      <w:r>
        <w:rPr>
          <w:rFonts w:ascii="宋体" w:hAnsi="宋体" w:eastAsia="宋体" w:cs="宋体"/>
          <w:color w:val="auto"/>
          <w:spacing w:val="-30"/>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hint="eastAsia" w:ascii="宋体" w:hAnsi="宋体" w:eastAsia="宋体" w:cs="宋体"/>
          <w:color w:val="auto"/>
          <w:spacing w:val="-15"/>
          <w:sz w:val="21"/>
          <w:szCs w:val="21"/>
          <w:highlight w:val="none"/>
          <w:u w:val="single" w:color="auto"/>
          <w:lang w:val="en-US" w:eastAsia="zh-CN"/>
        </w:rPr>
        <w:t>/</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15"/>
          <w:sz w:val="21"/>
          <w:szCs w:val="21"/>
          <w:highlight w:val="none"/>
        </w:rPr>
        <w:t>。</w:t>
      </w:r>
    </w:p>
    <w:p w14:paraId="7D2573AB">
      <w:pPr>
        <w:spacing w:before="171"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 xml:space="preserve">3.3 </w:t>
      </w:r>
      <w:r>
        <w:rPr>
          <w:rFonts w:ascii="宋体" w:hAnsi="宋体" w:eastAsia="宋体" w:cs="宋体"/>
          <w:color w:val="auto"/>
          <w:spacing w:val="-7"/>
          <w:sz w:val="21"/>
          <w:szCs w:val="21"/>
          <w:highlight w:val="none"/>
        </w:rPr>
        <w:t>其他要求：</w:t>
      </w:r>
      <w:r>
        <w:rPr>
          <w:rFonts w:ascii="宋体" w:hAnsi="宋体" w:eastAsia="宋体" w:cs="宋体"/>
          <w:color w:val="auto"/>
          <w:spacing w:val="-29"/>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sz w:val="21"/>
          <w:szCs w:val="21"/>
          <w:highlight w:val="none"/>
          <w:u w:val="single" w:color="auto"/>
          <w:lang w:val="en-US" w:eastAsia="zh-CN"/>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w:t>
      </w:r>
    </w:p>
    <w:p w14:paraId="681146F8">
      <w:pPr>
        <w:spacing w:before="143"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4.</w:t>
      </w:r>
      <w:r>
        <w:rPr>
          <w:rFonts w:ascii="黑体" w:hAnsi="黑体" w:eastAsia="黑体" w:cs="黑体"/>
          <w:color w:val="auto"/>
          <w:spacing w:val="-1"/>
          <w:sz w:val="24"/>
          <w:szCs w:val="24"/>
          <w:highlight w:val="none"/>
        </w:rPr>
        <w:t>招标文件的获取</w:t>
      </w:r>
    </w:p>
    <w:p w14:paraId="3D02B75C">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4.1 凡有意参加投标者（若为联合体投标，指联合体所有成员）， 应当在主体信息库</w:t>
      </w:r>
    </w:p>
    <w:p w14:paraId="09A3FE61">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（辽宁省工程建设项目主体云库）进行注册登记（具体参见主体云库注册操作指南）。</w:t>
      </w:r>
    </w:p>
    <w:p w14:paraId="62EA59E7">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 xml:space="preserve">4.2 完成注册登记后， 请于 </w:t>
      </w:r>
      <w:r>
        <w:rPr>
          <w:rFonts w:hint="eastAsia" w:ascii="Times New Roman" w:hAnsi="Times New Roman" w:eastAsia="Times New Roman" w:cs="Times New Roman"/>
          <w:color w:val="auto"/>
          <w:spacing w:val="6"/>
          <w:position w:val="16"/>
          <w:sz w:val="21"/>
          <w:szCs w:val="21"/>
          <w:highlight w:val="none"/>
          <w:lang w:val="en-US" w:eastAsia="zh-CN"/>
        </w:rPr>
        <w:t>2026年05月**日08时30分</w:t>
      </w:r>
      <w:r>
        <w:rPr>
          <w:rFonts w:ascii="Times New Roman" w:hAnsi="Times New Roman" w:eastAsia="Times New Roman" w:cs="Times New Roman"/>
          <w:color w:val="auto"/>
          <w:spacing w:val="6"/>
          <w:position w:val="16"/>
          <w:sz w:val="21"/>
          <w:szCs w:val="21"/>
          <w:highlight w:val="none"/>
        </w:rPr>
        <w:t>至</w:t>
      </w:r>
      <w:r>
        <w:rPr>
          <w:rFonts w:hint="eastAsia" w:ascii="Times New Roman" w:hAnsi="Times New Roman" w:eastAsia="Times New Roman" w:cs="Times New Roman"/>
          <w:color w:val="auto"/>
          <w:spacing w:val="6"/>
          <w:position w:val="16"/>
          <w:sz w:val="21"/>
          <w:szCs w:val="21"/>
          <w:highlight w:val="none"/>
          <w:lang w:val="en-US" w:eastAsia="zh-CN"/>
        </w:rPr>
        <w:t>2026年05月**日16时30分</w:t>
      </w:r>
      <w:r>
        <w:rPr>
          <w:rFonts w:ascii="Times New Roman" w:hAnsi="Times New Roman" w:eastAsia="Times New Roman" w:cs="Times New Roman"/>
          <w:color w:val="auto"/>
          <w:spacing w:val="6"/>
          <w:position w:val="16"/>
          <w:sz w:val="21"/>
          <w:szCs w:val="21"/>
          <w:highlight w:val="none"/>
        </w:rPr>
        <w:t xml:space="preserve">止（北京时间、 下同），通过 </w:t>
      </w:r>
      <w:r>
        <w:rPr>
          <w:rFonts w:hint="eastAsia" w:ascii="Times New Roman" w:hAnsi="Times New Roman" w:eastAsia="Times New Roman" w:cs="Times New Roman"/>
          <w:color w:val="auto"/>
          <w:spacing w:val="6"/>
          <w:position w:val="16"/>
          <w:sz w:val="21"/>
          <w:szCs w:val="21"/>
          <w:highlight w:val="none"/>
        </w:rPr>
        <w:t>辽宁工程咨询招投标交易平台</w:t>
      </w:r>
      <w:r>
        <w:rPr>
          <w:rFonts w:ascii="Times New Roman" w:hAnsi="Times New Roman" w:eastAsia="Times New Roman" w:cs="Times New Roman"/>
          <w:color w:val="auto"/>
          <w:spacing w:val="6"/>
          <w:position w:val="16"/>
          <w:sz w:val="21"/>
          <w:szCs w:val="21"/>
          <w:highlight w:val="none"/>
        </w:rPr>
        <w:t>（投标盲盒工具</w:t>
      </w:r>
      <w:r>
        <w:rPr>
          <w:rFonts w:ascii="Times New Roman" w:hAnsi="Times New Roman" w:eastAsia="Times New Roman" w:cs="Times New Roman"/>
          <w:color w:val="auto"/>
          <w:spacing w:val="6"/>
          <w:position w:val="16"/>
          <w:sz w:val="21"/>
          <w:szCs w:val="21"/>
          <w:highlight w:val="none"/>
        </w:rPr>
        <w:fldChar w:fldCharType="begin"/>
      </w:r>
      <w:r>
        <w:rPr>
          <w:rFonts w:ascii="Times New Roman" w:hAnsi="Times New Roman" w:eastAsia="Times New Roman" w:cs="Times New Roman"/>
          <w:color w:val="auto"/>
          <w:spacing w:val="6"/>
          <w:position w:val="16"/>
          <w:sz w:val="21"/>
          <w:szCs w:val="21"/>
          <w:highlight w:val="none"/>
        </w:rPr>
        <w:instrText xml:space="preserve"> HYPERLINK "https://xbox.lnzb.com" </w:instrText>
      </w:r>
      <w:r>
        <w:rPr>
          <w:rFonts w:ascii="Times New Roman" w:hAnsi="Times New Roman" w:eastAsia="Times New Roman" w:cs="Times New Roman"/>
          <w:color w:val="auto"/>
          <w:spacing w:val="6"/>
          <w:position w:val="16"/>
          <w:sz w:val="21"/>
          <w:szCs w:val="21"/>
          <w:highlight w:val="none"/>
        </w:rPr>
        <w:fldChar w:fldCharType="separate"/>
      </w:r>
      <w:r>
        <w:rPr>
          <w:rFonts w:ascii="Times New Roman" w:hAnsi="Times New Roman" w:eastAsia="Times New Roman" w:cs="Times New Roman"/>
          <w:color w:val="auto"/>
          <w:spacing w:val="6"/>
          <w:position w:val="16"/>
          <w:sz w:val="21"/>
          <w:szCs w:val="21"/>
          <w:highlight w:val="none"/>
        </w:rPr>
        <w:t>https://xbox.lnzb.com</w:t>
      </w:r>
      <w:r>
        <w:rPr>
          <w:rFonts w:ascii="Times New Roman" w:hAnsi="Times New Roman" w:eastAsia="Times New Roman" w:cs="Times New Roman"/>
          <w:color w:val="auto"/>
          <w:spacing w:val="6"/>
          <w:position w:val="16"/>
          <w:sz w:val="21"/>
          <w:szCs w:val="21"/>
          <w:highlight w:val="none"/>
        </w:rPr>
        <w:fldChar w:fldCharType="end"/>
      </w:r>
      <w:r>
        <w:rPr>
          <w:rFonts w:ascii="Times New Roman" w:hAnsi="Times New Roman" w:eastAsia="Times New Roman" w:cs="Times New Roman"/>
          <w:color w:val="auto"/>
          <w:spacing w:val="6"/>
          <w:position w:val="16"/>
          <w:sz w:val="21"/>
          <w:szCs w:val="21"/>
          <w:highlight w:val="none"/>
        </w:rPr>
        <w:t>），在所投标段进行资格确认并下载招标文件。联合体投标的，由联合体牵头人下载招标文件。</w:t>
      </w:r>
    </w:p>
    <w:p w14:paraId="379950FD">
      <w:pPr>
        <w:spacing w:before="147"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5.</w:t>
      </w:r>
      <w:r>
        <w:rPr>
          <w:rFonts w:ascii="黑体" w:hAnsi="黑体" w:eastAsia="黑体" w:cs="黑体"/>
          <w:color w:val="auto"/>
          <w:spacing w:val="-1"/>
          <w:sz w:val="24"/>
          <w:szCs w:val="24"/>
          <w:highlight w:val="none"/>
        </w:rPr>
        <w:t>投标文件的递交</w:t>
      </w:r>
    </w:p>
    <w:p w14:paraId="54EC8E6E">
      <w:pPr>
        <w:spacing w:before="15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5.1 </w:t>
      </w:r>
      <w:r>
        <w:rPr>
          <w:rFonts w:ascii="宋体" w:hAnsi="宋体" w:eastAsia="宋体" w:cs="宋体"/>
          <w:color w:val="auto"/>
          <w:spacing w:val="-5"/>
          <w:sz w:val="21"/>
          <w:szCs w:val="21"/>
          <w:highlight w:val="none"/>
        </w:rPr>
        <w:t>投标文件递交截止时间为</w:t>
      </w:r>
      <w:r>
        <w:rPr>
          <w:rFonts w:ascii="宋体" w:hAnsi="宋体" w:eastAsia="宋体" w:cs="宋体"/>
          <w:color w:val="auto"/>
          <w:spacing w:val="-104"/>
          <w:sz w:val="21"/>
          <w:szCs w:val="21"/>
          <w:highlight w:val="none"/>
        </w:rPr>
        <w:t xml:space="preserve"> </w:t>
      </w:r>
      <w:r>
        <w:rPr>
          <w:rFonts w:hint="eastAsia" w:ascii="宋体" w:hAnsi="宋体" w:eastAsia="宋体" w:cs="宋体"/>
          <w:color w:val="auto"/>
          <w:spacing w:val="51"/>
          <w:sz w:val="21"/>
          <w:szCs w:val="21"/>
          <w:highlight w:val="none"/>
          <w:u w:val="single" w:color="auto"/>
          <w:lang w:val="en-US" w:eastAsia="zh-CN"/>
        </w:rPr>
        <w:t>2026年06月**日</w:t>
      </w:r>
      <w:r>
        <w:rPr>
          <w:rFonts w:hint="eastAsia" w:ascii="宋体" w:hAnsi="宋体" w:eastAsia="宋体" w:cs="宋体"/>
          <w:color w:val="auto"/>
          <w:spacing w:val="-5"/>
          <w:sz w:val="21"/>
          <w:szCs w:val="21"/>
          <w:highlight w:val="none"/>
          <w:lang w:val="en-US" w:eastAsia="zh-CN"/>
        </w:rPr>
        <w:t>9</w:t>
      </w:r>
      <w:r>
        <w:rPr>
          <w:rFonts w:ascii="宋体" w:hAnsi="宋体" w:eastAsia="宋体" w:cs="宋体"/>
          <w:color w:val="auto"/>
          <w:spacing w:val="-5"/>
          <w:sz w:val="21"/>
          <w:szCs w:val="21"/>
          <w:highlight w:val="none"/>
        </w:rPr>
        <w:t xml:space="preserve"> 时</w:t>
      </w:r>
      <w:r>
        <w:rPr>
          <w:rFonts w:hint="eastAsia" w:ascii="宋体" w:hAnsi="宋体" w:eastAsia="宋体" w:cs="宋体"/>
          <w:color w:val="auto"/>
          <w:spacing w:val="-5"/>
          <w:sz w:val="21"/>
          <w:szCs w:val="21"/>
          <w:highlight w:val="none"/>
          <w:lang w:val="en-US" w:eastAsia="zh-CN"/>
        </w:rPr>
        <w:t>30分</w:t>
      </w:r>
      <w:r>
        <w:rPr>
          <w:rFonts w:ascii="宋体" w:hAnsi="宋体" w:eastAsia="宋体" w:cs="宋体"/>
          <w:color w:val="auto"/>
          <w:spacing w:val="-5"/>
          <w:sz w:val="21"/>
          <w:szCs w:val="21"/>
          <w:highlight w:val="none"/>
        </w:rPr>
        <w:t>。</w:t>
      </w:r>
    </w:p>
    <w:p w14:paraId="15F82112">
      <w:pPr>
        <w:spacing w:before="173" w:line="369" w:lineRule="auto"/>
        <w:ind w:left="11" w:right="6" w:firstLine="446"/>
        <w:rPr>
          <w:rFonts w:ascii="宋体" w:hAnsi="宋体"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 xml:space="preserve">5.2  </w:t>
      </w:r>
      <w:r>
        <w:rPr>
          <w:rFonts w:ascii="宋体" w:hAnsi="宋体" w:eastAsia="宋体" w:cs="宋体"/>
          <w:color w:val="auto"/>
          <w:spacing w:val="15"/>
          <w:sz w:val="21"/>
          <w:szCs w:val="21"/>
          <w:highlight w:val="none"/>
        </w:rPr>
        <w:t>投标人应当在投标</w:t>
      </w:r>
      <w:r>
        <w:rPr>
          <w:rFonts w:ascii="宋体" w:hAnsi="宋体" w:eastAsia="宋体" w:cs="宋体"/>
          <w:color w:val="auto"/>
          <w:spacing w:val="-60"/>
          <w:sz w:val="21"/>
          <w:szCs w:val="21"/>
          <w:highlight w:val="none"/>
        </w:rPr>
        <w:t xml:space="preserve"> </w:t>
      </w:r>
      <w:r>
        <w:rPr>
          <w:rFonts w:ascii="宋体" w:hAnsi="宋体" w:eastAsia="宋体" w:cs="宋体"/>
          <w:color w:val="auto"/>
          <w:spacing w:val="15"/>
          <w:sz w:val="21"/>
          <w:szCs w:val="21"/>
          <w:highlight w:val="none"/>
        </w:rPr>
        <w:t>截止时间前</w:t>
      </w:r>
      <w:r>
        <w:rPr>
          <w:rFonts w:ascii="宋体" w:hAnsi="宋体" w:eastAsia="宋体" w:cs="宋体"/>
          <w:color w:val="auto"/>
          <w:spacing w:val="-4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15"/>
          <w:sz w:val="21"/>
          <w:szCs w:val="21"/>
          <w:highlight w:val="none"/>
        </w:rPr>
        <w:t>通过</w:t>
      </w:r>
      <w:r>
        <w:rPr>
          <w:rFonts w:hint="eastAsia" w:ascii="宋体" w:hAnsi="宋体" w:eastAsia="宋体" w:cs="宋体"/>
          <w:color w:val="auto"/>
          <w:spacing w:val="15"/>
          <w:sz w:val="21"/>
          <w:szCs w:val="21"/>
          <w:highlight w:val="none"/>
          <w:u w:val="single" w:color="auto"/>
        </w:rPr>
        <w:t>辽宁工程咨询招投标交易平台(投标盲盒工具https://nxbox.Inzb.com:8888/#/login)</w:t>
      </w:r>
      <w:r>
        <w:rPr>
          <w:rFonts w:ascii="宋体" w:hAnsi="宋体" w:eastAsia="宋体" w:cs="宋体"/>
          <w:color w:val="auto"/>
          <w:spacing w:val="-48"/>
          <w:sz w:val="21"/>
          <w:szCs w:val="21"/>
          <w:highlight w:val="none"/>
        </w:rPr>
        <w:t>，</w:t>
      </w:r>
      <w:r>
        <w:rPr>
          <w:rFonts w:ascii="宋体" w:hAnsi="宋体" w:eastAsia="宋体" w:cs="宋体"/>
          <w:color w:val="auto"/>
          <w:spacing w:val="2"/>
          <w:sz w:val="21"/>
          <w:szCs w:val="21"/>
          <w:highlight w:val="none"/>
        </w:rPr>
        <w:t>选择所投标段将加密的电子投标文件上传。投标人完成投</w:t>
      </w:r>
      <w:r>
        <w:rPr>
          <w:rFonts w:ascii="宋体" w:hAnsi="宋体" w:eastAsia="宋体" w:cs="宋体"/>
          <w:color w:val="auto"/>
          <w:spacing w:val="1"/>
          <w:sz w:val="21"/>
          <w:szCs w:val="21"/>
          <w:highlight w:val="none"/>
        </w:rPr>
        <w:t>标文件上</w:t>
      </w:r>
      <w:r>
        <w:rPr>
          <w:rFonts w:ascii="宋体" w:hAnsi="宋体" w:eastAsia="宋体" w:cs="宋体"/>
          <w:color w:val="auto"/>
          <w:sz w:val="21"/>
          <w:szCs w:val="21"/>
          <w:highlight w:val="none"/>
        </w:rPr>
        <w:t>传后， 电子交易系统向投标人发出电子签收凭证，递交时间以电子签收凭证载明的时间为</w:t>
      </w:r>
      <w:r>
        <w:rPr>
          <w:rFonts w:ascii="宋体" w:hAnsi="宋体" w:eastAsia="宋体" w:cs="宋体"/>
          <w:color w:val="auto"/>
          <w:spacing w:val="3"/>
          <w:sz w:val="21"/>
          <w:szCs w:val="21"/>
          <w:highlight w:val="none"/>
        </w:rPr>
        <w:t>准。逾期未完成上传或未加密的电子投标文件，招标人（电子交易系统）将拒收其投标文</w:t>
      </w:r>
      <w:r>
        <w:rPr>
          <w:rFonts w:ascii="宋体" w:hAnsi="宋体" w:eastAsia="宋体" w:cs="宋体"/>
          <w:color w:val="auto"/>
          <w:spacing w:val="-4"/>
          <w:sz w:val="21"/>
          <w:szCs w:val="21"/>
          <w:highlight w:val="none"/>
        </w:rPr>
        <w:t>件。</w:t>
      </w:r>
    </w:p>
    <w:p w14:paraId="6922904A">
      <w:pPr>
        <w:tabs>
          <w:tab w:val="left" w:pos="128"/>
        </w:tabs>
        <w:spacing w:before="119" w:line="266" w:lineRule="auto"/>
        <w:ind w:left="10" w:right="17" w:firstLine="44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 xml:space="preserve">5.3    </w:t>
      </w:r>
      <w:r>
        <w:rPr>
          <w:rFonts w:ascii="宋体" w:hAnsi="宋体" w:eastAsia="宋体" w:cs="宋体"/>
          <w:color w:val="auto"/>
          <w:spacing w:val="-8"/>
          <w:sz w:val="21"/>
          <w:szCs w:val="21"/>
          <w:highlight w:val="none"/>
        </w:rPr>
        <w:t>开 标</w:t>
      </w:r>
      <w:r>
        <w:rPr>
          <w:rFonts w:ascii="宋体" w:hAnsi="宋体" w:eastAsia="宋体" w:cs="宋体"/>
          <w:color w:val="auto"/>
          <w:spacing w:val="20"/>
          <w:sz w:val="21"/>
          <w:szCs w:val="21"/>
          <w:highlight w:val="none"/>
        </w:rPr>
        <w:t xml:space="preserve"> </w:t>
      </w:r>
      <w:r>
        <w:rPr>
          <w:rFonts w:ascii="宋体" w:hAnsi="宋体" w:eastAsia="宋体" w:cs="宋体"/>
          <w:color w:val="auto"/>
          <w:spacing w:val="-8"/>
          <w:sz w:val="21"/>
          <w:szCs w:val="21"/>
          <w:highlight w:val="none"/>
        </w:rPr>
        <w:t>地</w:t>
      </w:r>
      <w:r>
        <w:rPr>
          <w:rFonts w:ascii="宋体" w:hAnsi="宋体" w:eastAsia="宋体" w:cs="宋体"/>
          <w:color w:val="auto"/>
          <w:spacing w:val="29"/>
          <w:sz w:val="21"/>
          <w:szCs w:val="21"/>
          <w:highlight w:val="none"/>
        </w:rPr>
        <w:t xml:space="preserve"> </w:t>
      </w:r>
      <w:r>
        <w:rPr>
          <w:rFonts w:ascii="宋体" w:hAnsi="宋体" w:eastAsia="宋体" w:cs="宋体"/>
          <w:color w:val="auto"/>
          <w:spacing w:val="-8"/>
          <w:sz w:val="21"/>
          <w:szCs w:val="21"/>
          <w:highlight w:val="none"/>
        </w:rPr>
        <w:t>点</w:t>
      </w:r>
      <w:r>
        <w:rPr>
          <w:rFonts w:ascii="宋体" w:hAnsi="宋体" w:eastAsia="宋体" w:cs="宋体"/>
          <w:color w:val="auto"/>
          <w:spacing w:val="37"/>
          <w:sz w:val="21"/>
          <w:szCs w:val="21"/>
          <w:highlight w:val="none"/>
        </w:rPr>
        <w:t xml:space="preserve"> </w:t>
      </w:r>
      <w:r>
        <w:rPr>
          <w:rFonts w:ascii="宋体" w:hAnsi="宋体" w:eastAsia="宋体" w:cs="宋体"/>
          <w:color w:val="auto"/>
          <w:spacing w:val="-8"/>
          <w:sz w:val="21"/>
          <w:szCs w:val="21"/>
          <w:highlight w:val="none"/>
        </w:rPr>
        <w:t>：</w:t>
      </w:r>
      <w:r>
        <w:rPr>
          <w:rFonts w:ascii="宋体" w:hAnsi="宋体" w:eastAsia="宋体" w:cs="宋体"/>
          <w:color w:val="auto"/>
          <w:spacing w:val="12"/>
          <w:sz w:val="21"/>
          <w:szCs w:val="21"/>
          <w:highlight w:val="none"/>
        </w:rPr>
        <w:t xml:space="preserve"> </w:t>
      </w:r>
      <w:r>
        <w:rPr>
          <w:rFonts w:ascii="宋体" w:hAnsi="宋体" w:eastAsia="宋体" w:cs="宋体"/>
          <w:color w:val="auto"/>
          <w:spacing w:val="-92"/>
          <w:sz w:val="21"/>
          <w:szCs w:val="21"/>
          <w:highlight w:val="none"/>
          <w:u w:val="single" w:color="auto"/>
        </w:rPr>
        <w:t xml:space="preserve"> </w:t>
      </w:r>
      <w:r>
        <w:rPr>
          <w:rFonts w:ascii="宋体" w:hAnsi="宋体" w:eastAsia="宋体" w:cs="宋体"/>
          <w:color w:val="auto"/>
          <w:spacing w:val="-8"/>
          <w:sz w:val="21"/>
          <w:szCs w:val="21"/>
          <w:highlight w:val="none"/>
          <w:u w:val="single" w:color="auto"/>
        </w:rPr>
        <w:t>辽</w:t>
      </w:r>
      <w:r>
        <w:rPr>
          <w:rFonts w:ascii="宋体" w:hAnsi="宋体" w:eastAsia="宋体" w:cs="宋体"/>
          <w:color w:val="auto"/>
          <w:spacing w:val="29"/>
          <w:sz w:val="21"/>
          <w:szCs w:val="21"/>
          <w:highlight w:val="none"/>
          <w:u w:val="single" w:color="auto"/>
        </w:rPr>
        <w:t xml:space="preserve"> </w:t>
      </w:r>
      <w:r>
        <w:rPr>
          <w:rFonts w:ascii="宋体" w:hAnsi="宋体" w:eastAsia="宋体" w:cs="宋体"/>
          <w:color w:val="auto"/>
          <w:spacing w:val="-8"/>
          <w:sz w:val="21"/>
          <w:szCs w:val="21"/>
          <w:highlight w:val="none"/>
          <w:u w:val="single" w:color="auto"/>
        </w:rPr>
        <w:t>宁</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8"/>
          <w:sz w:val="21"/>
          <w:szCs w:val="21"/>
          <w:highlight w:val="none"/>
          <w:u w:val="single" w:color="auto"/>
        </w:rPr>
        <w:t>省</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8"/>
          <w:sz w:val="21"/>
          <w:szCs w:val="21"/>
          <w:highlight w:val="none"/>
          <w:u w:val="single" w:color="auto"/>
        </w:rPr>
        <w:t>工</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
          <w:sz w:val="21"/>
          <w:szCs w:val="21"/>
          <w:highlight w:val="none"/>
          <w:u w:val="single" w:color="auto"/>
        </w:rPr>
        <w:t>程</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8"/>
          <w:sz w:val="21"/>
          <w:szCs w:val="21"/>
          <w:highlight w:val="none"/>
          <w:u w:val="single" w:color="auto"/>
        </w:rPr>
        <w:t>建</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8"/>
          <w:sz w:val="21"/>
          <w:szCs w:val="21"/>
          <w:highlight w:val="none"/>
          <w:u w:val="single" w:color="auto"/>
        </w:rPr>
        <w:t>设</w:t>
      </w:r>
      <w:r>
        <w:rPr>
          <w:rFonts w:ascii="宋体" w:hAnsi="宋体" w:eastAsia="宋体" w:cs="宋体"/>
          <w:color w:val="auto"/>
          <w:spacing w:val="22"/>
          <w:sz w:val="21"/>
          <w:szCs w:val="21"/>
          <w:highlight w:val="none"/>
          <w:u w:val="single" w:color="auto"/>
        </w:rPr>
        <w:t xml:space="preserve"> </w:t>
      </w:r>
      <w:r>
        <w:rPr>
          <w:rFonts w:ascii="宋体" w:hAnsi="宋体" w:eastAsia="宋体" w:cs="宋体"/>
          <w:color w:val="auto"/>
          <w:spacing w:val="-8"/>
          <w:sz w:val="21"/>
          <w:szCs w:val="21"/>
          <w:highlight w:val="none"/>
          <w:u w:val="single" w:color="auto"/>
        </w:rPr>
        <w:t>项  目</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
          <w:sz w:val="21"/>
          <w:szCs w:val="21"/>
          <w:highlight w:val="none"/>
          <w:u w:val="single" w:color="auto"/>
        </w:rPr>
        <w:t>数 字</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8"/>
          <w:sz w:val="21"/>
          <w:szCs w:val="21"/>
          <w:highlight w:val="none"/>
          <w:u w:val="single" w:color="auto"/>
        </w:rPr>
        <w:t>化</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8"/>
          <w:sz w:val="21"/>
          <w:szCs w:val="21"/>
          <w:highlight w:val="none"/>
          <w:u w:val="single" w:color="auto"/>
        </w:rPr>
        <w:t>开</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8"/>
          <w:sz w:val="21"/>
          <w:szCs w:val="21"/>
          <w:highlight w:val="none"/>
          <w:u w:val="single" w:color="auto"/>
        </w:rPr>
        <w:t>标 评</w:t>
      </w:r>
      <w:r>
        <w:rPr>
          <w:rFonts w:ascii="宋体" w:hAnsi="宋体" w:eastAsia="宋体" w:cs="宋体"/>
          <w:color w:val="auto"/>
          <w:spacing w:val="24"/>
          <w:sz w:val="21"/>
          <w:szCs w:val="21"/>
          <w:highlight w:val="none"/>
          <w:u w:val="single" w:color="auto"/>
        </w:rPr>
        <w:t xml:space="preserve"> </w:t>
      </w:r>
      <w:r>
        <w:rPr>
          <w:rFonts w:ascii="宋体" w:hAnsi="宋体" w:eastAsia="宋体" w:cs="宋体"/>
          <w:color w:val="auto"/>
          <w:spacing w:val="-8"/>
          <w:sz w:val="21"/>
          <w:szCs w:val="21"/>
          <w:highlight w:val="none"/>
          <w:u w:val="single" w:color="auto"/>
        </w:rPr>
        <w:t>标</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8"/>
          <w:sz w:val="21"/>
          <w:szCs w:val="21"/>
          <w:highlight w:val="none"/>
          <w:u w:val="single" w:color="auto"/>
        </w:rPr>
        <w:t>系</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8"/>
          <w:sz w:val="21"/>
          <w:szCs w:val="21"/>
          <w:highlight w:val="none"/>
          <w:u w:val="single" w:color="auto"/>
        </w:rPr>
        <w:t>统</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u w:val="single" w:color="auto"/>
        </w:rPr>
        <w:t>（</w:t>
      </w:r>
      <w:r>
        <w:rPr>
          <w:color w:val="auto"/>
          <w:highlight w:val="none"/>
        </w:rPr>
        <w:fldChar w:fldCharType="begin"/>
      </w:r>
      <w:r>
        <w:rPr>
          <w:color w:val="auto"/>
          <w:highlight w:val="none"/>
        </w:rPr>
        <w:instrText xml:space="preserve"> HYPERLINK "https://dts.lnzb.com:8888/zjt" </w:instrText>
      </w:r>
      <w:r>
        <w:rPr>
          <w:color w:val="auto"/>
          <w:highlight w:val="none"/>
        </w:rPr>
        <w:fldChar w:fldCharType="separate"/>
      </w:r>
      <w:r>
        <w:rPr>
          <w:rFonts w:ascii="宋体" w:hAnsi="宋体" w:eastAsia="宋体" w:cs="宋体"/>
          <w:color w:val="auto"/>
          <w:spacing w:val="-6"/>
          <w:sz w:val="21"/>
          <w:szCs w:val="21"/>
          <w:highlight w:val="none"/>
          <w:u w:val="single" w:color="auto"/>
        </w:rPr>
        <w:t>https://dts.lnzb.com:8888/zjt</w:t>
      </w:r>
      <w:r>
        <w:rPr>
          <w:rFonts w:ascii="宋体" w:hAnsi="宋体" w:eastAsia="宋体" w:cs="宋体"/>
          <w:color w:val="auto"/>
          <w:spacing w:val="-6"/>
          <w:sz w:val="21"/>
          <w:szCs w:val="21"/>
          <w:highlight w:val="none"/>
          <w:u w:val="single" w:color="auto"/>
        </w:rPr>
        <w:fldChar w:fldCharType="end"/>
      </w:r>
      <w:r>
        <w:rPr>
          <w:rFonts w:ascii="宋体" w:hAnsi="宋体" w:eastAsia="宋体" w:cs="宋体"/>
          <w:color w:val="auto"/>
          <w:spacing w:val="-6"/>
          <w:sz w:val="21"/>
          <w:szCs w:val="21"/>
          <w:highlight w:val="none"/>
          <w:u w:val="single" w:color="auto"/>
        </w:rPr>
        <w:t>-bid/）</w:t>
      </w:r>
      <w:r>
        <w:rPr>
          <w:rFonts w:ascii="宋体" w:hAnsi="宋体" w:eastAsia="宋体" w:cs="宋体"/>
          <w:color w:val="auto"/>
          <w:spacing w:val="-6"/>
          <w:sz w:val="21"/>
          <w:szCs w:val="21"/>
          <w:highlight w:val="none"/>
        </w:rPr>
        <w:t>。</w:t>
      </w:r>
    </w:p>
    <w:p w14:paraId="528D4D46">
      <w:pPr>
        <w:spacing w:before="115" w:line="337" w:lineRule="auto"/>
        <w:ind w:right="18" w:firstLine="408" w:firstLineChars="200"/>
        <w:jc w:val="left"/>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 </w:t>
      </w:r>
      <w:r>
        <w:rPr>
          <w:rFonts w:ascii="宋体" w:hAnsi="宋体" w:eastAsia="宋体" w:cs="宋体"/>
          <w:color w:val="auto"/>
          <w:spacing w:val="-3"/>
          <w:sz w:val="21"/>
          <w:szCs w:val="21"/>
          <w:highlight w:val="none"/>
        </w:rPr>
        <w:t xml:space="preserve">开标方式： </w:t>
      </w:r>
      <w:r>
        <w:rPr>
          <w:rFonts w:ascii="宋体" w:hAnsi="宋体" w:eastAsia="宋体" w:cs="宋体"/>
          <w:color w:val="auto"/>
          <w:spacing w:val="-3"/>
          <w:sz w:val="21"/>
          <w:szCs w:val="21"/>
          <w:highlight w:val="none"/>
          <w:u w:val="single" w:color="auto"/>
        </w:rPr>
        <w:t>远程不见面开标</w:t>
      </w:r>
      <w:r>
        <w:rPr>
          <w:rFonts w:ascii="宋体" w:hAnsi="宋体" w:eastAsia="宋体" w:cs="宋体"/>
          <w:color w:val="auto"/>
          <w:spacing w:val="-3"/>
          <w:sz w:val="21"/>
          <w:szCs w:val="21"/>
          <w:highlight w:val="none"/>
        </w:rPr>
        <w:t>。</w:t>
      </w:r>
    </w:p>
    <w:p w14:paraId="2D74AC09">
      <w:pPr>
        <w:spacing w:before="1" w:line="219"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6.</w:t>
      </w:r>
      <w:r>
        <w:rPr>
          <w:rFonts w:ascii="黑体" w:hAnsi="黑体" w:eastAsia="黑体" w:cs="黑体"/>
          <w:color w:val="auto"/>
          <w:spacing w:val="-1"/>
          <w:sz w:val="24"/>
          <w:szCs w:val="24"/>
          <w:highlight w:val="none"/>
        </w:rPr>
        <w:t>投标相关事宜</w:t>
      </w:r>
    </w:p>
    <w:p w14:paraId="05A0D95A">
      <w:pPr>
        <w:spacing w:before="160" w:line="371" w:lineRule="auto"/>
        <w:ind w:right="1"/>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1、本项目计划开工开始日期和计划竣工结束日期为计划日期，具体以签订合同为准。</w:t>
      </w:r>
    </w:p>
    <w:p w14:paraId="0E562FAB">
      <w:pPr>
        <w:spacing w:before="191" w:line="218"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7.</w:t>
      </w:r>
      <w:r>
        <w:rPr>
          <w:rFonts w:ascii="黑体" w:hAnsi="黑体" w:eastAsia="黑体" w:cs="黑体"/>
          <w:color w:val="auto"/>
          <w:spacing w:val="-1"/>
          <w:sz w:val="24"/>
          <w:szCs w:val="24"/>
          <w:highlight w:val="none"/>
        </w:rPr>
        <w:t>评标办法</w:t>
      </w:r>
    </w:p>
    <w:p w14:paraId="2C9761BD">
      <w:pPr>
        <w:spacing w:before="163" w:line="346" w:lineRule="auto"/>
        <w:ind w:left="45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本次招标评标办法采用</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1"/>
          <w:sz w:val="21"/>
          <w:szCs w:val="21"/>
          <w:highlight w:val="none"/>
          <w:u w:val="single" w:color="auto"/>
        </w:rPr>
        <w:t>综合评估法</w:t>
      </w:r>
      <w:r>
        <w:rPr>
          <w:rFonts w:ascii="宋体" w:hAnsi="宋体" w:eastAsia="宋体" w:cs="宋体"/>
          <w:color w:val="auto"/>
          <w:spacing w:val="-52"/>
          <w:sz w:val="21"/>
          <w:szCs w:val="21"/>
          <w:highlight w:val="none"/>
          <w:u w:val="single" w:color="auto"/>
        </w:rPr>
        <w:t xml:space="preserve"> </w:t>
      </w:r>
      <w:r>
        <w:rPr>
          <w:rFonts w:ascii="宋体" w:hAnsi="宋体" w:eastAsia="宋体" w:cs="宋体"/>
          <w:color w:val="auto"/>
          <w:spacing w:val="-1"/>
          <w:sz w:val="21"/>
          <w:szCs w:val="21"/>
          <w:highlight w:val="none"/>
        </w:rPr>
        <w:t>。</w:t>
      </w:r>
    </w:p>
    <w:p w14:paraId="15423B6C">
      <w:pPr>
        <w:spacing w:before="131" w:line="218" w:lineRule="auto"/>
        <w:ind w:left="19"/>
        <w:rPr>
          <w:rFonts w:ascii="黑体" w:hAnsi="黑体" w:eastAsia="黑体" w:cs="黑体"/>
          <w:color w:val="auto"/>
          <w:sz w:val="24"/>
          <w:szCs w:val="24"/>
          <w:highlight w:val="none"/>
        </w:rPr>
      </w:pPr>
      <w:r>
        <w:rPr>
          <w:rFonts w:hint="eastAsia" w:ascii="Times New Roman" w:hAnsi="Times New Roman" w:eastAsia="宋体" w:cs="Times New Roman"/>
          <w:color w:val="auto"/>
          <w:spacing w:val="-1"/>
          <w:sz w:val="24"/>
          <w:szCs w:val="24"/>
          <w:highlight w:val="none"/>
          <w:lang w:val="en-US" w:eastAsia="zh-CN"/>
        </w:rPr>
        <w:t>8</w:t>
      </w:r>
      <w:r>
        <w:rPr>
          <w:rFonts w:ascii="Times New Roman" w:hAnsi="Times New Roman" w:eastAsia="Times New Roman" w:cs="Times New Roman"/>
          <w:color w:val="auto"/>
          <w:spacing w:val="-1"/>
          <w:sz w:val="24"/>
          <w:szCs w:val="24"/>
          <w:highlight w:val="none"/>
        </w:rPr>
        <w:t>.</w:t>
      </w:r>
      <w:r>
        <w:rPr>
          <w:rFonts w:ascii="黑体" w:hAnsi="黑体" w:eastAsia="黑体" w:cs="黑体"/>
          <w:color w:val="auto"/>
          <w:spacing w:val="-1"/>
          <w:sz w:val="24"/>
          <w:szCs w:val="24"/>
          <w:highlight w:val="none"/>
        </w:rPr>
        <w:t>发布公告的媒介</w:t>
      </w:r>
    </w:p>
    <w:p w14:paraId="60CFC3B0">
      <w:pPr>
        <w:spacing w:before="160" w:line="371"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本次招标公告同时在</w:t>
      </w:r>
      <w:r>
        <w:rPr>
          <w:rFonts w:ascii="宋体" w:hAnsi="宋体" w:eastAsia="宋体" w:cs="宋体"/>
          <w:color w:val="auto"/>
          <w:spacing w:val="1"/>
          <w:sz w:val="21"/>
          <w:szCs w:val="21"/>
          <w:highlight w:val="none"/>
          <w:u w:val="single" w:color="auto"/>
        </w:rPr>
        <w:t>辽宁建设工程信息网、辽宁省招标投</w:t>
      </w:r>
      <w:r>
        <w:rPr>
          <w:rFonts w:ascii="宋体" w:hAnsi="宋体" w:eastAsia="宋体" w:cs="宋体"/>
          <w:color w:val="auto"/>
          <w:sz w:val="21"/>
          <w:szCs w:val="21"/>
          <w:highlight w:val="none"/>
          <w:u w:val="single" w:color="auto"/>
        </w:rPr>
        <w:t>标监管网等</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rPr>
        <w:t>（发布公告的媒</w:t>
      </w:r>
    </w:p>
    <w:p w14:paraId="06C08E0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介名称）上发布。</w:t>
      </w:r>
    </w:p>
    <w:p w14:paraId="4E2435EC">
      <w:pPr>
        <w:spacing w:before="143" w:line="218" w:lineRule="auto"/>
        <w:ind w:left="38"/>
        <w:rPr>
          <w:rFonts w:ascii="黑体" w:hAnsi="黑体" w:eastAsia="黑体" w:cs="黑体"/>
          <w:color w:val="auto"/>
          <w:sz w:val="24"/>
          <w:szCs w:val="24"/>
          <w:highlight w:val="none"/>
        </w:rPr>
      </w:pPr>
      <w:r>
        <w:rPr>
          <w:rFonts w:hint="eastAsia" w:ascii="Times New Roman" w:hAnsi="Times New Roman" w:eastAsia="宋体" w:cs="Times New Roman"/>
          <w:color w:val="auto"/>
          <w:spacing w:val="-4"/>
          <w:sz w:val="24"/>
          <w:szCs w:val="24"/>
          <w:highlight w:val="none"/>
          <w:lang w:val="en-US" w:eastAsia="zh-CN"/>
        </w:rPr>
        <w:t>9</w:t>
      </w:r>
      <w:r>
        <w:rPr>
          <w:rFonts w:ascii="Times New Roman" w:hAnsi="Times New Roman" w:eastAsia="Times New Roman" w:cs="Times New Roman"/>
          <w:color w:val="auto"/>
          <w:spacing w:val="-4"/>
          <w:sz w:val="24"/>
          <w:szCs w:val="24"/>
          <w:highlight w:val="none"/>
        </w:rPr>
        <w:t>.</w:t>
      </w:r>
      <w:r>
        <w:rPr>
          <w:rFonts w:ascii="黑体" w:hAnsi="黑体" w:eastAsia="黑体" w:cs="黑体"/>
          <w:color w:val="auto"/>
          <w:spacing w:val="-4"/>
          <w:sz w:val="24"/>
          <w:szCs w:val="24"/>
          <w:highlight w:val="none"/>
        </w:rPr>
        <w:t>监督信息</w:t>
      </w:r>
    </w:p>
    <w:p w14:paraId="3198BA25">
      <w:pPr>
        <w:widowControl w:val="0"/>
        <w:numPr>
          <w:ilvl w:val="0"/>
          <w:numId w:val="0"/>
        </w:numPr>
        <w:ind w:left="0" w:leftChars="0" w:firstLine="0" w:firstLineChars="0"/>
        <w:jc w:val="left"/>
        <w:rPr>
          <w:rFonts w:ascii="宋体" w:hAnsi="宋体" w:eastAsia="宋体" w:cs="宋体"/>
          <w:color w:val="auto"/>
          <w:spacing w:val="-16"/>
          <w:sz w:val="21"/>
          <w:szCs w:val="21"/>
          <w:highlight w:val="none"/>
        </w:rPr>
      </w:pPr>
      <w:r>
        <w:rPr>
          <w:rFonts w:ascii="宋体" w:hAnsi="宋体" w:eastAsia="宋体" w:cs="宋体"/>
          <w:color w:val="auto"/>
          <w:spacing w:val="-16"/>
          <w:sz w:val="21"/>
          <w:szCs w:val="21"/>
          <w:highlight w:val="none"/>
        </w:rPr>
        <w:t>1.监督部门</w:t>
      </w:r>
      <w:r>
        <w:rPr>
          <w:rFonts w:ascii="宋体" w:hAnsi="宋体" w:eastAsia="宋体" w:cs="宋体"/>
          <w:color w:val="auto"/>
          <w:spacing w:val="-9"/>
          <w:sz w:val="21"/>
          <w:szCs w:val="21"/>
          <w:highlight w:val="none"/>
        </w:rPr>
        <w:t>：</w:t>
      </w:r>
      <w:r>
        <w:rPr>
          <w:rFonts w:hint="eastAsia" w:ascii="宋体" w:hAnsi="宋体" w:eastAsia="宋体" w:cs="宋体"/>
          <w:color w:val="auto"/>
          <w:spacing w:val="-16"/>
          <w:sz w:val="21"/>
          <w:szCs w:val="21"/>
          <w:highlight w:val="none"/>
          <w:lang w:eastAsia="zh-CN"/>
        </w:rPr>
        <w:t>营口市鲅鱼圈区城乡建设和公用事业中心</w:t>
      </w:r>
      <w:r>
        <w:rPr>
          <w:rFonts w:ascii="宋体" w:hAnsi="宋体" w:eastAsia="宋体" w:cs="宋体"/>
          <w:color w:val="auto"/>
          <w:spacing w:val="-16"/>
          <w:sz w:val="21"/>
          <w:szCs w:val="21"/>
          <w:highlight w:val="none"/>
        </w:rPr>
        <w:t>，负责人： 韩先生，联系方式：</w:t>
      </w:r>
      <w:r>
        <w:rPr>
          <w:rFonts w:hint="eastAsia" w:ascii="宋体" w:hAnsi="宋体" w:eastAsia="宋体" w:cs="宋体"/>
          <w:color w:val="auto"/>
          <w:spacing w:val="-16"/>
          <w:sz w:val="21"/>
          <w:szCs w:val="21"/>
          <w:highlight w:val="none"/>
          <w:lang w:eastAsia="zh-CN"/>
        </w:rPr>
        <w:t>0417-8225249</w:t>
      </w:r>
      <w:r>
        <w:rPr>
          <w:rFonts w:ascii="宋体" w:hAnsi="宋体" w:eastAsia="宋体" w:cs="宋体"/>
          <w:color w:val="auto"/>
          <w:spacing w:val="-16"/>
          <w:sz w:val="21"/>
          <w:szCs w:val="21"/>
          <w:highlight w:val="none"/>
        </w:rPr>
        <w:t xml:space="preserve">。 </w:t>
      </w:r>
    </w:p>
    <w:p w14:paraId="45A2D9D6">
      <w:pPr>
        <w:widowControl w:val="0"/>
        <w:numPr>
          <w:ilvl w:val="0"/>
          <w:numId w:val="0"/>
        </w:numPr>
        <w:ind w:left="0" w:leftChars="0" w:firstLine="0" w:firstLineChars="0"/>
        <w:jc w:val="left"/>
        <w:rPr>
          <w:rFonts w:hint="eastAsia" w:ascii="宋体" w:hAnsi="宋体" w:eastAsia="宋体" w:cs="宋体"/>
          <w:color w:val="auto"/>
          <w:spacing w:val="-16"/>
          <w:sz w:val="21"/>
          <w:szCs w:val="21"/>
          <w:highlight w:val="none"/>
          <w:lang w:eastAsia="zh-CN"/>
        </w:rPr>
      </w:pPr>
      <w:r>
        <w:rPr>
          <w:rFonts w:ascii="宋体" w:hAnsi="宋体" w:eastAsia="宋体" w:cs="宋体"/>
          <w:color w:val="auto"/>
          <w:spacing w:val="-16"/>
          <w:sz w:val="21"/>
          <w:szCs w:val="21"/>
          <w:highlight w:val="none"/>
        </w:rPr>
        <w:t>2.招标负责人：</w:t>
      </w:r>
      <w:r>
        <w:rPr>
          <w:rFonts w:hint="eastAsia" w:ascii="宋体" w:hAnsi="宋体" w:eastAsia="宋体" w:cs="宋体"/>
          <w:color w:val="auto"/>
          <w:spacing w:val="-16"/>
          <w:sz w:val="21"/>
          <w:szCs w:val="21"/>
          <w:highlight w:val="none"/>
          <w:lang w:val="en-US" w:eastAsia="zh-CN"/>
        </w:rPr>
        <w:t>苏瑞</w:t>
      </w:r>
      <w:r>
        <w:rPr>
          <w:rFonts w:ascii="宋体" w:hAnsi="宋体" w:eastAsia="宋体" w:cs="宋体"/>
          <w:color w:val="auto"/>
          <w:spacing w:val="-16"/>
          <w:sz w:val="21"/>
          <w:szCs w:val="21"/>
          <w:highlight w:val="none"/>
        </w:rPr>
        <w:t>，联系方式：</w:t>
      </w:r>
      <w:r>
        <w:rPr>
          <w:rFonts w:hint="eastAsia" w:ascii="宋体" w:hAnsi="宋体" w:eastAsia="宋体" w:cs="宋体"/>
          <w:color w:val="auto"/>
          <w:spacing w:val="-16"/>
          <w:sz w:val="21"/>
          <w:szCs w:val="21"/>
          <w:highlight w:val="none"/>
        </w:rPr>
        <w:t>0417-2994659</w:t>
      </w:r>
      <w:r>
        <w:rPr>
          <w:rFonts w:hint="eastAsia" w:ascii="宋体" w:hAnsi="宋体" w:eastAsia="宋体" w:cs="宋体"/>
          <w:color w:val="auto"/>
          <w:spacing w:val="-16"/>
          <w:sz w:val="21"/>
          <w:szCs w:val="21"/>
          <w:highlight w:val="none"/>
          <w:lang w:eastAsia="zh-CN"/>
        </w:rPr>
        <w:t>。</w:t>
      </w:r>
    </w:p>
    <w:p w14:paraId="514F7140">
      <w:pPr>
        <w:spacing w:before="137"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w:t>
      </w:r>
      <w:r>
        <w:rPr>
          <w:rFonts w:hint="eastAsia" w:ascii="Times New Roman" w:hAnsi="Times New Roman" w:eastAsia="宋体" w:cs="Times New Roman"/>
          <w:color w:val="auto"/>
          <w:spacing w:val="-4"/>
          <w:sz w:val="24"/>
          <w:szCs w:val="24"/>
          <w:highlight w:val="none"/>
          <w:lang w:val="en-US" w:eastAsia="zh-CN"/>
        </w:rPr>
        <w:t>0</w:t>
      </w:r>
      <w:r>
        <w:rPr>
          <w:rFonts w:ascii="Times New Roman" w:hAnsi="Times New Roman" w:eastAsia="Times New Roman" w:cs="Times New Roman"/>
          <w:color w:val="auto"/>
          <w:spacing w:val="-4"/>
          <w:sz w:val="24"/>
          <w:szCs w:val="24"/>
          <w:highlight w:val="none"/>
        </w:rPr>
        <w:t>.</w:t>
      </w:r>
      <w:r>
        <w:rPr>
          <w:rFonts w:ascii="黑体" w:hAnsi="黑体" w:eastAsia="黑体" w:cs="黑体"/>
          <w:color w:val="auto"/>
          <w:spacing w:val="-4"/>
          <w:sz w:val="24"/>
          <w:szCs w:val="24"/>
          <w:highlight w:val="none"/>
        </w:rPr>
        <w:t>联系方式</w:t>
      </w:r>
    </w:p>
    <w:p w14:paraId="55FE9409">
      <w:pPr>
        <w:spacing w:before="159" w:line="220" w:lineRule="auto"/>
        <w:ind w:left="5109" w:leftChars="217" w:hanging="4653" w:hangingChars="3300"/>
        <w:rPr>
          <w:rFonts w:hint="eastAsia" w:ascii="宋体" w:hAnsi="宋体" w:eastAsia="宋体" w:cs="宋体"/>
          <w:color w:val="auto"/>
          <w:spacing w:val="-30"/>
          <w:w w:val="96"/>
          <w:sz w:val="21"/>
          <w:szCs w:val="21"/>
          <w:highlight w:val="none"/>
          <w:lang w:eastAsia="zh-CN"/>
        </w:rPr>
      </w:pPr>
      <w:r>
        <w:rPr>
          <w:rFonts w:ascii="宋体" w:hAnsi="宋体" w:eastAsia="宋体" w:cs="宋体"/>
          <w:color w:val="auto"/>
          <w:spacing w:val="-30"/>
          <w:w w:val="96"/>
          <w:sz w:val="21"/>
          <w:szCs w:val="21"/>
          <w:highlight w:val="none"/>
        </w:rPr>
        <w:t>招 标 人：</w:t>
      </w:r>
      <w:r>
        <w:rPr>
          <w:rFonts w:hint="eastAsia" w:ascii="宋体" w:hAnsi="宋体" w:eastAsia="宋体" w:cs="宋体"/>
          <w:color w:val="auto"/>
          <w:spacing w:val="-30"/>
          <w:w w:val="96"/>
          <w:sz w:val="21"/>
          <w:szCs w:val="21"/>
          <w:highlight w:val="none"/>
          <w:u w:val="single"/>
          <w:lang w:eastAsia="zh-CN"/>
        </w:rPr>
        <w:t>国网辽宁省电力有限公司营口供电公司</w:t>
      </w:r>
      <w:r>
        <w:rPr>
          <w:rFonts w:ascii="宋体" w:hAnsi="宋体" w:eastAsia="宋体" w:cs="宋体"/>
          <w:color w:val="auto"/>
          <w:spacing w:val="-30"/>
          <w:w w:val="96"/>
          <w:sz w:val="21"/>
          <w:szCs w:val="21"/>
          <w:highlight w:val="none"/>
        </w:rPr>
        <w:t xml:space="preserve"> </w:t>
      </w:r>
      <w:r>
        <w:rPr>
          <w:rFonts w:hint="eastAsia" w:ascii="宋体" w:hAnsi="宋体" w:eastAsia="宋体" w:cs="宋体"/>
          <w:color w:val="auto"/>
          <w:spacing w:val="-30"/>
          <w:w w:val="96"/>
          <w:sz w:val="21"/>
          <w:szCs w:val="21"/>
          <w:highlight w:val="none"/>
          <w:lang w:val="en-US" w:eastAsia="zh-CN"/>
        </w:rPr>
        <w:t xml:space="preserve">     </w:t>
      </w:r>
      <w:r>
        <w:rPr>
          <w:rFonts w:ascii="宋体" w:hAnsi="宋体" w:eastAsia="宋体" w:cs="宋体"/>
          <w:color w:val="auto"/>
          <w:spacing w:val="-30"/>
          <w:w w:val="96"/>
          <w:sz w:val="21"/>
          <w:szCs w:val="21"/>
          <w:highlight w:val="none"/>
        </w:rPr>
        <w:t>招标代理机构：</w:t>
      </w:r>
      <w:r>
        <w:rPr>
          <w:rFonts w:hint="eastAsia" w:ascii="宋体" w:hAnsi="宋体" w:eastAsia="宋体" w:cs="宋体"/>
          <w:color w:val="auto"/>
          <w:spacing w:val="-30"/>
          <w:w w:val="96"/>
          <w:sz w:val="21"/>
          <w:szCs w:val="21"/>
          <w:highlight w:val="none"/>
          <w:u w:val="single"/>
          <w:lang w:eastAsia="zh-CN"/>
        </w:rPr>
        <w:t>辽宁金誉建设工程造价咨询有限责任公司</w:t>
      </w:r>
    </w:p>
    <w:p w14:paraId="384927A8">
      <w:pPr>
        <w:spacing w:before="159" w:line="220" w:lineRule="auto"/>
        <w:ind w:left="5109" w:leftChars="217" w:hanging="4653" w:hangingChars="3300"/>
        <w:rPr>
          <w:rFonts w:ascii="宋体" w:hAnsi="宋体" w:eastAsia="宋体" w:cs="宋体"/>
          <w:color w:val="auto"/>
          <w:sz w:val="21"/>
          <w:szCs w:val="21"/>
          <w:highlight w:val="none"/>
        </w:rPr>
      </w:pPr>
      <w:r>
        <w:rPr>
          <w:rFonts w:hint="eastAsia" w:ascii="宋体" w:hAnsi="宋体" w:eastAsia="宋体" w:cs="宋体"/>
          <w:color w:val="auto"/>
          <w:spacing w:val="-30"/>
          <w:w w:val="96"/>
          <w:sz w:val="21"/>
          <w:szCs w:val="21"/>
          <w:highlight w:val="none"/>
          <w:lang w:eastAsia="zh-CN"/>
        </w:rPr>
        <w:t>地    址</w:t>
      </w:r>
      <w:r>
        <w:rPr>
          <w:rFonts w:ascii="宋体" w:hAnsi="宋体" w:eastAsia="宋体" w:cs="宋体"/>
          <w:color w:val="auto"/>
          <w:spacing w:val="-30"/>
          <w:w w:val="96"/>
          <w:sz w:val="21"/>
          <w:szCs w:val="21"/>
          <w:highlight w:val="none"/>
        </w:rPr>
        <w:t xml:space="preserve">： </w:t>
      </w:r>
      <w:r>
        <w:rPr>
          <w:rFonts w:hint="eastAsia" w:ascii="宋体" w:hAnsi="宋体" w:eastAsia="宋体" w:cs="宋体"/>
          <w:color w:val="auto"/>
          <w:spacing w:val="-30"/>
          <w:w w:val="96"/>
          <w:sz w:val="21"/>
          <w:szCs w:val="21"/>
          <w:highlight w:val="none"/>
          <w:u w:val="single"/>
          <w:lang w:eastAsia="zh-CN"/>
        </w:rPr>
        <w:t>营口市站前区渤海大街东40号</w:t>
      </w:r>
      <w:r>
        <w:rPr>
          <w:rFonts w:ascii="宋体" w:hAnsi="宋体" w:eastAsia="宋体" w:cs="宋体"/>
          <w:color w:val="auto"/>
          <w:spacing w:val="-30"/>
          <w:w w:val="96"/>
          <w:sz w:val="21"/>
          <w:szCs w:val="21"/>
          <w:highlight w:val="none"/>
        </w:rPr>
        <w:t xml:space="preserve"> </w:t>
      </w:r>
      <w:r>
        <w:rPr>
          <w:rFonts w:hint="eastAsia" w:ascii="宋体" w:hAnsi="宋体" w:eastAsia="宋体" w:cs="宋体"/>
          <w:color w:val="auto"/>
          <w:spacing w:val="-30"/>
          <w:w w:val="96"/>
          <w:sz w:val="21"/>
          <w:szCs w:val="21"/>
          <w:highlight w:val="none"/>
          <w:lang w:val="en-US" w:eastAsia="zh-CN"/>
        </w:rPr>
        <w:t xml:space="preserve">              </w:t>
      </w:r>
      <w:r>
        <w:rPr>
          <w:rFonts w:ascii="宋体" w:hAnsi="宋体" w:eastAsia="宋体" w:cs="宋体"/>
          <w:color w:val="auto"/>
          <w:spacing w:val="-30"/>
          <w:w w:val="96"/>
          <w:sz w:val="21"/>
          <w:szCs w:val="21"/>
          <w:highlight w:val="none"/>
        </w:rPr>
        <w:t>地    址：</w:t>
      </w:r>
      <w:r>
        <w:rPr>
          <w:rFonts w:hint="eastAsia" w:ascii="宋体" w:hAnsi="宋体" w:eastAsia="宋体" w:cs="宋体"/>
          <w:color w:val="auto"/>
          <w:spacing w:val="-30"/>
          <w:w w:val="96"/>
          <w:sz w:val="21"/>
          <w:szCs w:val="21"/>
          <w:highlight w:val="none"/>
          <w:u w:val="single"/>
          <w:lang w:eastAsia="zh-CN"/>
        </w:rPr>
        <w:t>营口市站前区永红街7-甲11号</w:t>
      </w:r>
      <w:r>
        <w:rPr>
          <w:rFonts w:ascii="宋体" w:hAnsi="宋体" w:eastAsia="宋体" w:cs="宋体"/>
          <w:color w:val="auto"/>
          <w:spacing w:val="-30"/>
          <w:w w:val="96"/>
          <w:sz w:val="21"/>
          <w:szCs w:val="21"/>
          <w:highlight w:val="none"/>
        </w:rPr>
        <w:t xml:space="preserve">  </w:t>
      </w:r>
      <w:r>
        <w:rPr>
          <w:rFonts w:ascii="宋体" w:hAnsi="宋体" w:eastAsia="宋体" w:cs="宋体"/>
          <w:color w:val="auto"/>
          <w:sz w:val="21"/>
          <w:szCs w:val="21"/>
          <w:highlight w:val="none"/>
          <w:u w:val="none" w:color="auto"/>
        </w:rPr>
        <w:t xml:space="preserve"> </w:t>
      </w:r>
    </w:p>
    <w:p w14:paraId="232B58E9">
      <w:pPr>
        <w:spacing w:before="156" w:line="221" w:lineRule="auto"/>
        <w:ind w:left="471"/>
        <w:rPr>
          <w:rFonts w:ascii="宋体" w:hAnsi="宋体" w:eastAsia="宋体" w:cs="宋体"/>
          <w:color w:val="auto"/>
          <w:sz w:val="21"/>
          <w:szCs w:val="21"/>
          <w:highlight w:val="none"/>
        </w:rPr>
      </w:pPr>
      <w:r>
        <w:rPr>
          <w:rFonts w:ascii="宋体" w:hAnsi="宋体" w:eastAsia="宋体" w:cs="宋体"/>
          <w:color w:val="auto"/>
          <w:spacing w:val="-31"/>
          <w:w w:val="98"/>
          <w:sz w:val="21"/>
          <w:szCs w:val="21"/>
          <w:highlight w:val="none"/>
        </w:rPr>
        <w:t>邮</w:t>
      </w:r>
      <w:r>
        <w:rPr>
          <w:rFonts w:ascii="宋体" w:hAnsi="宋体" w:eastAsia="宋体" w:cs="宋体"/>
          <w:color w:val="auto"/>
          <w:spacing w:val="3"/>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8"/>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lang w:val="en-US" w:eastAsia="zh-CN"/>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rPr>
        <w:t xml:space="preserve">          </w:t>
      </w:r>
      <w:r>
        <w:rPr>
          <w:rFonts w:ascii="宋体" w:hAnsi="宋体" w:eastAsia="宋体" w:cs="宋体"/>
          <w:color w:val="auto"/>
          <w:spacing w:val="-31"/>
          <w:w w:val="98"/>
          <w:sz w:val="21"/>
          <w:szCs w:val="21"/>
          <w:highlight w:val="none"/>
        </w:rPr>
        <w:t>邮</w:t>
      </w:r>
      <w:r>
        <w:rPr>
          <w:rFonts w:ascii="宋体" w:hAnsi="宋体" w:eastAsia="宋体" w:cs="宋体"/>
          <w:color w:val="auto"/>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p>
    <w:p w14:paraId="1F66ED50">
      <w:pPr>
        <w:spacing w:line="126" w:lineRule="exact"/>
        <w:rPr>
          <w:color w:val="auto"/>
          <w:highlight w:val="none"/>
        </w:rPr>
      </w:pPr>
    </w:p>
    <w:p w14:paraId="50314BB5">
      <w:pPr>
        <w:spacing w:line="126" w:lineRule="exact"/>
        <w:rPr>
          <w:color w:val="auto"/>
          <w:highlight w:val="none"/>
        </w:rPr>
        <w:sectPr>
          <w:footerReference r:id="rId8" w:type="default"/>
          <w:pgSz w:w="11905" w:h="16839"/>
          <w:pgMar w:top="1431" w:right="1785" w:bottom="1036" w:left="1785" w:header="0" w:footer="847" w:gutter="0"/>
          <w:pgNumType w:fmt="decimal" w:start="1"/>
          <w:cols w:equalWidth="0" w:num="1">
            <w:col w:w="8333"/>
          </w:cols>
        </w:sectPr>
      </w:pPr>
    </w:p>
    <w:p w14:paraId="41132A84">
      <w:pPr>
        <w:spacing w:before="41" w:line="223" w:lineRule="auto"/>
        <w:ind w:left="456"/>
        <w:rPr>
          <w:rFonts w:ascii="宋体" w:hAnsi="宋体" w:eastAsia="宋体" w:cs="宋体"/>
          <w:color w:val="auto"/>
          <w:sz w:val="21"/>
          <w:szCs w:val="21"/>
          <w:highlight w:val="none"/>
        </w:rPr>
      </w:pPr>
      <w:r>
        <w:rPr>
          <w:rFonts w:ascii="宋体" w:hAnsi="宋体" w:eastAsia="宋体" w:cs="宋体"/>
          <w:color w:val="auto"/>
          <w:spacing w:val="-30"/>
          <w:w w:val="96"/>
          <w:sz w:val="21"/>
          <w:szCs w:val="21"/>
          <w:highlight w:val="none"/>
        </w:rPr>
        <w:t>联 系 人</w:t>
      </w:r>
      <w:r>
        <w:rPr>
          <w:rFonts w:ascii="宋体" w:hAnsi="宋体" w:eastAsia="宋体" w:cs="宋体"/>
          <w:color w:val="auto"/>
          <w:spacing w:val="-25"/>
          <w:sz w:val="21"/>
          <w:szCs w:val="21"/>
          <w:highlight w:val="none"/>
        </w:rPr>
        <w:t>：</w:t>
      </w:r>
      <w:r>
        <w:rPr>
          <w:rFonts w:ascii="宋体" w:hAnsi="宋体" w:eastAsia="宋体" w:cs="宋体"/>
          <w:color w:val="auto"/>
          <w:spacing w:val="-32"/>
          <w:sz w:val="21"/>
          <w:szCs w:val="21"/>
          <w:highlight w:val="none"/>
          <w:u w:val="single"/>
        </w:rPr>
        <w:t xml:space="preserve"> </w:t>
      </w:r>
      <w:r>
        <w:rPr>
          <w:rFonts w:hint="eastAsia" w:ascii="宋体" w:hAnsi="宋体" w:eastAsia="宋体" w:cs="宋体"/>
          <w:color w:val="auto"/>
          <w:spacing w:val="-16"/>
          <w:sz w:val="21"/>
          <w:szCs w:val="21"/>
          <w:highlight w:val="none"/>
          <w:u w:val="single" w:color="auto"/>
          <w:lang w:val="en-US" w:eastAsia="zh-CN"/>
        </w:rPr>
        <w:t>苏先生</w:t>
      </w:r>
      <w:r>
        <w:rPr>
          <w:rFonts w:ascii="宋体" w:hAnsi="宋体" w:eastAsia="宋体" w:cs="宋体"/>
          <w:color w:val="auto"/>
          <w:sz w:val="21"/>
          <w:szCs w:val="21"/>
          <w:highlight w:val="none"/>
          <w:u w:val="none" w:color="auto"/>
        </w:rPr>
        <w:t xml:space="preserve">             </w:t>
      </w:r>
    </w:p>
    <w:p w14:paraId="7044DDCB">
      <w:pPr>
        <w:spacing w:before="163" w:line="223" w:lineRule="auto"/>
        <w:ind w:left="480"/>
        <w:rPr>
          <w:rFonts w:ascii="宋体" w:hAnsi="宋体" w:eastAsia="宋体" w:cs="宋体"/>
          <w:color w:val="auto"/>
          <w:sz w:val="21"/>
          <w:szCs w:val="21"/>
          <w:highlight w:val="none"/>
          <w:u w:val="none" w:color="auto"/>
        </w:rPr>
      </w:pPr>
      <w:r>
        <w:rPr>
          <w:rFonts w:ascii="宋体" w:hAnsi="宋体" w:eastAsia="宋体" w:cs="宋体"/>
          <w:color w:val="auto"/>
          <w:spacing w:val="-30"/>
          <w:w w:val="96"/>
          <w:sz w:val="21"/>
          <w:szCs w:val="21"/>
          <w:highlight w:val="none"/>
        </w:rPr>
        <w:t>电</w:t>
      </w:r>
      <w:r>
        <w:rPr>
          <w:rFonts w:ascii="宋体" w:hAnsi="宋体" w:eastAsia="宋体" w:cs="宋体"/>
          <w:color w:val="auto"/>
          <w:spacing w:val="3"/>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30"/>
          <w:sz w:val="21"/>
          <w:szCs w:val="21"/>
          <w:highlight w:val="none"/>
        </w:rPr>
        <w:t xml:space="preserve"> </w:t>
      </w:r>
      <w:r>
        <w:rPr>
          <w:rFonts w:hint="eastAsia" w:ascii="宋体" w:hAnsi="宋体" w:eastAsia="宋体" w:cs="宋体"/>
          <w:color w:val="auto"/>
          <w:spacing w:val="-16"/>
          <w:sz w:val="21"/>
          <w:szCs w:val="21"/>
          <w:highlight w:val="none"/>
          <w:u w:val="single" w:color="auto"/>
          <w:lang w:eastAsia="zh-CN"/>
        </w:rPr>
        <w:t>0417-2994659</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u w:val="none" w:color="auto"/>
        </w:rPr>
        <w:t xml:space="preserve">            </w:t>
      </w:r>
    </w:p>
    <w:p w14:paraId="5915565F">
      <w:pPr>
        <w:spacing w:before="169" w:line="367" w:lineRule="auto"/>
        <w:ind w:left="453"/>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0F422F70">
      <w:pPr>
        <w:spacing w:before="1" w:line="220" w:lineRule="auto"/>
        <w:ind w:left="480"/>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电子邮件：</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3FEE6632">
      <w:pPr>
        <w:spacing w:before="172" w:line="367" w:lineRule="auto"/>
        <w:ind w:left="472"/>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网    址</w:t>
      </w:r>
      <w:r>
        <w:rPr>
          <w:rFonts w:ascii="宋体" w:hAnsi="宋体" w:eastAsia="宋体" w:cs="宋体"/>
          <w:color w:val="auto"/>
          <w:spacing w:val="-3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p>
    <w:p w14:paraId="2D4EF69A">
      <w:pPr>
        <w:spacing w:line="221" w:lineRule="auto"/>
        <w:ind w:left="456"/>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u w:val="single" w:color="auto"/>
        </w:rPr>
        <w:t xml:space="preserve">             </w:t>
      </w:r>
    </w:p>
    <w:p w14:paraId="3EBFEEEA">
      <w:pPr>
        <w:spacing w:before="170" w:line="186" w:lineRule="auto"/>
        <w:ind w:left="459"/>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账    号</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p>
    <w:p w14:paraId="06293DEF">
      <w:pPr>
        <w:pStyle w:val="5"/>
        <w:spacing w:line="14" w:lineRule="auto"/>
        <w:rPr>
          <w:color w:val="auto"/>
          <w:sz w:val="2"/>
          <w:highlight w:val="none"/>
        </w:rPr>
      </w:pPr>
      <w:r>
        <w:rPr>
          <w:color w:val="auto"/>
          <w:sz w:val="2"/>
          <w:szCs w:val="2"/>
          <w:highlight w:val="none"/>
        </w:rPr>
        <w:br w:type="column"/>
      </w:r>
    </w:p>
    <w:p w14:paraId="78AE7C6F">
      <w:pPr>
        <w:spacing w:before="40" w:line="223" w:lineRule="auto"/>
        <w:ind w:left="2"/>
        <w:rPr>
          <w:rFonts w:ascii="宋体" w:hAnsi="宋体" w:eastAsia="宋体" w:cs="宋体"/>
          <w:color w:val="auto"/>
          <w:sz w:val="21"/>
          <w:szCs w:val="21"/>
          <w:highlight w:val="none"/>
        </w:rPr>
      </w:pPr>
      <w:r>
        <w:rPr>
          <w:rFonts w:ascii="宋体" w:hAnsi="宋体" w:eastAsia="宋体" w:cs="宋体"/>
          <w:color w:val="auto"/>
          <w:spacing w:val="-30"/>
          <w:w w:val="96"/>
          <w:sz w:val="21"/>
          <w:szCs w:val="21"/>
          <w:highlight w:val="none"/>
        </w:rPr>
        <w:t>联系人</w:t>
      </w:r>
      <w:r>
        <w:rPr>
          <w:rFonts w:ascii="宋体" w:hAnsi="宋体" w:eastAsia="宋体" w:cs="宋体"/>
          <w:color w:val="auto"/>
          <w:spacing w:val="18"/>
          <w:sz w:val="21"/>
          <w:szCs w:val="21"/>
          <w:highlight w:val="none"/>
        </w:rPr>
        <w:t>：</w:t>
      </w:r>
      <w:r>
        <w:rPr>
          <w:rFonts w:ascii="宋体" w:hAnsi="宋体" w:eastAsia="宋体" w:cs="宋体"/>
          <w:color w:val="auto"/>
          <w:spacing w:val="-34"/>
          <w:sz w:val="21"/>
          <w:szCs w:val="21"/>
          <w:highlight w:val="none"/>
        </w:rPr>
        <w:t xml:space="preserve"> </w:t>
      </w:r>
      <w:r>
        <w:rPr>
          <w:rFonts w:hint="eastAsia" w:ascii="宋体" w:hAnsi="宋体" w:eastAsia="宋体" w:cs="宋体"/>
          <w:color w:val="auto"/>
          <w:spacing w:val="-16"/>
          <w:sz w:val="21"/>
          <w:szCs w:val="21"/>
          <w:highlight w:val="none"/>
          <w:u w:val="single" w:color="auto"/>
          <w:lang w:val="en-US" w:eastAsia="zh-CN"/>
        </w:rPr>
        <w:t>尹女士</w:t>
      </w:r>
      <w:r>
        <w:rPr>
          <w:rFonts w:ascii="宋体" w:hAnsi="宋体" w:eastAsia="宋体" w:cs="宋体"/>
          <w:color w:val="auto"/>
          <w:sz w:val="21"/>
          <w:szCs w:val="21"/>
          <w:highlight w:val="none"/>
          <w:u w:val="none" w:color="auto"/>
        </w:rPr>
        <w:t xml:space="preserve">               </w:t>
      </w:r>
    </w:p>
    <w:p w14:paraId="3FF72E7A">
      <w:pPr>
        <w:spacing w:before="169" w:line="220" w:lineRule="auto"/>
        <w:rPr>
          <w:rFonts w:hint="eastAsia" w:ascii="仿宋_GB2312" w:eastAsia="仿宋_GB2312"/>
          <w:color w:val="auto"/>
          <w:sz w:val="24"/>
          <w:szCs w:val="24"/>
          <w:highlight w:val="none"/>
          <w:u w:val="single"/>
          <w:lang w:eastAsia="zh-CN"/>
        </w:rPr>
      </w:pPr>
      <w:r>
        <w:rPr>
          <w:rFonts w:ascii="宋体" w:hAnsi="宋体" w:eastAsia="宋体" w:cs="宋体"/>
          <w:color w:val="auto"/>
          <w:spacing w:val="-30"/>
          <w:w w:val="96"/>
          <w:sz w:val="21"/>
          <w:szCs w:val="21"/>
          <w:highlight w:val="none"/>
        </w:rPr>
        <w:t>电</w:t>
      </w:r>
      <w:r>
        <w:rPr>
          <w:rFonts w:ascii="宋体" w:hAnsi="宋体" w:eastAsia="宋体" w:cs="宋体"/>
          <w:color w:val="auto"/>
          <w:sz w:val="21"/>
          <w:szCs w:val="21"/>
          <w:highlight w:val="none"/>
        </w:rPr>
        <w:t xml:space="preserve">    </w:t>
      </w:r>
      <w:r>
        <w:rPr>
          <w:rFonts w:ascii="宋体" w:hAnsi="宋体" w:eastAsia="宋体" w:cs="宋体"/>
          <w:color w:val="auto"/>
          <w:spacing w:val="-30"/>
          <w:w w:val="96"/>
          <w:sz w:val="21"/>
          <w:szCs w:val="21"/>
          <w:highlight w:val="none"/>
        </w:rPr>
        <w:t>话：</w:t>
      </w:r>
      <w:r>
        <w:rPr>
          <w:rFonts w:hint="eastAsia" w:ascii="仿宋_GB2312" w:eastAsia="仿宋_GB2312"/>
          <w:color w:val="auto"/>
          <w:sz w:val="24"/>
          <w:szCs w:val="24"/>
          <w:highlight w:val="none"/>
          <w:u w:val="single"/>
          <w:lang w:val="en-US" w:eastAsia="zh-CN"/>
        </w:rPr>
        <w:t>0417-2829979</w:t>
      </w:r>
    </w:p>
    <w:p w14:paraId="698470DF">
      <w:pPr>
        <w:spacing w:before="167" w:line="221" w:lineRule="auto"/>
        <w:ind w:left="26"/>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电子邮件</w:t>
      </w:r>
      <w:r>
        <w:rPr>
          <w:rFonts w:ascii="宋体" w:hAnsi="宋体" w:eastAsia="宋体" w:cs="宋体"/>
          <w:color w:val="auto"/>
          <w:spacing w:val="-2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jy2829979@163.com</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u w:val="none" w:color="auto"/>
        </w:rPr>
        <w:t xml:space="preserve">          </w:t>
      </w:r>
      <w:r>
        <w:rPr>
          <w:rFonts w:ascii="宋体" w:hAnsi="宋体" w:eastAsia="宋体" w:cs="宋体"/>
          <w:color w:val="auto"/>
          <w:sz w:val="21"/>
          <w:szCs w:val="21"/>
          <w:highlight w:val="none"/>
          <w:u w:val="single" w:color="auto"/>
        </w:rPr>
        <w:t xml:space="preserve">  </w:t>
      </w:r>
    </w:p>
    <w:p w14:paraId="7D21206D">
      <w:pPr>
        <w:spacing w:before="171" w:line="367" w:lineRule="auto"/>
        <w:ind w:left="70"/>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网    址</w:t>
      </w:r>
      <w:r>
        <w:rPr>
          <w:rFonts w:ascii="宋体" w:hAnsi="宋体" w:eastAsia="宋体" w:cs="宋体"/>
          <w:color w:val="auto"/>
          <w:spacing w:val="-35"/>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16CD1698">
      <w:pPr>
        <w:spacing w:before="1" w:line="221" w:lineRule="auto"/>
        <w:ind w:left="55"/>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18"/>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3FC8BAF">
      <w:pPr>
        <w:spacing w:before="170" w:line="186" w:lineRule="auto"/>
        <w:ind w:left="57"/>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账    号</w:t>
      </w:r>
      <w:r>
        <w:rPr>
          <w:rFonts w:ascii="宋体" w:hAnsi="宋体" w:eastAsia="宋体" w:cs="宋体"/>
          <w:color w:val="auto"/>
          <w:spacing w:val="-31"/>
          <w:sz w:val="21"/>
          <w:szCs w:val="21"/>
          <w:highlight w:val="none"/>
        </w:rPr>
        <w:t>：</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2574FF0A">
      <w:pPr>
        <w:spacing w:line="186" w:lineRule="auto"/>
        <w:rPr>
          <w:rFonts w:ascii="宋体" w:hAnsi="宋体" w:eastAsia="宋体" w:cs="宋体"/>
          <w:color w:val="auto"/>
          <w:sz w:val="21"/>
          <w:szCs w:val="21"/>
          <w:highlight w:val="none"/>
        </w:rPr>
        <w:sectPr>
          <w:type w:val="continuous"/>
          <w:pgSz w:w="11905" w:h="16839"/>
          <w:pgMar w:top="1431" w:right="1785" w:bottom="1036" w:left="1785" w:header="0" w:footer="847" w:gutter="0"/>
          <w:pgNumType w:fmt="decimal"/>
          <w:cols w:equalWidth="0" w:num="2">
            <w:col w:w="4455" w:space="100"/>
            <w:col w:w="3779"/>
          </w:cols>
        </w:sectPr>
      </w:pPr>
    </w:p>
    <w:p w14:paraId="57C01015">
      <w:pPr>
        <w:pStyle w:val="5"/>
        <w:spacing w:line="278" w:lineRule="auto"/>
        <w:rPr>
          <w:rFonts w:hint="eastAsia" w:eastAsia="宋体"/>
          <w:color w:val="auto"/>
          <w:highlight w:val="none"/>
          <w:lang w:val="en-US" w:eastAsia="zh-CN"/>
        </w:rPr>
      </w:pPr>
      <w:r>
        <w:rPr>
          <w:rFonts w:hint="eastAsia" w:eastAsia="宋体"/>
          <w:color w:val="auto"/>
          <w:highlight w:val="none"/>
          <w:lang w:val="en-US" w:eastAsia="zh-CN"/>
        </w:rPr>
        <w:t xml:space="preserve"> </w:t>
      </w:r>
    </w:p>
    <w:p w14:paraId="699A24D6">
      <w:pPr>
        <w:pStyle w:val="5"/>
        <w:spacing w:line="279" w:lineRule="auto"/>
        <w:rPr>
          <w:color w:val="auto"/>
          <w:highlight w:val="none"/>
        </w:rPr>
      </w:pPr>
    </w:p>
    <w:p w14:paraId="320ECC75">
      <w:pPr>
        <w:tabs>
          <w:tab w:val="left" w:pos="6329"/>
        </w:tabs>
        <w:spacing w:before="68" w:line="186" w:lineRule="auto"/>
        <w:ind w:left="5277"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lang w:val="en-US" w:eastAsia="zh-CN"/>
        </w:rPr>
        <w:t>2026</w:t>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20"/>
          <w:sz w:val="21"/>
          <w:szCs w:val="21"/>
          <w:highlight w:val="none"/>
          <w:u w:val="single" w:color="auto"/>
        </w:rPr>
        <w:t xml:space="preserve"> </w:t>
      </w:r>
      <w:r>
        <w:rPr>
          <w:rFonts w:hint="eastAsia" w:ascii="宋体" w:hAnsi="宋体" w:eastAsia="宋体" w:cs="宋体"/>
          <w:color w:val="auto"/>
          <w:spacing w:val="20"/>
          <w:sz w:val="21"/>
          <w:szCs w:val="21"/>
          <w:highlight w:val="none"/>
          <w:u w:val="single" w:color="auto"/>
          <w:lang w:val="en-US" w:eastAsia="zh-CN"/>
        </w:rPr>
        <w:t>05</w:t>
      </w:r>
      <w:r>
        <w:rPr>
          <w:rFonts w:ascii="宋体" w:hAnsi="宋体" w:eastAsia="宋体" w:cs="宋体"/>
          <w:color w:val="auto"/>
          <w:spacing w:val="-22"/>
          <w:sz w:val="21"/>
          <w:szCs w:val="21"/>
          <w:highlight w:val="none"/>
        </w:rPr>
        <w:t>月</w:t>
      </w:r>
      <w:r>
        <w:rPr>
          <w:rFonts w:hint="eastAsia" w:ascii="宋体" w:hAnsi="宋体" w:eastAsia="宋体" w:cs="宋体"/>
          <w:color w:val="auto"/>
          <w:spacing w:val="17"/>
          <w:sz w:val="21"/>
          <w:szCs w:val="21"/>
          <w:highlight w:val="none"/>
          <w:u w:val="single" w:color="auto"/>
          <w:lang w:val="en-US" w:eastAsia="zh-CN"/>
        </w:rPr>
        <w:t>**</w:t>
      </w:r>
      <w:r>
        <w:rPr>
          <w:rFonts w:ascii="宋体" w:hAnsi="宋体" w:eastAsia="宋体" w:cs="宋体"/>
          <w:color w:val="auto"/>
          <w:spacing w:val="-22"/>
          <w:sz w:val="21"/>
          <w:szCs w:val="21"/>
          <w:highlight w:val="none"/>
        </w:rPr>
        <w:t>日</w:t>
      </w:r>
    </w:p>
    <w:p w14:paraId="54EEAE60">
      <w:pPr>
        <w:spacing w:line="186" w:lineRule="auto"/>
        <w:rPr>
          <w:rFonts w:ascii="宋体" w:hAnsi="宋体" w:eastAsia="宋体" w:cs="宋体"/>
          <w:color w:val="auto"/>
          <w:sz w:val="21"/>
          <w:szCs w:val="21"/>
          <w:highlight w:val="none"/>
        </w:rPr>
        <w:sectPr>
          <w:type w:val="continuous"/>
          <w:pgSz w:w="11905" w:h="16839"/>
          <w:pgMar w:top="1431" w:right="1785" w:bottom="1036" w:left="1785" w:header="0" w:footer="847" w:gutter="0"/>
          <w:pgNumType w:fmt="decimal"/>
          <w:cols w:equalWidth="0" w:num="1">
            <w:col w:w="8333"/>
          </w:cols>
        </w:sectPr>
      </w:pPr>
    </w:p>
    <w:p w14:paraId="3EACE2B8">
      <w:pPr>
        <w:spacing w:line="186" w:lineRule="auto"/>
        <w:rPr>
          <w:rFonts w:ascii="宋体" w:hAnsi="宋体" w:eastAsia="宋体" w:cs="宋体"/>
          <w:color w:val="auto"/>
          <w:sz w:val="21"/>
          <w:szCs w:val="21"/>
          <w:highlight w:val="none"/>
        </w:rPr>
        <w:sectPr>
          <w:footerReference r:id="rId9" w:type="default"/>
          <w:type w:val="continuous"/>
          <w:pgSz w:w="11905" w:h="16839"/>
          <w:pgMar w:top="1431" w:right="1785" w:bottom="1033" w:left="1785" w:header="0" w:footer="847" w:gutter="0"/>
          <w:pgNumType w:fmt="decimal"/>
          <w:cols w:equalWidth="0" w:num="1">
            <w:col w:w="8333"/>
          </w:cols>
        </w:sectPr>
      </w:pPr>
      <w:bookmarkStart w:id="6" w:name="bookmark29"/>
      <w:bookmarkEnd w:id="6"/>
      <w:bookmarkStart w:id="7" w:name="bookmark25"/>
      <w:bookmarkEnd w:id="7"/>
      <w:bookmarkStart w:id="8" w:name="bookmark28"/>
      <w:bookmarkEnd w:id="8"/>
      <w:bookmarkStart w:id="9" w:name="bookmark27"/>
      <w:bookmarkEnd w:id="9"/>
      <w:bookmarkStart w:id="10" w:name="bookmark26"/>
      <w:bookmarkEnd w:id="10"/>
      <w:bookmarkStart w:id="11" w:name="bookmark24"/>
      <w:bookmarkEnd w:id="11"/>
    </w:p>
    <w:p w14:paraId="79263BC6">
      <w:pPr>
        <w:pStyle w:val="5"/>
        <w:spacing w:line="244" w:lineRule="auto"/>
        <w:rPr>
          <w:color w:val="auto"/>
          <w:highlight w:val="none"/>
        </w:rPr>
      </w:pPr>
    </w:p>
    <w:p w14:paraId="05B558BE">
      <w:pPr>
        <w:pStyle w:val="5"/>
        <w:spacing w:line="244" w:lineRule="auto"/>
        <w:rPr>
          <w:color w:val="auto"/>
          <w:highlight w:val="none"/>
        </w:rPr>
      </w:pPr>
    </w:p>
    <w:p w14:paraId="54C19D22">
      <w:pPr>
        <w:pStyle w:val="5"/>
        <w:spacing w:line="244" w:lineRule="auto"/>
        <w:rPr>
          <w:color w:val="auto"/>
          <w:highlight w:val="none"/>
        </w:rPr>
      </w:pPr>
    </w:p>
    <w:p w14:paraId="564D0DD3">
      <w:pPr>
        <w:pStyle w:val="5"/>
        <w:spacing w:line="244" w:lineRule="auto"/>
        <w:rPr>
          <w:color w:val="auto"/>
          <w:highlight w:val="none"/>
        </w:rPr>
      </w:pPr>
    </w:p>
    <w:p w14:paraId="00E7B1C5">
      <w:pPr>
        <w:pStyle w:val="5"/>
        <w:spacing w:line="244" w:lineRule="auto"/>
        <w:rPr>
          <w:color w:val="auto"/>
          <w:highlight w:val="none"/>
        </w:rPr>
      </w:pPr>
    </w:p>
    <w:p w14:paraId="33CFB705">
      <w:pPr>
        <w:pStyle w:val="5"/>
        <w:spacing w:line="244" w:lineRule="auto"/>
        <w:rPr>
          <w:color w:val="auto"/>
          <w:highlight w:val="none"/>
        </w:rPr>
      </w:pPr>
    </w:p>
    <w:p w14:paraId="16052FB4">
      <w:pPr>
        <w:pStyle w:val="5"/>
        <w:spacing w:line="244" w:lineRule="auto"/>
        <w:rPr>
          <w:color w:val="auto"/>
          <w:highlight w:val="none"/>
        </w:rPr>
      </w:pPr>
    </w:p>
    <w:p w14:paraId="0AC58AA8">
      <w:pPr>
        <w:pStyle w:val="5"/>
        <w:spacing w:line="244" w:lineRule="auto"/>
        <w:rPr>
          <w:color w:val="auto"/>
          <w:highlight w:val="none"/>
        </w:rPr>
      </w:pPr>
    </w:p>
    <w:p w14:paraId="1D2DB0CB">
      <w:pPr>
        <w:pStyle w:val="5"/>
        <w:spacing w:line="244" w:lineRule="auto"/>
        <w:rPr>
          <w:color w:val="auto"/>
          <w:highlight w:val="none"/>
        </w:rPr>
      </w:pPr>
    </w:p>
    <w:p w14:paraId="5B58C673">
      <w:pPr>
        <w:pStyle w:val="5"/>
        <w:spacing w:line="244" w:lineRule="auto"/>
        <w:rPr>
          <w:color w:val="auto"/>
          <w:highlight w:val="none"/>
        </w:rPr>
      </w:pPr>
    </w:p>
    <w:p w14:paraId="41D4CE71">
      <w:pPr>
        <w:pStyle w:val="5"/>
        <w:spacing w:line="244" w:lineRule="auto"/>
        <w:rPr>
          <w:color w:val="auto"/>
          <w:highlight w:val="none"/>
        </w:rPr>
      </w:pPr>
    </w:p>
    <w:p w14:paraId="500ED8C8">
      <w:pPr>
        <w:pStyle w:val="5"/>
        <w:spacing w:line="244" w:lineRule="auto"/>
        <w:rPr>
          <w:color w:val="auto"/>
          <w:highlight w:val="none"/>
        </w:rPr>
      </w:pPr>
    </w:p>
    <w:p w14:paraId="6EDBE957">
      <w:pPr>
        <w:pStyle w:val="5"/>
        <w:spacing w:line="245" w:lineRule="auto"/>
        <w:rPr>
          <w:color w:val="auto"/>
          <w:highlight w:val="none"/>
        </w:rPr>
      </w:pPr>
    </w:p>
    <w:p w14:paraId="42B83D32">
      <w:pPr>
        <w:pStyle w:val="5"/>
        <w:spacing w:line="245" w:lineRule="auto"/>
        <w:rPr>
          <w:color w:val="auto"/>
          <w:highlight w:val="none"/>
        </w:rPr>
      </w:pPr>
    </w:p>
    <w:p w14:paraId="64E2C094">
      <w:pPr>
        <w:pStyle w:val="5"/>
        <w:spacing w:line="245" w:lineRule="auto"/>
        <w:rPr>
          <w:color w:val="auto"/>
          <w:highlight w:val="none"/>
        </w:rPr>
      </w:pPr>
    </w:p>
    <w:p w14:paraId="14E95F88">
      <w:pPr>
        <w:spacing w:before="104" w:line="219" w:lineRule="auto"/>
        <w:ind w:left="2740"/>
        <w:outlineLvl w:val="0"/>
        <w:rPr>
          <w:rFonts w:ascii="黑体" w:hAnsi="黑体" w:eastAsia="黑体" w:cs="黑体"/>
          <w:color w:val="auto"/>
          <w:sz w:val="32"/>
          <w:szCs w:val="32"/>
          <w:highlight w:val="none"/>
        </w:rPr>
      </w:pPr>
      <w:bookmarkStart w:id="12" w:name="bookmark42"/>
      <w:bookmarkEnd w:id="12"/>
      <w:bookmarkStart w:id="13" w:name="bookmark41"/>
      <w:bookmarkEnd w:id="13"/>
      <w:bookmarkStart w:id="14" w:name="bookmark43"/>
      <w:bookmarkEnd w:id="14"/>
      <w:bookmarkStart w:id="15" w:name="bookmark44"/>
      <w:bookmarkEnd w:id="15"/>
      <w:bookmarkStart w:id="16" w:name="_Toc13471"/>
      <w:bookmarkStart w:id="17" w:name="_Toc2445"/>
      <w:bookmarkStart w:id="18" w:name="_Toc24662"/>
      <w:bookmarkStart w:id="19" w:name="_Toc17723"/>
      <w:r>
        <w:rPr>
          <w:rFonts w:ascii="黑体" w:hAnsi="黑体" w:eastAsia="黑体" w:cs="黑体"/>
          <w:color w:val="auto"/>
          <w:spacing w:val="-1"/>
          <w:sz w:val="32"/>
          <w:szCs w:val="32"/>
          <w:highlight w:val="none"/>
        </w:rPr>
        <w:t>第二章  投标人须知</w:t>
      </w:r>
      <w:bookmarkEnd w:id="16"/>
      <w:bookmarkEnd w:id="17"/>
      <w:bookmarkEnd w:id="18"/>
      <w:bookmarkEnd w:id="19"/>
    </w:p>
    <w:p w14:paraId="5D2ACCC7">
      <w:pPr>
        <w:spacing w:line="219" w:lineRule="auto"/>
        <w:rPr>
          <w:rFonts w:ascii="黑体" w:hAnsi="黑体" w:eastAsia="黑体" w:cs="黑体"/>
          <w:color w:val="auto"/>
          <w:sz w:val="32"/>
          <w:szCs w:val="32"/>
          <w:highlight w:val="none"/>
        </w:rPr>
        <w:sectPr>
          <w:footerReference r:id="rId10" w:type="default"/>
          <w:pgSz w:w="11905" w:h="16839"/>
          <w:pgMar w:top="1431" w:right="1785" w:bottom="1036" w:left="1785" w:header="0" w:footer="847" w:gutter="0"/>
          <w:pgNumType w:fmt="decimal"/>
          <w:cols w:space="720" w:num="1"/>
        </w:sectPr>
      </w:pPr>
    </w:p>
    <w:p w14:paraId="573E99A7">
      <w:pPr>
        <w:spacing w:before="64" w:line="219" w:lineRule="auto"/>
        <w:ind w:left="2783"/>
        <w:rPr>
          <w:rFonts w:ascii="黑体" w:hAnsi="黑体" w:eastAsia="黑体" w:cs="黑体"/>
          <w:color w:val="auto"/>
          <w:sz w:val="32"/>
          <w:szCs w:val="32"/>
          <w:highlight w:val="none"/>
        </w:rPr>
      </w:pPr>
      <w:bookmarkStart w:id="20" w:name="bookmark46"/>
      <w:bookmarkEnd w:id="20"/>
      <w:bookmarkStart w:id="21" w:name="bookmark45"/>
      <w:bookmarkEnd w:id="21"/>
      <w:bookmarkStart w:id="22" w:name="bookmark47"/>
      <w:bookmarkEnd w:id="22"/>
      <w:bookmarkStart w:id="23" w:name="bookmark49"/>
      <w:bookmarkEnd w:id="23"/>
      <w:bookmarkStart w:id="24" w:name="bookmark48"/>
      <w:bookmarkEnd w:id="24"/>
      <w:r>
        <w:rPr>
          <w:rFonts w:ascii="黑体" w:hAnsi="黑体" w:eastAsia="黑体" w:cs="黑体"/>
          <w:color w:val="auto"/>
          <w:spacing w:val="-1"/>
          <w:sz w:val="32"/>
          <w:szCs w:val="32"/>
          <w:highlight w:val="none"/>
        </w:rPr>
        <w:t>第二章  投标人须知</w:t>
      </w:r>
    </w:p>
    <w:p w14:paraId="52475E98">
      <w:pPr>
        <w:spacing w:before="176" w:line="219" w:lineRule="auto"/>
        <w:ind w:left="3096"/>
        <w:outlineLvl w:val="1"/>
        <w:rPr>
          <w:rFonts w:ascii="黑体" w:hAnsi="黑体" w:eastAsia="黑体" w:cs="黑体"/>
          <w:color w:val="auto"/>
          <w:sz w:val="27"/>
          <w:szCs w:val="27"/>
          <w:highlight w:val="none"/>
        </w:rPr>
      </w:pPr>
      <w:bookmarkStart w:id="25" w:name="_Toc13968"/>
      <w:bookmarkStart w:id="26" w:name="_Toc22705"/>
      <w:bookmarkStart w:id="27" w:name="_Toc20187"/>
      <w:bookmarkStart w:id="28" w:name="_Toc31467"/>
      <w:r>
        <w:rPr>
          <w:rFonts w:ascii="黑体" w:hAnsi="黑体" w:eastAsia="黑体" w:cs="黑体"/>
          <w:color w:val="auto"/>
          <w:spacing w:val="8"/>
          <w:sz w:val="27"/>
          <w:szCs w:val="27"/>
          <w:highlight w:val="none"/>
        </w:rPr>
        <w:t>投标人须知前附表</w:t>
      </w:r>
      <w:bookmarkEnd w:id="25"/>
      <w:bookmarkEnd w:id="26"/>
      <w:bookmarkEnd w:id="27"/>
      <w:bookmarkEnd w:id="28"/>
    </w:p>
    <w:tbl>
      <w:tblPr>
        <w:tblStyle w:val="17"/>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AAD5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14:paraId="5496C049">
            <w:pPr>
              <w:pStyle w:val="18"/>
              <w:spacing w:before="212" w:line="221" w:lineRule="auto"/>
              <w:ind w:left="115"/>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121" w:type="dxa"/>
            <w:vAlign w:val="top"/>
          </w:tcPr>
          <w:p w14:paraId="1FD175FC">
            <w:pPr>
              <w:pStyle w:val="18"/>
              <w:spacing w:before="212" w:line="221" w:lineRule="auto"/>
              <w:ind w:left="491"/>
              <w:rPr>
                <w:color w:val="auto"/>
                <w:highlight w:val="none"/>
              </w:rPr>
            </w:pPr>
            <w:r>
              <w:rPr>
                <w:color w:val="auto"/>
                <w:spacing w:val="-5"/>
                <w:highlight w:val="none"/>
                <w14:textOutline w14:w="3831" w14:cap="flat" w14:cmpd="sng">
                  <w14:solidFill>
                    <w14:srgbClr w14:val="000000"/>
                  </w14:solidFill>
                  <w14:prstDash w14:val="solid"/>
                  <w14:miter w14:val="0"/>
                </w14:textOutline>
              </w:rPr>
              <w:t>条</w:t>
            </w:r>
            <w:r>
              <w:rPr>
                <w:color w:val="auto"/>
                <w:spacing w:val="10"/>
                <w:highlight w:val="none"/>
              </w:rPr>
              <w:t xml:space="preserve"> </w:t>
            </w:r>
            <w:r>
              <w:rPr>
                <w:color w:val="auto"/>
                <w:spacing w:val="-5"/>
                <w:highlight w:val="none"/>
                <w14:textOutline w14:w="3831" w14:cap="flat" w14:cmpd="sng">
                  <w14:solidFill>
                    <w14:srgbClr w14:val="000000"/>
                  </w14:solidFill>
                  <w14:prstDash w14:val="solid"/>
                  <w14:miter w14:val="0"/>
                </w14:textOutline>
              </w:rPr>
              <w:t>款</w:t>
            </w:r>
            <w:r>
              <w:rPr>
                <w:color w:val="auto"/>
                <w:spacing w:val="12"/>
                <w:highlight w:val="none"/>
              </w:rPr>
              <w:t xml:space="preserve"> </w:t>
            </w:r>
            <w:r>
              <w:rPr>
                <w:color w:val="auto"/>
                <w:spacing w:val="-5"/>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5"/>
                <w:highlight w:val="none"/>
                <w14:textOutline w14:w="3831" w14:cap="flat" w14:cmpd="sng">
                  <w14:solidFill>
                    <w14:srgbClr w14:val="000000"/>
                  </w14:solidFill>
                  <w14:prstDash w14:val="solid"/>
                  <w14:miter w14:val="0"/>
                </w14:textOutline>
              </w:rPr>
              <w:t>称</w:t>
            </w:r>
          </w:p>
        </w:tc>
        <w:tc>
          <w:tcPr>
            <w:tcW w:w="5447" w:type="dxa"/>
            <w:vAlign w:val="top"/>
          </w:tcPr>
          <w:p w14:paraId="228339C6">
            <w:pPr>
              <w:pStyle w:val="18"/>
              <w:spacing w:before="212" w:line="221" w:lineRule="auto"/>
              <w:ind w:left="2149"/>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15"/>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34"/>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7"/>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14:paraId="2D0F1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4832B4B0">
            <w:pPr>
              <w:spacing w:line="250" w:lineRule="auto"/>
              <w:rPr>
                <w:rFonts w:ascii="Arial"/>
                <w:color w:val="auto"/>
                <w:sz w:val="21"/>
                <w:highlight w:val="none"/>
              </w:rPr>
            </w:pPr>
          </w:p>
          <w:p w14:paraId="7FA0ED46">
            <w:pPr>
              <w:spacing w:line="250" w:lineRule="auto"/>
              <w:rPr>
                <w:rFonts w:ascii="Arial"/>
                <w:color w:val="auto"/>
                <w:sz w:val="21"/>
                <w:highlight w:val="none"/>
              </w:rPr>
            </w:pPr>
          </w:p>
          <w:p w14:paraId="55259C23">
            <w:pPr>
              <w:spacing w:line="251" w:lineRule="auto"/>
              <w:rPr>
                <w:rFonts w:ascii="Arial"/>
                <w:color w:val="auto"/>
                <w:sz w:val="21"/>
                <w:highlight w:val="none"/>
              </w:rPr>
            </w:pPr>
          </w:p>
          <w:p w14:paraId="22C685CF">
            <w:pPr>
              <w:spacing w:line="251" w:lineRule="auto"/>
              <w:rPr>
                <w:rFonts w:ascii="Arial"/>
                <w:color w:val="auto"/>
                <w:sz w:val="21"/>
                <w:highlight w:val="none"/>
              </w:rPr>
            </w:pPr>
          </w:p>
          <w:p w14:paraId="4A697C72">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1.1.2</w:t>
            </w:r>
          </w:p>
        </w:tc>
        <w:tc>
          <w:tcPr>
            <w:tcW w:w="2121" w:type="dxa"/>
            <w:vAlign w:val="top"/>
          </w:tcPr>
          <w:p w14:paraId="675BDD44">
            <w:pPr>
              <w:spacing w:line="319" w:lineRule="auto"/>
              <w:rPr>
                <w:rFonts w:ascii="Arial"/>
                <w:color w:val="auto"/>
                <w:sz w:val="21"/>
                <w:highlight w:val="none"/>
              </w:rPr>
            </w:pPr>
          </w:p>
          <w:p w14:paraId="54D9AAC0">
            <w:pPr>
              <w:spacing w:line="319" w:lineRule="auto"/>
              <w:rPr>
                <w:rFonts w:ascii="Arial"/>
                <w:color w:val="auto"/>
                <w:sz w:val="21"/>
                <w:highlight w:val="none"/>
              </w:rPr>
            </w:pPr>
          </w:p>
          <w:p w14:paraId="3A69D754">
            <w:pPr>
              <w:spacing w:line="320" w:lineRule="auto"/>
              <w:rPr>
                <w:rFonts w:ascii="Arial"/>
                <w:color w:val="auto"/>
                <w:sz w:val="21"/>
                <w:highlight w:val="none"/>
              </w:rPr>
            </w:pPr>
          </w:p>
          <w:p w14:paraId="0B0C6CEF">
            <w:pPr>
              <w:pStyle w:val="18"/>
              <w:spacing w:before="69" w:line="221" w:lineRule="auto"/>
              <w:ind w:left="754"/>
              <w:rPr>
                <w:color w:val="auto"/>
                <w:highlight w:val="none"/>
              </w:rPr>
            </w:pPr>
            <w:r>
              <w:rPr>
                <w:color w:val="auto"/>
                <w:spacing w:val="-2"/>
                <w:highlight w:val="none"/>
              </w:rPr>
              <w:t>招标人</w:t>
            </w:r>
          </w:p>
        </w:tc>
        <w:tc>
          <w:tcPr>
            <w:tcW w:w="5447" w:type="dxa"/>
            <w:vAlign w:val="top"/>
          </w:tcPr>
          <w:p w14:paraId="006A4595">
            <w:pPr>
              <w:pStyle w:val="18"/>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名  称：</w:t>
            </w:r>
            <w:r>
              <w:rPr>
                <w:rFonts w:hint="eastAsia" w:cs="宋体"/>
                <w:color w:val="auto"/>
                <w:spacing w:val="4"/>
                <w:highlight w:val="none"/>
                <w:lang w:eastAsia="zh-CN"/>
              </w:rPr>
              <w:t>国网辽宁省电力有限公司营口供电公司</w:t>
            </w:r>
          </w:p>
          <w:p w14:paraId="05AC460C">
            <w:pPr>
              <w:pStyle w:val="18"/>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地  址：</w:t>
            </w:r>
            <w:r>
              <w:rPr>
                <w:rFonts w:hint="eastAsia" w:cs="宋体"/>
                <w:color w:val="auto"/>
                <w:spacing w:val="4"/>
                <w:highlight w:val="none"/>
                <w:lang w:eastAsia="zh-CN"/>
              </w:rPr>
              <w:t>营口市站前区渤海大街东40号</w:t>
            </w:r>
          </w:p>
          <w:p w14:paraId="132BAE32">
            <w:pPr>
              <w:pStyle w:val="18"/>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联系人：</w:t>
            </w:r>
            <w:r>
              <w:rPr>
                <w:rFonts w:hint="eastAsia" w:cs="宋体"/>
                <w:color w:val="auto"/>
                <w:spacing w:val="4"/>
                <w:highlight w:val="none"/>
                <w:lang w:eastAsia="zh-CN"/>
              </w:rPr>
              <w:t>苏先生</w:t>
            </w:r>
          </w:p>
          <w:p w14:paraId="352153A0">
            <w:pPr>
              <w:pStyle w:val="18"/>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电  话：</w:t>
            </w:r>
            <w:r>
              <w:rPr>
                <w:rFonts w:hint="eastAsia" w:cs="宋体"/>
                <w:color w:val="auto"/>
                <w:spacing w:val="4"/>
                <w:highlight w:val="none"/>
                <w:lang w:eastAsia="zh-CN"/>
              </w:rPr>
              <w:t>0417-2994659</w:t>
            </w:r>
          </w:p>
          <w:p w14:paraId="5F0E1736">
            <w:pPr>
              <w:pStyle w:val="18"/>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电子邮件：</w:t>
            </w:r>
          </w:p>
          <w:p w14:paraId="3A3786CE">
            <w:pPr>
              <w:pStyle w:val="18"/>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项目负责人姓名及联系方式：</w:t>
            </w:r>
          </w:p>
          <w:p w14:paraId="6AF69B26">
            <w:pPr>
              <w:pStyle w:val="18"/>
              <w:spacing w:before="72" w:line="240" w:lineRule="auto"/>
              <w:ind w:left="113"/>
              <w:rPr>
                <w:rFonts w:hint="eastAsia" w:eastAsia="宋体"/>
                <w:color w:val="auto"/>
                <w:highlight w:val="none"/>
                <w:lang w:eastAsia="zh-CN"/>
              </w:rPr>
            </w:pPr>
            <w:r>
              <w:rPr>
                <w:rFonts w:ascii="宋体" w:hAnsi="宋体" w:eastAsia="宋体" w:cs="宋体"/>
                <w:color w:val="auto"/>
                <w:spacing w:val="4"/>
                <w:highlight w:val="none"/>
              </w:rPr>
              <w:t>姓名：</w:t>
            </w:r>
            <w:r>
              <w:rPr>
                <w:rFonts w:hint="eastAsia" w:cs="宋体"/>
                <w:color w:val="auto"/>
                <w:spacing w:val="4"/>
                <w:highlight w:val="none"/>
                <w:lang w:eastAsia="zh-CN"/>
              </w:rPr>
              <w:t>苏先生</w:t>
            </w:r>
            <w:r>
              <w:rPr>
                <w:rFonts w:ascii="宋体" w:hAnsi="宋体" w:eastAsia="宋体" w:cs="宋体"/>
                <w:color w:val="auto"/>
                <w:spacing w:val="4"/>
                <w:highlight w:val="none"/>
              </w:rPr>
              <w:t xml:space="preserve">   电话：</w:t>
            </w:r>
            <w:r>
              <w:rPr>
                <w:rFonts w:hint="eastAsia" w:cs="宋体"/>
                <w:color w:val="auto"/>
                <w:spacing w:val="4"/>
                <w:highlight w:val="none"/>
                <w:lang w:eastAsia="zh-CN"/>
              </w:rPr>
              <w:t>0417-2994659</w:t>
            </w:r>
          </w:p>
        </w:tc>
      </w:tr>
      <w:tr w14:paraId="17ABF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14:paraId="35A91554">
            <w:pPr>
              <w:spacing w:line="252" w:lineRule="auto"/>
              <w:rPr>
                <w:rFonts w:ascii="Arial"/>
                <w:color w:val="auto"/>
                <w:sz w:val="21"/>
                <w:highlight w:val="none"/>
              </w:rPr>
            </w:pPr>
          </w:p>
          <w:p w14:paraId="4B64461B">
            <w:pPr>
              <w:spacing w:line="252" w:lineRule="auto"/>
              <w:rPr>
                <w:rFonts w:ascii="Arial"/>
                <w:color w:val="auto"/>
                <w:sz w:val="21"/>
                <w:highlight w:val="none"/>
              </w:rPr>
            </w:pPr>
          </w:p>
          <w:p w14:paraId="6B8CA374">
            <w:pPr>
              <w:spacing w:line="252" w:lineRule="auto"/>
              <w:rPr>
                <w:rFonts w:ascii="Arial"/>
                <w:color w:val="auto"/>
                <w:sz w:val="21"/>
                <w:highlight w:val="none"/>
              </w:rPr>
            </w:pPr>
          </w:p>
          <w:p w14:paraId="4E97729D">
            <w:pPr>
              <w:spacing w:line="252" w:lineRule="auto"/>
              <w:rPr>
                <w:rFonts w:ascii="Arial"/>
                <w:color w:val="auto"/>
                <w:sz w:val="21"/>
                <w:highlight w:val="none"/>
              </w:rPr>
            </w:pPr>
          </w:p>
          <w:p w14:paraId="0D4C45AB">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1.1.3</w:t>
            </w:r>
          </w:p>
        </w:tc>
        <w:tc>
          <w:tcPr>
            <w:tcW w:w="2121" w:type="dxa"/>
            <w:vAlign w:val="top"/>
          </w:tcPr>
          <w:p w14:paraId="012011BA">
            <w:pPr>
              <w:spacing w:line="241" w:lineRule="auto"/>
              <w:rPr>
                <w:rFonts w:ascii="Arial"/>
                <w:color w:val="auto"/>
                <w:sz w:val="21"/>
                <w:highlight w:val="none"/>
              </w:rPr>
            </w:pPr>
          </w:p>
          <w:p w14:paraId="2F8C4B3E">
            <w:pPr>
              <w:spacing w:line="241" w:lineRule="auto"/>
              <w:rPr>
                <w:rFonts w:ascii="Arial"/>
                <w:color w:val="auto"/>
                <w:sz w:val="21"/>
                <w:highlight w:val="none"/>
              </w:rPr>
            </w:pPr>
          </w:p>
          <w:p w14:paraId="042FA2CC">
            <w:pPr>
              <w:spacing w:line="241" w:lineRule="auto"/>
              <w:rPr>
                <w:rFonts w:ascii="Arial"/>
                <w:color w:val="auto"/>
                <w:sz w:val="21"/>
                <w:highlight w:val="none"/>
              </w:rPr>
            </w:pPr>
          </w:p>
          <w:p w14:paraId="45F36DB8">
            <w:pPr>
              <w:spacing w:line="241" w:lineRule="auto"/>
              <w:rPr>
                <w:rFonts w:ascii="Arial"/>
                <w:color w:val="auto"/>
                <w:sz w:val="21"/>
                <w:highlight w:val="none"/>
              </w:rPr>
            </w:pPr>
          </w:p>
          <w:p w14:paraId="03E92DCB">
            <w:pPr>
              <w:pStyle w:val="18"/>
              <w:spacing w:before="68" w:line="220" w:lineRule="auto"/>
              <w:ind w:left="437"/>
              <w:rPr>
                <w:color w:val="auto"/>
                <w:highlight w:val="none"/>
              </w:rPr>
            </w:pPr>
            <w:r>
              <w:rPr>
                <w:color w:val="auto"/>
                <w:spacing w:val="-1"/>
                <w:highlight w:val="none"/>
              </w:rPr>
              <w:t>招标代理机构</w:t>
            </w:r>
          </w:p>
        </w:tc>
        <w:tc>
          <w:tcPr>
            <w:tcW w:w="5447" w:type="dxa"/>
            <w:vAlign w:val="top"/>
          </w:tcPr>
          <w:p w14:paraId="08202830">
            <w:pPr>
              <w:pStyle w:val="18"/>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名  称：</w:t>
            </w:r>
            <w:r>
              <w:rPr>
                <w:rFonts w:hint="eastAsia" w:cs="宋体"/>
                <w:color w:val="auto"/>
                <w:spacing w:val="4"/>
                <w:highlight w:val="none"/>
                <w:lang w:eastAsia="zh-CN"/>
              </w:rPr>
              <w:t>辽宁金誉建设工程造价咨询有限责任公司</w:t>
            </w:r>
          </w:p>
          <w:p w14:paraId="7146E430">
            <w:pPr>
              <w:pStyle w:val="18"/>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地  址：</w:t>
            </w:r>
            <w:r>
              <w:rPr>
                <w:rFonts w:hint="eastAsia" w:cs="宋体"/>
                <w:color w:val="auto"/>
                <w:spacing w:val="4"/>
                <w:highlight w:val="none"/>
                <w:lang w:eastAsia="zh-CN"/>
              </w:rPr>
              <w:t>营口市站前区永红街7-甲11号</w:t>
            </w:r>
          </w:p>
          <w:p w14:paraId="555A67FC">
            <w:pPr>
              <w:pStyle w:val="18"/>
              <w:spacing w:before="72" w:line="240" w:lineRule="auto"/>
              <w:ind w:left="113"/>
              <w:rPr>
                <w:rFonts w:hint="eastAsia" w:ascii="宋体" w:hAnsi="宋体" w:eastAsia="宋体" w:cs="宋体"/>
                <w:color w:val="auto"/>
                <w:spacing w:val="4"/>
                <w:highlight w:val="none"/>
              </w:rPr>
            </w:pPr>
            <w:r>
              <w:rPr>
                <w:rFonts w:ascii="宋体" w:hAnsi="宋体" w:eastAsia="宋体" w:cs="宋体"/>
                <w:color w:val="auto"/>
                <w:spacing w:val="4"/>
                <w:highlight w:val="none"/>
              </w:rPr>
              <w:t>联系人：</w:t>
            </w:r>
            <w:r>
              <w:rPr>
                <w:rFonts w:hint="eastAsia" w:cs="宋体"/>
                <w:color w:val="auto"/>
                <w:spacing w:val="4"/>
                <w:highlight w:val="none"/>
                <w:lang w:eastAsia="zh-CN"/>
              </w:rPr>
              <w:t>尹女士</w:t>
            </w:r>
          </w:p>
          <w:p w14:paraId="211EBBD6">
            <w:pPr>
              <w:pStyle w:val="18"/>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电  话：</w:t>
            </w:r>
            <w:r>
              <w:rPr>
                <w:rFonts w:hint="eastAsia" w:cs="宋体"/>
                <w:color w:val="auto"/>
                <w:spacing w:val="4"/>
                <w:highlight w:val="none"/>
                <w:lang w:eastAsia="zh-CN"/>
              </w:rPr>
              <w:t>0417-2829979</w:t>
            </w:r>
          </w:p>
          <w:p w14:paraId="401C2086">
            <w:pPr>
              <w:pStyle w:val="18"/>
              <w:spacing w:before="72" w:line="240" w:lineRule="auto"/>
              <w:ind w:left="113"/>
              <w:rPr>
                <w:rFonts w:hint="default" w:ascii="宋体" w:hAnsi="宋体" w:eastAsia="宋体" w:cs="宋体"/>
                <w:color w:val="auto"/>
                <w:spacing w:val="4"/>
                <w:highlight w:val="none"/>
                <w:lang w:val="en-US" w:eastAsia="zh-CN"/>
              </w:rPr>
            </w:pPr>
            <w:r>
              <w:rPr>
                <w:rFonts w:ascii="宋体" w:hAnsi="宋体" w:eastAsia="宋体" w:cs="宋体"/>
                <w:color w:val="auto"/>
                <w:spacing w:val="4"/>
                <w:highlight w:val="none"/>
              </w:rPr>
              <w:t>电子邮件：</w:t>
            </w:r>
            <w:r>
              <w:rPr>
                <w:rFonts w:hint="eastAsia" w:cs="宋体"/>
                <w:color w:val="auto"/>
                <w:spacing w:val="4"/>
                <w:highlight w:val="none"/>
                <w:lang w:val="en-US" w:eastAsia="zh-CN"/>
              </w:rPr>
              <w:t>jy2829979@163.com</w:t>
            </w:r>
          </w:p>
          <w:p w14:paraId="3EBF0A02">
            <w:pPr>
              <w:pStyle w:val="18"/>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项目负责人姓名及联系方式：</w:t>
            </w:r>
          </w:p>
          <w:p w14:paraId="1FB5A3C4">
            <w:pPr>
              <w:pStyle w:val="18"/>
              <w:spacing w:before="72" w:line="240" w:lineRule="auto"/>
              <w:ind w:left="113"/>
              <w:rPr>
                <w:rFonts w:hint="eastAsia" w:eastAsia="宋体"/>
                <w:color w:val="auto"/>
                <w:highlight w:val="none"/>
                <w:lang w:eastAsia="zh-CN"/>
              </w:rPr>
            </w:pPr>
            <w:r>
              <w:rPr>
                <w:rFonts w:ascii="宋体" w:hAnsi="宋体" w:eastAsia="宋体" w:cs="宋体"/>
                <w:color w:val="auto"/>
                <w:spacing w:val="4"/>
                <w:highlight w:val="none"/>
              </w:rPr>
              <w:t>姓名：</w:t>
            </w:r>
            <w:r>
              <w:rPr>
                <w:rFonts w:hint="eastAsia" w:cs="宋体"/>
                <w:color w:val="auto"/>
                <w:spacing w:val="4"/>
                <w:highlight w:val="none"/>
                <w:lang w:eastAsia="zh-CN"/>
              </w:rPr>
              <w:t>尹女士</w:t>
            </w:r>
            <w:r>
              <w:rPr>
                <w:rFonts w:ascii="宋体" w:hAnsi="宋体" w:eastAsia="宋体" w:cs="宋体"/>
                <w:color w:val="auto"/>
                <w:spacing w:val="4"/>
                <w:highlight w:val="none"/>
              </w:rPr>
              <w:t xml:space="preserve">                电话：</w:t>
            </w:r>
            <w:r>
              <w:rPr>
                <w:rFonts w:hint="eastAsia" w:cs="宋体"/>
                <w:color w:val="auto"/>
                <w:spacing w:val="4"/>
                <w:highlight w:val="none"/>
                <w:lang w:eastAsia="zh-CN"/>
              </w:rPr>
              <w:t>0417-2829979</w:t>
            </w:r>
          </w:p>
        </w:tc>
      </w:tr>
      <w:tr w14:paraId="743BA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4D3FF12C">
            <w:pPr>
              <w:spacing w:before="182"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1.1.4</w:t>
            </w:r>
          </w:p>
        </w:tc>
        <w:tc>
          <w:tcPr>
            <w:tcW w:w="2121" w:type="dxa"/>
            <w:vAlign w:val="top"/>
          </w:tcPr>
          <w:p w14:paraId="09955141">
            <w:pPr>
              <w:pStyle w:val="18"/>
              <w:spacing w:before="72" w:line="240" w:lineRule="auto"/>
              <w:ind w:left="113"/>
              <w:jc w:val="center"/>
              <w:rPr>
                <w:rFonts w:ascii="宋体" w:hAnsi="宋体" w:eastAsia="宋体" w:cs="宋体"/>
                <w:color w:val="auto"/>
                <w:spacing w:val="4"/>
                <w:highlight w:val="none"/>
              </w:rPr>
            </w:pPr>
            <w:r>
              <w:rPr>
                <w:rFonts w:ascii="宋体" w:hAnsi="宋体" w:eastAsia="宋体" w:cs="宋体"/>
                <w:color w:val="auto"/>
                <w:spacing w:val="4"/>
                <w:highlight w:val="none"/>
                <w:u w:val="none"/>
              </w:rPr>
              <w:t>标段项目名称</w:t>
            </w:r>
          </w:p>
        </w:tc>
        <w:tc>
          <w:tcPr>
            <w:tcW w:w="5447" w:type="dxa"/>
            <w:vAlign w:val="top"/>
          </w:tcPr>
          <w:p w14:paraId="1FB42A0C">
            <w:pPr>
              <w:pStyle w:val="18"/>
              <w:spacing w:before="72" w:line="240" w:lineRule="auto"/>
              <w:ind w:left="113"/>
              <w:rPr>
                <w:rFonts w:hint="default" w:ascii="宋体" w:hAnsi="宋体" w:eastAsia="宋体" w:cs="宋体"/>
                <w:snapToGrid w:val="0"/>
                <w:color w:val="auto"/>
                <w:spacing w:val="4"/>
                <w:kern w:val="0"/>
                <w:sz w:val="21"/>
                <w:szCs w:val="21"/>
                <w:highlight w:val="none"/>
                <w:lang w:val="en-US" w:eastAsia="en-US" w:bidi="ar-SA"/>
              </w:rPr>
            </w:pPr>
            <w:r>
              <w:rPr>
                <w:rFonts w:hint="eastAsia" w:cs="宋体"/>
                <w:snapToGrid w:val="0"/>
                <w:color w:val="auto"/>
                <w:spacing w:val="4"/>
                <w:kern w:val="0"/>
                <w:sz w:val="21"/>
                <w:szCs w:val="21"/>
                <w:highlight w:val="none"/>
                <w:lang w:val="en-US" w:eastAsia="zh-CN" w:bidi="ar-SA"/>
              </w:rPr>
              <w:t>国网辽宁营口鲅鱼圈供电分公司运维检修用房项目</w:t>
            </w:r>
          </w:p>
        </w:tc>
      </w:tr>
      <w:tr w14:paraId="3C36E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14:paraId="03227D2D">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1.1.5</w:t>
            </w:r>
          </w:p>
        </w:tc>
        <w:tc>
          <w:tcPr>
            <w:tcW w:w="2121" w:type="dxa"/>
            <w:vAlign w:val="top"/>
          </w:tcPr>
          <w:p w14:paraId="0EF41A5E">
            <w:pPr>
              <w:pStyle w:val="18"/>
              <w:spacing w:before="146" w:line="222" w:lineRule="auto"/>
              <w:ind w:left="650"/>
              <w:rPr>
                <w:color w:val="auto"/>
                <w:highlight w:val="none"/>
              </w:rPr>
            </w:pPr>
            <w:r>
              <w:rPr>
                <w:color w:val="auto"/>
                <w:spacing w:val="-2"/>
                <w:highlight w:val="none"/>
              </w:rPr>
              <w:t>建设地点</w:t>
            </w:r>
          </w:p>
        </w:tc>
        <w:tc>
          <w:tcPr>
            <w:tcW w:w="5447" w:type="dxa"/>
            <w:vAlign w:val="center"/>
          </w:tcPr>
          <w:p w14:paraId="0D14F850">
            <w:pPr>
              <w:spacing w:line="240" w:lineRule="auto"/>
              <w:jc w:val="left"/>
              <w:rPr>
                <w:rFonts w:hint="default" w:ascii="宋体" w:hAnsi="宋体" w:eastAsia="宋体" w:cs="宋体"/>
                <w:snapToGrid w:val="0"/>
                <w:color w:val="auto"/>
                <w:spacing w:val="4"/>
                <w:kern w:val="0"/>
                <w:sz w:val="21"/>
                <w:szCs w:val="21"/>
                <w:highlight w:val="none"/>
                <w:lang w:val="en-US" w:eastAsia="en-US" w:bidi="ar-SA"/>
              </w:rPr>
            </w:pPr>
            <w:r>
              <w:rPr>
                <w:rFonts w:hint="default" w:ascii="宋体" w:hAnsi="宋体" w:eastAsia="宋体" w:cs="宋体"/>
                <w:snapToGrid w:val="0"/>
                <w:color w:val="auto"/>
                <w:spacing w:val="4"/>
                <w:kern w:val="0"/>
                <w:sz w:val="21"/>
                <w:szCs w:val="21"/>
                <w:highlight w:val="none"/>
                <w:lang w:val="en-US" w:eastAsia="en-US" w:bidi="ar-SA"/>
              </w:rPr>
              <w:t>辽宁省营口市鲅鱼圈区青龙山大街与海韵路交汇处</w:t>
            </w:r>
          </w:p>
        </w:tc>
      </w:tr>
      <w:tr w14:paraId="60D8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0116A5C8">
            <w:pPr>
              <w:spacing w:before="187"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1.1.6</w:t>
            </w:r>
          </w:p>
        </w:tc>
        <w:tc>
          <w:tcPr>
            <w:tcW w:w="2121" w:type="dxa"/>
            <w:vAlign w:val="top"/>
          </w:tcPr>
          <w:p w14:paraId="40CFE0AD">
            <w:pPr>
              <w:pStyle w:val="18"/>
              <w:spacing w:before="151" w:line="219" w:lineRule="auto"/>
              <w:ind w:left="439"/>
              <w:rPr>
                <w:color w:val="auto"/>
                <w:highlight w:val="none"/>
              </w:rPr>
            </w:pPr>
            <w:r>
              <w:rPr>
                <w:color w:val="auto"/>
                <w:spacing w:val="-1"/>
                <w:highlight w:val="none"/>
              </w:rPr>
              <w:t>项目投资估算</w:t>
            </w:r>
          </w:p>
        </w:tc>
        <w:tc>
          <w:tcPr>
            <w:tcW w:w="5447" w:type="dxa"/>
            <w:vAlign w:val="top"/>
          </w:tcPr>
          <w:p w14:paraId="20C20CAB">
            <w:pPr>
              <w:pStyle w:val="18"/>
              <w:spacing w:before="72" w:line="240" w:lineRule="auto"/>
              <w:ind w:left="113"/>
              <w:rPr>
                <w:rFonts w:ascii="宋体" w:hAnsi="宋体" w:eastAsia="宋体" w:cs="宋体"/>
                <w:color w:val="auto"/>
                <w:spacing w:val="4"/>
                <w:highlight w:val="none"/>
              </w:rPr>
            </w:pPr>
            <w:r>
              <w:rPr>
                <w:rFonts w:hint="eastAsia"/>
                <w:color w:val="auto"/>
                <w:highlight w:val="none"/>
                <w:lang w:val="en-US" w:eastAsia="zh-CN"/>
              </w:rPr>
              <w:t>1161.96万元</w:t>
            </w:r>
          </w:p>
        </w:tc>
      </w:tr>
      <w:tr w14:paraId="02CD4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34D87F2E">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1.1.7</w:t>
            </w:r>
          </w:p>
        </w:tc>
        <w:tc>
          <w:tcPr>
            <w:tcW w:w="2121" w:type="dxa"/>
            <w:vAlign w:val="top"/>
          </w:tcPr>
          <w:p w14:paraId="114348F7">
            <w:pPr>
              <w:pStyle w:val="18"/>
              <w:spacing w:before="147" w:line="221" w:lineRule="auto"/>
              <w:ind w:left="460"/>
              <w:rPr>
                <w:color w:val="auto"/>
                <w:highlight w:val="none"/>
              </w:rPr>
            </w:pPr>
            <w:r>
              <w:rPr>
                <w:color w:val="auto"/>
                <w:spacing w:val="-5"/>
                <w:highlight w:val="none"/>
              </w:rPr>
              <w:t>电子交易系统</w:t>
            </w:r>
          </w:p>
        </w:tc>
        <w:tc>
          <w:tcPr>
            <w:tcW w:w="5447" w:type="dxa"/>
            <w:vAlign w:val="top"/>
          </w:tcPr>
          <w:p w14:paraId="2A6D5ED8">
            <w:pPr>
              <w:pStyle w:val="18"/>
              <w:tabs>
                <w:tab w:val="left" w:pos="1643"/>
              </w:tabs>
              <w:spacing w:before="146" w:line="222" w:lineRule="auto"/>
              <w:ind w:left="103"/>
              <w:rPr>
                <w:color w:val="auto"/>
                <w:highlight w:val="none"/>
              </w:rPr>
            </w:pPr>
            <w:r>
              <w:rPr>
                <w:rFonts w:hint="eastAsia"/>
                <w:color w:val="auto"/>
                <w:highlight w:val="none"/>
              </w:rPr>
              <w:t>辽宁省房屋建筑和市政工程电子交易系统</w:t>
            </w:r>
            <w:r>
              <w:rPr>
                <w:rFonts w:hint="eastAsia"/>
                <w:color w:val="auto"/>
                <w:highlight w:val="none"/>
              </w:rPr>
              <w:br w:type="textWrapping"/>
            </w:r>
            <w:r>
              <w:rPr>
                <w:rFonts w:hint="eastAsia"/>
                <w:color w:val="auto"/>
                <w:highlight w:val="none"/>
              </w:rPr>
              <w:t>（工程咨询）</w:t>
            </w:r>
          </w:p>
        </w:tc>
      </w:tr>
      <w:tr w14:paraId="2409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65F2F932">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1.2.1</w:t>
            </w:r>
          </w:p>
        </w:tc>
        <w:tc>
          <w:tcPr>
            <w:tcW w:w="2121" w:type="dxa"/>
            <w:vAlign w:val="top"/>
          </w:tcPr>
          <w:p w14:paraId="6F9AB209">
            <w:pPr>
              <w:pStyle w:val="18"/>
              <w:spacing w:before="146" w:line="221" w:lineRule="auto"/>
              <w:ind w:left="656"/>
              <w:rPr>
                <w:color w:val="auto"/>
                <w:highlight w:val="none"/>
              </w:rPr>
            </w:pPr>
            <w:r>
              <w:rPr>
                <w:color w:val="auto"/>
                <w:spacing w:val="-3"/>
                <w:highlight w:val="none"/>
              </w:rPr>
              <w:t>资金来源</w:t>
            </w:r>
          </w:p>
        </w:tc>
        <w:tc>
          <w:tcPr>
            <w:tcW w:w="5447" w:type="dxa"/>
            <w:vAlign w:val="center"/>
          </w:tcPr>
          <w:p w14:paraId="6E3297AD">
            <w:pPr>
              <w:jc w:val="left"/>
              <w:rPr>
                <w:rFonts w:hint="default" w:ascii="Arial" w:eastAsia="仿宋_GB2312"/>
                <w:color w:val="auto"/>
                <w:sz w:val="21"/>
                <w:highlight w:val="none"/>
                <w:lang w:val="en-US" w:eastAsia="zh-CN"/>
              </w:rPr>
            </w:pPr>
            <w:r>
              <w:rPr>
                <w:rFonts w:hint="eastAsia" w:ascii="宋体" w:hAnsi="宋体" w:eastAsia="宋体" w:cs="宋体"/>
                <w:snapToGrid w:val="0"/>
                <w:color w:val="auto"/>
                <w:kern w:val="0"/>
                <w:sz w:val="21"/>
                <w:szCs w:val="21"/>
                <w:highlight w:val="none"/>
                <w:lang w:val="en-US" w:eastAsia="zh-CN" w:bidi="ar-SA"/>
              </w:rPr>
              <w:t>自筹资金</w:t>
            </w:r>
          </w:p>
        </w:tc>
      </w:tr>
      <w:tr w14:paraId="684D5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54" w:type="dxa"/>
            <w:vAlign w:val="top"/>
          </w:tcPr>
          <w:p w14:paraId="69159BA7">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1.2.2</w:t>
            </w:r>
          </w:p>
        </w:tc>
        <w:tc>
          <w:tcPr>
            <w:tcW w:w="2121" w:type="dxa"/>
            <w:vAlign w:val="center"/>
          </w:tcPr>
          <w:p w14:paraId="33D12BDF">
            <w:pPr>
              <w:spacing w:line="240" w:lineRule="auto"/>
              <w:jc w:val="center"/>
              <w:rPr>
                <w:rFonts w:hint="default" w:ascii="宋体" w:hAnsi="宋体" w:eastAsia="宋体" w:cs="宋体"/>
                <w:snapToGrid w:val="0"/>
                <w:color w:val="auto"/>
                <w:spacing w:val="4"/>
                <w:kern w:val="0"/>
                <w:sz w:val="21"/>
                <w:szCs w:val="21"/>
                <w:highlight w:val="none"/>
                <w:lang w:val="en-US" w:eastAsia="en-US" w:bidi="ar-SA"/>
              </w:rPr>
            </w:pPr>
            <w:r>
              <w:rPr>
                <w:rFonts w:hint="default" w:ascii="宋体" w:hAnsi="宋体" w:eastAsia="宋体" w:cs="宋体"/>
                <w:snapToGrid w:val="0"/>
                <w:color w:val="auto"/>
                <w:spacing w:val="4"/>
                <w:kern w:val="0"/>
                <w:sz w:val="21"/>
                <w:szCs w:val="21"/>
                <w:highlight w:val="none"/>
                <w:lang w:val="en-US" w:eastAsia="en-US" w:bidi="ar-SA"/>
              </w:rPr>
              <w:t>出资比例</w:t>
            </w:r>
          </w:p>
        </w:tc>
        <w:tc>
          <w:tcPr>
            <w:tcW w:w="5447" w:type="dxa"/>
            <w:vAlign w:val="center"/>
          </w:tcPr>
          <w:p w14:paraId="41F709C1">
            <w:pPr>
              <w:spacing w:line="240" w:lineRule="auto"/>
              <w:jc w:val="left"/>
              <w:rPr>
                <w:rFonts w:hint="default" w:ascii="宋体" w:hAnsi="宋体" w:eastAsia="宋体" w:cs="宋体"/>
                <w:snapToGrid w:val="0"/>
                <w:color w:val="auto"/>
                <w:spacing w:val="4"/>
                <w:kern w:val="0"/>
                <w:sz w:val="21"/>
                <w:szCs w:val="21"/>
                <w:highlight w:val="none"/>
                <w:lang w:val="en-US" w:eastAsia="zh-CN" w:bidi="ar-SA"/>
              </w:rPr>
            </w:pPr>
            <w:r>
              <w:rPr>
                <w:rFonts w:hint="eastAsia" w:ascii="宋体" w:hAnsi="宋体" w:eastAsia="宋体" w:cs="宋体"/>
                <w:snapToGrid w:val="0"/>
                <w:color w:val="auto"/>
                <w:spacing w:val="4"/>
                <w:kern w:val="0"/>
                <w:sz w:val="21"/>
                <w:szCs w:val="21"/>
                <w:highlight w:val="none"/>
                <w:lang w:val="en-US" w:eastAsia="zh-CN" w:bidi="ar-SA"/>
              </w:rPr>
              <w:t>100%自筹资金</w:t>
            </w:r>
          </w:p>
        </w:tc>
      </w:tr>
      <w:tr w14:paraId="5DFBB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424B0AB2">
            <w:pPr>
              <w:spacing w:before="189"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1.2.3</w:t>
            </w:r>
          </w:p>
        </w:tc>
        <w:tc>
          <w:tcPr>
            <w:tcW w:w="2121" w:type="dxa"/>
            <w:vAlign w:val="top"/>
          </w:tcPr>
          <w:p w14:paraId="721710DC">
            <w:pPr>
              <w:spacing w:line="240" w:lineRule="auto"/>
              <w:jc w:val="center"/>
              <w:rPr>
                <w:rFonts w:hint="default" w:ascii="宋体" w:hAnsi="宋体" w:eastAsia="宋体" w:cs="宋体"/>
                <w:snapToGrid w:val="0"/>
                <w:color w:val="auto"/>
                <w:spacing w:val="4"/>
                <w:kern w:val="0"/>
                <w:sz w:val="21"/>
                <w:szCs w:val="21"/>
                <w:highlight w:val="none"/>
                <w:lang w:val="en-US" w:eastAsia="en-US" w:bidi="ar-SA"/>
              </w:rPr>
            </w:pPr>
            <w:r>
              <w:rPr>
                <w:rFonts w:hint="default" w:ascii="宋体" w:hAnsi="宋体" w:eastAsia="宋体" w:cs="宋体"/>
                <w:snapToGrid w:val="0"/>
                <w:color w:val="auto"/>
                <w:spacing w:val="4"/>
                <w:kern w:val="0"/>
                <w:sz w:val="21"/>
                <w:szCs w:val="21"/>
                <w:highlight w:val="none"/>
                <w:lang w:val="en-US" w:eastAsia="en-US" w:bidi="ar-SA"/>
              </w:rPr>
              <w:t>标段合同估算价</w:t>
            </w:r>
          </w:p>
        </w:tc>
        <w:tc>
          <w:tcPr>
            <w:tcW w:w="5447" w:type="dxa"/>
            <w:vAlign w:val="top"/>
          </w:tcPr>
          <w:p w14:paraId="049E9114">
            <w:pPr>
              <w:spacing w:line="240" w:lineRule="auto"/>
              <w:jc w:val="left"/>
              <w:rPr>
                <w:rFonts w:hint="default" w:ascii="宋体" w:hAnsi="宋体" w:eastAsia="宋体" w:cs="宋体"/>
                <w:snapToGrid w:val="0"/>
                <w:color w:val="auto"/>
                <w:spacing w:val="4"/>
                <w:kern w:val="0"/>
                <w:sz w:val="21"/>
                <w:szCs w:val="21"/>
                <w:highlight w:val="none"/>
                <w:lang w:val="en-US" w:eastAsia="en-US" w:bidi="ar-SA"/>
              </w:rPr>
            </w:pPr>
            <w:r>
              <w:rPr>
                <w:rFonts w:hint="eastAsia" w:ascii="宋体" w:hAnsi="宋体" w:eastAsia="宋体" w:cs="宋体"/>
                <w:snapToGrid w:val="0"/>
                <w:color w:val="auto"/>
                <w:spacing w:val="4"/>
                <w:kern w:val="0"/>
                <w:sz w:val="21"/>
                <w:szCs w:val="21"/>
                <w:highlight w:val="none"/>
                <w:lang w:val="en-US" w:eastAsia="zh-CN" w:bidi="ar-SA"/>
              </w:rPr>
              <w:t>1161.96万元</w:t>
            </w:r>
          </w:p>
        </w:tc>
      </w:tr>
      <w:tr w14:paraId="6B86D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2ABF75B3">
            <w:pPr>
              <w:spacing w:before="184"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1.2.4</w:t>
            </w:r>
          </w:p>
        </w:tc>
        <w:tc>
          <w:tcPr>
            <w:tcW w:w="2121" w:type="dxa"/>
            <w:vAlign w:val="top"/>
          </w:tcPr>
          <w:p w14:paraId="2BC2FE4A">
            <w:pPr>
              <w:spacing w:line="240" w:lineRule="auto"/>
              <w:jc w:val="center"/>
              <w:rPr>
                <w:rFonts w:hint="default" w:ascii="宋体" w:hAnsi="宋体" w:eastAsia="宋体" w:cs="宋体"/>
                <w:snapToGrid w:val="0"/>
                <w:color w:val="auto"/>
                <w:spacing w:val="4"/>
                <w:kern w:val="0"/>
                <w:sz w:val="21"/>
                <w:szCs w:val="21"/>
                <w:highlight w:val="none"/>
                <w:lang w:val="en-US" w:eastAsia="en-US" w:bidi="ar-SA"/>
              </w:rPr>
            </w:pPr>
            <w:r>
              <w:rPr>
                <w:rFonts w:hint="default" w:ascii="宋体" w:hAnsi="宋体" w:eastAsia="宋体" w:cs="宋体"/>
                <w:snapToGrid w:val="0"/>
                <w:color w:val="auto"/>
                <w:spacing w:val="4"/>
                <w:kern w:val="0"/>
                <w:sz w:val="21"/>
                <w:szCs w:val="21"/>
                <w:highlight w:val="none"/>
                <w:lang w:val="en-US" w:eastAsia="en-US" w:bidi="ar-SA"/>
              </w:rPr>
              <w:t>资金落实情况</w:t>
            </w:r>
          </w:p>
        </w:tc>
        <w:tc>
          <w:tcPr>
            <w:tcW w:w="5447" w:type="dxa"/>
            <w:vAlign w:val="top"/>
          </w:tcPr>
          <w:p w14:paraId="53B6C466">
            <w:pPr>
              <w:spacing w:line="240" w:lineRule="auto"/>
              <w:jc w:val="left"/>
              <w:rPr>
                <w:rFonts w:hint="default" w:ascii="宋体" w:hAnsi="宋体" w:eastAsia="宋体" w:cs="宋体"/>
                <w:snapToGrid w:val="0"/>
                <w:color w:val="auto"/>
                <w:spacing w:val="4"/>
                <w:kern w:val="0"/>
                <w:sz w:val="21"/>
                <w:szCs w:val="21"/>
                <w:highlight w:val="none"/>
                <w:lang w:val="en-US" w:eastAsia="en-US" w:bidi="ar-SA"/>
              </w:rPr>
            </w:pPr>
            <w:r>
              <w:rPr>
                <w:rFonts w:hint="eastAsia" w:ascii="宋体" w:hAnsi="宋体" w:eastAsia="宋体" w:cs="宋体"/>
                <w:snapToGrid w:val="0"/>
                <w:color w:val="auto"/>
                <w:spacing w:val="4"/>
                <w:kern w:val="0"/>
                <w:sz w:val="21"/>
                <w:szCs w:val="21"/>
                <w:highlight w:val="none"/>
                <w:lang w:val="en-US" w:eastAsia="zh-CN" w:bidi="ar-SA"/>
              </w:rPr>
              <w:t>已落实</w:t>
            </w:r>
          </w:p>
        </w:tc>
      </w:tr>
      <w:tr w14:paraId="26623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4" w:type="dxa"/>
            <w:vAlign w:val="top"/>
          </w:tcPr>
          <w:p w14:paraId="488A9B25">
            <w:pPr>
              <w:spacing w:line="463" w:lineRule="auto"/>
              <w:rPr>
                <w:rFonts w:ascii="Arial"/>
                <w:color w:val="auto"/>
                <w:sz w:val="21"/>
                <w:highlight w:val="none"/>
              </w:rPr>
            </w:pPr>
          </w:p>
          <w:p w14:paraId="128420C8">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1.3.1</w:t>
            </w:r>
          </w:p>
        </w:tc>
        <w:tc>
          <w:tcPr>
            <w:tcW w:w="2121" w:type="dxa"/>
            <w:vAlign w:val="top"/>
          </w:tcPr>
          <w:p w14:paraId="2C7B6B57">
            <w:pPr>
              <w:spacing w:line="419" w:lineRule="auto"/>
              <w:rPr>
                <w:rFonts w:ascii="Arial"/>
                <w:color w:val="auto"/>
                <w:sz w:val="21"/>
                <w:highlight w:val="none"/>
              </w:rPr>
            </w:pPr>
          </w:p>
          <w:p w14:paraId="18656DE4">
            <w:pPr>
              <w:pStyle w:val="18"/>
              <w:spacing w:before="68" w:line="221" w:lineRule="auto"/>
              <w:ind w:left="648"/>
              <w:rPr>
                <w:color w:val="auto"/>
                <w:highlight w:val="none"/>
              </w:rPr>
            </w:pPr>
            <w:r>
              <w:rPr>
                <w:color w:val="auto"/>
                <w:spacing w:val="-1"/>
                <w:highlight w:val="none"/>
              </w:rPr>
              <w:t>招标范围</w:t>
            </w:r>
          </w:p>
        </w:tc>
        <w:tc>
          <w:tcPr>
            <w:tcW w:w="5447" w:type="dxa"/>
            <w:vAlign w:val="top"/>
          </w:tcPr>
          <w:p w14:paraId="6C939BD9">
            <w:pPr>
              <w:spacing w:line="397" w:lineRule="auto"/>
              <w:rPr>
                <w:rFonts w:ascii="Arial"/>
                <w:color w:val="auto"/>
                <w:sz w:val="21"/>
                <w:highlight w:val="none"/>
              </w:rPr>
            </w:pPr>
            <w:r>
              <w:rPr>
                <w:rFonts w:hint="eastAsia"/>
                <w:color w:val="auto"/>
                <w:highlight w:val="none"/>
                <w:lang w:eastAsia="zh-CN"/>
              </w:rPr>
              <w:t>拟建国网辽宁营口鲅鱼圈供电分公司运维检修用房项目，利用现有存量土地位于鲅鱼圈供电分公司院内，建筑面积2513平方米，主要布置主要功能区为生产班组用房 、输电运维工器具、变电运维工器具、变电运维备品备件、输电运维备品备件库房等。</w:t>
            </w:r>
          </w:p>
          <w:p w14:paraId="4C7388F1">
            <w:pPr>
              <w:pStyle w:val="18"/>
              <w:spacing w:before="134" w:line="220" w:lineRule="auto"/>
              <w:rPr>
                <w:color w:val="auto"/>
                <w:highlight w:val="none"/>
              </w:rPr>
            </w:pPr>
            <w:r>
              <w:rPr>
                <w:color w:val="auto"/>
                <w:spacing w:val="-1"/>
                <w:highlight w:val="none"/>
              </w:rPr>
              <w:t>关于招标范围的详细说明见第七章“技术标准和要求”。</w:t>
            </w:r>
          </w:p>
        </w:tc>
      </w:tr>
      <w:tr w14:paraId="4CAA7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854" w:type="dxa"/>
            <w:vAlign w:val="top"/>
          </w:tcPr>
          <w:p w14:paraId="3BC2AAF6">
            <w:pPr>
              <w:spacing w:line="243" w:lineRule="auto"/>
              <w:rPr>
                <w:rFonts w:ascii="Arial"/>
                <w:color w:val="auto"/>
                <w:sz w:val="21"/>
                <w:highlight w:val="none"/>
              </w:rPr>
            </w:pPr>
          </w:p>
          <w:p w14:paraId="0EF2018B">
            <w:pPr>
              <w:spacing w:line="243" w:lineRule="auto"/>
              <w:rPr>
                <w:rFonts w:ascii="Arial"/>
                <w:color w:val="auto"/>
                <w:sz w:val="21"/>
                <w:highlight w:val="none"/>
              </w:rPr>
            </w:pPr>
          </w:p>
          <w:p w14:paraId="435B0B43">
            <w:pPr>
              <w:spacing w:line="244" w:lineRule="auto"/>
              <w:rPr>
                <w:rFonts w:ascii="Arial"/>
                <w:color w:val="auto"/>
                <w:sz w:val="21"/>
                <w:highlight w:val="none"/>
              </w:rPr>
            </w:pPr>
          </w:p>
          <w:p w14:paraId="412800D6">
            <w:pPr>
              <w:spacing w:line="244" w:lineRule="auto"/>
              <w:rPr>
                <w:rFonts w:ascii="Arial"/>
                <w:color w:val="auto"/>
                <w:sz w:val="21"/>
                <w:highlight w:val="none"/>
              </w:rPr>
            </w:pPr>
          </w:p>
          <w:p w14:paraId="209409F9">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1.3.2</w:t>
            </w:r>
          </w:p>
        </w:tc>
        <w:tc>
          <w:tcPr>
            <w:tcW w:w="2121" w:type="dxa"/>
            <w:vAlign w:val="top"/>
          </w:tcPr>
          <w:p w14:paraId="2F314F5E">
            <w:pPr>
              <w:spacing w:line="310" w:lineRule="auto"/>
              <w:rPr>
                <w:rFonts w:ascii="Arial"/>
                <w:color w:val="auto"/>
                <w:sz w:val="21"/>
                <w:highlight w:val="none"/>
              </w:rPr>
            </w:pPr>
          </w:p>
          <w:p w14:paraId="0D2CFAD2">
            <w:pPr>
              <w:spacing w:line="310" w:lineRule="auto"/>
              <w:rPr>
                <w:rFonts w:ascii="Arial"/>
                <w:color w:val="auto"/>
                <w:sz w:val="21"/>
                <w:highlight w:val="none"/>
              </w:rPr>
            </w:pPr>
          </w:p>
          <w:p w14:paraId="344A36E7">
            <w:pPr>
              <w:spacing w:line="310" w:lineRule="auto"/>
              <w:rPr>
                <w:rFonts w:ascii="Arial"/>
                <w:color w:val="auto"/>
                <w:sz w:val="21"/>
                <w:highlight w:val="none"/>
              </w:rPr>
            </w:pPr>
          </w:p>
          <w:p w14:paraId="44D27B73">
            <w:pPr>
              <w:pStyle w:val="18"/>
              <w:spacing w:before="68" w:line="221" w:lineRule="auto"/>
              <w:ind w:left="647"/>
              <w:rPr>
                <w:color w:val="auto"/>
                <w:highlight w:val="none"/>
              </w:rPr>
            </w:pPr>
            <w:r>
              <w:rPr>
                <w:color w:val="auto"/>
                <w:spacing w:val="-1"/>
                <w:highlight w:val="none"/>
              </w:rPr>
              <w:t>计划工期</w:t>
            </w:r>
          </w:p>
        </w:tc>
        <w:tc>
          <w:tcPr>
            <w:tcW w:w="5447" w:type="dxa"/>
            <w:vAlign w:val="top"/>
          </w:tcPr>
          <w:p w14:paraId="696192E4">
            <w:pPr>
              <w:pStyle w:val="18"/>
              <w:spacing w:before="202" w:line="221" w:lineRule="auto"/>
              <w:ind w:left="111"/>
              <w:rPr>
                <w:color w:val="auto"/>
                <w:highlight w:val="none"/>
              </w:rPr>
            </w:pPr>
            <w:r>
              <w:rPr>
                <w:color w:val="auto"/>
                <w:spacing w:val="-26"/>
                <w:highlight w:val="none"/>
              </w:rPr>
              <w:t>计划工期：</w:t>
            </w:r>
            <w:r>
              <w:rPr>
                <w:color w:val="auto"/>
                <w:spacing w:val="49"/>
                <w:highlight w:val="none"/>
              </w:rPr>
              <w:t xml:space="preserve"> </w:t>
            </w:r>
            <w:r>
              <w:rPr>
                <w:color w:val="auto"/>
                <w:spacing w:val="17"/>
                <w:highlight w:val="none"/>
                <w:u w:val="single" w:color="auto"/>
              </w:rPr>
              <w:t xml:space="preserve"> </w:t>
            </w:r>
            <w:r>
              <w:rPr>
                <w:rFonts w:hint="eastAsia"/>
                <w:color w:val="auto"/>
                <w:spacing w:val="17"/>
                <w:highlight w:val="none"/>
                <w:u w:val="single" w:color="auto"/>
                <w:lang w:val="en-US" w:eastAsia="zh-CN"/>
              </w:rPr>
              <w:t>**日历天</w:t>
            </w:r>
            <w:r>
              <w:rPr>
                <w:color w:val="auto"/>
                <w:spacing w:val="-26"/>
                <w:highlight w:val="none"/>
              </w:rPr>
              <w:t>；</w:t>
            </w:r>
          </w:p>
          <w:p w14:paraId="0ACC35B6">
            <w:pPr>
              <w:pStyle w:val="18"/>
              <w:spacing w:before="69" w:line="279" w:lineRule="auto"/>
              <w:ind w:left="111"/>
              <w:rPr>
                <w:color w:val="auto"/>
                <w:highlight w:val="none"/>
              </w:rPr>
            </w:pPr>
            <w:r>
              <w:rPr>
                <w:color w:val="auto"/>
                <w:spacing w:val="-7"/>
                <w:highlight w:val="none"/>
              </w:rPr>
              <w:t>计划开工日期：</w:t>
            </w:r>
            <w:r>
              <w:rPr>
                <w:color w:val="auto"/>
                <w:spacing w:val="-28"/>
                <w:highlight w:val="none"/>
              </w:rPr>
              <w:t xml:space="preserve"> </w:t>
            </w:r>
            <w:r>
              <w:rPr>
                <w:rFonts w:hint="eastAsia"/>
                <w:color w:val="auto"/>
                <w:spacing w:val="10"/>
                <w:highlight w:val="none"/>
                <w:u w:val="single" w:color="auto"/>
                <w:lang w:val="en-US" w:eastAsia="zh-CN"/>
              </w:rPr>
              <w:t>2026</w:t>
            </w:r>
            <w:r>
              <w:rPr>
                <w:rFonts w:hint="eastAsia"/>
                <w:color w:val="auto"/>
                <w:spacing w:val="10"/>
                <w:highlight w:val="none"/>
                <w:u w:val="none" w:color="auto"/>
                <w:lang w:val="en-US" w:eastAsia="zh-CN"/>
              </w:rPr>
              <w:t>年</w:t>
            </w:r>
            <w:r>
              <w:rPr>
                <w:rFonts w:hint="eastAsia"/>
                <w:color w:val="auto"/>
                <w:spacing w:val="10"/>
                <w:highlight w:val="none"/>
                <w:u w:val="single" w:color="auto"/>
                <w:lang w:val="en-US" w:eastAsia="zh-CN"/>
              </w:rPr>
              <w:t>**</w:t>
            </w:r>
            <w:r>
              <w:rPr>
                <w:rFonts w:hint="eastAsia"/>
                <w:color w:val="auto"/>
                <w:spacing w:val="10"/>
                <w:highlight w:val="none"/>
                <w:u w:val="none" w:color="auto"/>
                <w:lang w:val="en-US" w:eastAsia="zh-CN"/>
              </w:rPr>
              <w:t>月</w:t>
            </w:r>
            <w:r>
              <w:rPr>
                <w:rFonts w:hint="eastAsia"/>
                <w:color w:val="auto"/>
                <w:spacing w:val="10"/>
                <w:highlight w:val="none"/>
                <w:u w:val="single" w:color="auto"/>
                <w:lang w:val="en-US" w:eastAsia="zh-CN"/>
              </w:rPr>
              <w:t>**日</w:t>
            </w:r>
          </w:p>
          <w:p w14:paraId="571493F3">
            <w:pPr>
              <w:pStyle w:val="18"/>
              <w:spacing w:line="220" w:lineRule="auto"/>
              <w:ind w:left="111"/>
              <w:rPr>
                <w:color w:val="auto"/>
                <w:highlight w:val="none"/>
              </w:rPr>
            </w:pPr>
            <w:r>
              <w:rPr>
                <w:color w:val="auto"/>
                <w:spacing w:val="-13"/>
                <w:highlight w:val="none"/>
              </w:rPr>
              <w:t>计划竣工日期：</w:t>
            </w:r>
            <w:r>
              <w:rPr>
                <w:color w:val="auto"/>
                <w:spacing w:val="-27"/>
                <w:highlight w:val="none"/>
              </w:rPr>
              <w:t xml:space="preserve"> </w:t>
            </w:r>
            <w:r>
              <w:rPr>
                <w:rFonts w:hint="eastAsia"/>
                <w:color w:val="auto"/>
                <w:spacing w:val="10"/>
                <w:highlight w:val="none"/>
                <w:u w:val="single" w:color="auto"/>
                <w:lang w:val="en-US" w:eastAsia="zh-CN"/>
              </w:rPr>
              <w:t>2027</w:t>
            </w:r>
            <w:r>
              <w:rPr>
                <w:color w:val="auto"/>
                <w:spacing w:val="-13"/>
                <w:highlight w:val="none"/>
              </w:rPr>
              <w:t>年</w:t>
            </w:r>
            <w:r>
              <w:rPr>
                <w:rFonts w:hint="eastAsia"/>
                <w:color w:val="auto"/>
                <w:spacing w:val="-13"/>
                <w:highlight w:val="none"/>
                <w:u w:val="single"/>
                <w:lang w:val="en-US" w:eastAsia="zh-CN"/>
              </w:rPr>
              <w:t xml:space="preserve"> 12 </w:t>
            </w:r>
            <w:r>
              <w:rPr>
                <w:color w:val="auto"/>
                <w:spacing w:val="-13"/>
                <w:highlight w:val="none"/>
              </w:rPr>
              <w:t>月</w:t>
            </w:r>
            <w:r>
              <w:rPr>
                <w:rFonts w:hint="eastAsia"/>
                <w:color w:val="auto"/>
                <w:spacing w:val="14"/>
                <w:highlight w:val="none"/>
                <w:u w:val="single" w:color="auto"/>
                <w:lang w:val="en-US" w:eastAsia="zh-CN"/>
              </w:rPr>
              <w:t>31</w:t>
            </w:r>
            <w:r>
              <w:rPr>
                <w:color w:val="auto"/>
                <w:spacing w:val="-13"/>
                <w:highlight w:val="none"/>
              </w:rPr>
              <w:t>日。</w:t>
            </w:r>
          </w:p>
          <w:p w14:paraId="7C02243C">
            <w:pPr>
              <w:pStyle w:val="18"/>
              <w:spacing w:before="70" w:line="221" w:lineRule="auto"/>
              <w:ind w:left="123"/>
              <w:rPr>
                <w:color w:val="auto"/>
                <w:highlight w:val="none"/>
              </w:rPr>
            </w:pPr>
            <w:r>
              <w:rPr>
                <w:color w:val="auto"/>
                <w:spacing w:val="-3"/>
                <w:highlight w:val="none"/>
              </w:rPr>
              <w:t>除上述总工期外，发包人还要求以下区段工期：</w:t>
            </w:r>
          </w:p>
          <w:p w14:paraId="0CFA22E6">
            <w:pPr>
              <w:pStyle w:val="18"/>
              <w:tabs>
                <w:tab w:val="left" w:pos="2340"/>
              </w:tabs>
              <w:spacing w:before="206" w:line="174" w:lineRule="auto"/>
              <w:ind w:left="103"/>
              <w:rPr>
                <w:color w:val="auto"/>
                <w:sz w:val="7"/>
                <w:szCs w:val="7"/>
                <w:highlight w:val="none"/>
              </w:rPr>
            </w:pPr>
            <w:r>
              <w:rPr>
                <w:rFonts w:hint="eastAsia"/>
                <w:color w:val="auto"/>
                <w:sz w:val="7"/>
                <w:szCs w:val="7"/>
                <w:highlight w:val="none"/>
                <w:u w:val="single" w:color="auto"/>
                <w:lang w:val="en-US" w:eastAsia="zh-CN"/>
              </w:rPr>
              <w:t>/</w:t>
            </w:r>
            <w:r>
              <w:rPr>
                <w:color w:val="auto"/>
                <w:sz w:val="7"/>
                <w:szCs w:val="7"/>
                <w:highlight w:val="none"/>
                <w:u w:val="single" w:color="auto"/>
              </w:rPr>
              <w:tab/>
            </w:r>
            <w:r>
              <w:rPr>
                <w:color w:val="auto"/>
                <w:sz w:val="7"/>
                <w:szCs w:val="7"/>
                <w:highlight w:val="none"/>
                <w:u w:val="single" w:color="auto"/>
              </w:rPr>
              <w:t xml:space="preserve">。    </w:t>
            </w:r>
          </w:p>
          <w:p w14:paraId="447A8EB7">
            <w:pPr>
              <w:pStyle w:val="18"/>
              <w:spacing w:before="115" w:line="220" w:lineRule="auto"/>
              <w:ind w:left="112"/>
              <w:rPr>
                <w:color w:val="auto"/>
                <w:highlight w:val="none"/>
              </w:rPr>
            </w:pPr>
            <w:r>
              <w:rPr>
                <w:color w:val="auto"/>
                <w:spacing w:val="-1"/>
                <w:highlight w:val="none"/>
              </w:rPr>
              <w:t>有关工期的详细要求见第七章“技术标准和要求”。</w:t>
            </w:r>
          </w:p>
        </w:tc>
      </w:tr>
    </w:tbl>
    <w:p w14:paraId="5F6F39F7">
      <w:pPr>
        <w:pStyle w:val="5"/>
        <w:rPr>
          <w:color w:val="auto"/>
          <w:highlight w:val="none"/>
        </w:rPr>
      </w:pPr>
    </w:p>
    <w:p w14:paraId="74072617">
      <w:pPr>
        <w:rPr>
          <w:color w:val="auto"/>
          <w:highlight w:val="none"/>
        </w:rPr>
        <w:sectPr>
          <w:footerReference r:id="rId11" w:type="default"/>
          <w:pgSz w:w="11905" w:h="16839"/>
          <w:pgMar w:top="1421" w:right="1733" w:bottom="1036" w:left="1742" w:header="0" w:footer="847" w:gutter="0"/>
          <w:pgNumType w:fmt="decimal"/>
          <w:cols w:space="720" w:num="1"/>
        </w:sectPr>
      </w:pPr>
    </w:p>
    <w:p w14:paraId="0826BF2C">
      <w:pPr>
        <w:spacing w:line="95" w:lineRule="auto"/>
        <w:rPr>
          <w:rFonts w:ascii="Arial"/>
          <w:color w:val="auto"/>
          <w:sz w:val="2"/>
          <w:highlight w:val="none"/>
        </w:rPr>
      </w:pPr>
    </w:p>
    <w:tbl>
      <w:tblPr>
        <w:tblStyle w:val="17"/>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F96C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70" w:hRule="atLeast"/>
        </w:trPr>
        <w:tc>
          <w:tcPr>
            <w:tcW w:w="854" w:type="dxa"/>
            <w:vAlign w:val="top"/>
          </w:tcPr>
          <w:p w14:paraId="6DA92A03">
            <w:pPr>
              <w:spacing w:line="373" w:lineRule="auto"/>
              <w:rPr>
                <w:rFonts w:ascii="Arial"/>
                <w:color w:val="auto"/>
                <w:sz w:val="21"/>
                <w:highlight w:val="none"/>
              </w:rPr>
            </w:pPr>
          </w:p>
          <w:p w14:paraId="4ED50CA5">
            <w:pPr>
              <w:spacing w:before="60" w:line="189" w:lineRule="auto"/>
              <w:ind w:left="236"/>
              <w:rPr>
                <w:rFonts w:ascii="Times New Roman" w:hAnsi="Times New Roman" w:eastAsia="Times New Roman" w:cs="Times New Roman"/>
                <w:color w:val="auto"/>
                <w:sz w:val="21"/>
                <w:szCs w:val="21"/>
                <w:highlight w:val="none"/>
              </w:rPr>
            </w:pPr>
            <w:bookmarkStart w:id="29" w:name="bookmark50"/>
            <w:bookmarkEnd w:id="29"/>
            <w:bookmarkStart w:id="30" w:name="bookmark51"/>
            <w:bookmarkEnd w:id="30"/>
            <w:r>
              <w:rPr>
                <w:rFonts w:ascii="Times New Roman" w:hAnsi="Times New Roman" w:eastAsia="Times New Roman" w:cs="Times New Roman"/>
                <w:color w:val="auto"/>
                <w:spacing w:val="-4"/>
                <w:sz w:val="21"/>
                <w:szCs w:val="21"/>
                <w:highlight w:val="none"/>
              </w:rPr>
              <w:t>1.3.3</w:t>
            </w:r>
          </w:p>
        </w:tc>
        <w:tc>
          <w:tcPr>
            <w:tcW w:w="2121" w:type="dxa"/>
            <w:vAlign w:val="top"/>
          </w:tcPr>
          <w:p w14:paraId="623C627C">
            <w:pPr>
              <w:spacing w:line="329" w:lineRule="auto"/>
              <w:rPr>
                <w:rFonts w:ascii="Arial"/>
                <w:color w:val="auto"/>
                <w:sz w:val="21"/>
                <w:highlight w:val="none"/>
              </w:rPr>
            </w:pPr>
          </w:p>
          <w:p w14:paraId="6EA79A69">
            <w:pPr>
              <w:pStyle w:val="18"/>
              <w:spacing w:before="68" w:line="221" w:lineRule="auto"/>
              <w:ind w:left="648"/>
              <w:rPr>
                <w:color w:val="auto"/>
                <w:highlight w:val="none"/>
              </w:rPr>
            </w:pPr>
            <w:r>
              <w:rPr>
                <w:color w:val="auto"/>
                <w:spacing w:val="-1"/>
                <w:highlight w:val="none"/>
              </w:rPr>
              <w:t>质量要求</w:t>
            </w:r>
          </w:p>
        </w:tc>
        <w:tc>
          <w:tcPr>
            <w:tcW w:w="5447" w:type="dxa"/>
            <w:vAlign w:val="top"/>
          </w:tcPr>
          <w:p w14:paraId="086AAB65">
            <w:pPr>
              <w:pStyle w:val="18"/>
              <w:spacing w:before="81" w:line="221" w:lineRule="auto"/>
              <w:ind w:left="112"/>
              <w:rPr>
                <w:color w:val="auto"/>
                <w:highlight w:val="none"/>
              </w:rPr>
            </w:pPr>
            <w:r>
              <w:rPr>
                <w:color w:val="auto"/>
                <w:spacing w:val="-21"/>
                <w:highlight w:val="none"/>
              </w:rPr>
              <w:t>质量目标：</w:t>
            </w:r>
            <w:r>
              <w:rPr>
                <w:color w:val="auto"/>
                <w:spacing w:val="52"/>
                <w:highlight w:val="none"/>
              </w:rPr>
              <w:t xml:space="preserve"> </w:t>
            </w:r>
            <w:r>
              <w:rPr>
                <w:color w:val="auto"/>
                <w:spacing w:val="-48"/>
                <w:highlight w:val="none"/>
                <w:u w:val="single" w:color="auto"/>
              </w:rPr>
              <w:t xml:space="preserve"> </w:t>
            </w:r>
            <w:r>
              <w:rPr>
                <w:color w:val="auto"/>
                <w:spacing w:val="-21"/>
                <w:highlight w:val="none"/>
                <w:u w:val="single" w:color="auto"/>
              </w:rPr>
              <w:t>合格；</w:t>
            </w:r>
          </w:p>
          <w:p w14:paraId="4532D9B6">
            <w:pPr>
              <w:pStyle w:val="18"/>
              <w:spacing w:before="66" w:line="221" w:lineRule="auto"/>
              <w:ind w:left="112"/>
              <w:rPr>
                <w:color w:val="auto"/>
                <w:highlight w:val="none"/>
              </w:rPr>
            </w:pPr>
            <w:r>
              <w:rPr>
                <w:color w:val="auto"/>
                <w:spacing w:val="-27"/>
                <w:highlight w:val="none"/>
              </w:rPr>
              <w:t>其他要求：</w:t>
            </w:r>
            <w:r>
              <w:rPr>
                <w:color w:val="auto"/>
                <w:spacing w:val="53"/>
                <w:highlight w:val="none"/>
              </w:rPr>
              <w:t xml:space="preserve"> </w:t>
            </w:r>
            <w:r>
              <w:rPr>
                <w:color w:val="auto"/>
                <w:spacing w:val="3"/>
                <w:highlight w:val="none"/>
                <w:u w:val="single" w:color="auto"/>
              </w:rPr>
              <w:t xml:space="preserve">             </w:t>
            </w:r>
            <w:r>
              <w:rPr>
                <w:color w:val="auto"/>
                <w:spacing w:val="-27"/>
                <w:highlight w:val="none"/>
                <w:u w:val="single" w:color="auto"/>
              </w:rPr>
              <w:t>。</w:t>
            </w:r>
          </w:p>
          <w:p w14:paraId="4E63BF5A">
            <w:pPr>
              <w:pStyle w:val="18"/>
              <w:spacing w:before="70" w:line="210" w:lineRule="auto"/>
              <w:ind w:left="114"/>
              <w:rPr>
                <w:color w:val="auto"/>
                <w:highlight w:val="none"/>
              </w:rPr>
            </w:pPr>
            <w:r>
              <w:rPr>
                <w:color w:val="auto"/>
                <w:spacing w:val="-1"/>
                <w:highlight w:val="none"/>
              </w:rPr>
              <w:t>关于质量要求的详细说明见第七章“技术标准和要求”。</w:t>
            </w:r>
          </w:p>
        </w:tc>
      </w:tr>
      <w:tr w14:paraId="0AB2B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14:paraId="57664BC8">
            <w:pPr>
              <w:spacing w:line="253" w:lineRule="auto"/>
              <w:rPr>
                <w:rFonts w:ascii="Arial"/>
                <w:color w:val="auto"/>
                <w:sz w:val="21"/>
                <w:highlight w:val="none"/>
              </w:rPr>
            </w:pPr>
          </w:p>
          <w:p w14:paraId="1D5F75AF">
            <w:pPr>
              <w:spacing w:line="253" w:lineRule="auto"/>
              <w:rPr>
                <w:rFonts w:ascii="Arial"/>
                <w:color w:val="auto"/>
                <w:sz w:val="21"/>
                <w:highlight w:val="none"/>
              </w:rPr>
            </w:pPr>
          </w:p>
          <w:p w14:paraId="4501D85A">
            <w:pPr>
              <w:spacing w:line="253" w:lineRule="auto"/>
              <w:rPr>
                <w:rFonts w:ascii="Arial"/>
                <w:color w:val="auto"/>
                <w:sz w:val="21"/>
                <w:highlight w:val="none"/>
              </w:rPr>
            </w:pPr>
          </w:p>
          <w:p w14:paraId="483ED654">
            <w:pPr>
              <w:spacing w:line="253" w:lineRule="auto"/>
              <w:rPr>
                <w:rFonts w:ascii="Arial"/>
                <w:color w:val="auto"/>
                <w:sz w:val="21"/>
                <w:highlight w:val="none"/>
              </w:rPr>
            </w:pPr>
          </w:p>
          <w:p w14:paraId="04A1E04B">
            <w:pPr>
              <w:spacing w:line="253" w:lineRule="auto"/>
              <w:rPr>
                <w:rFonts w:ascii="Arial"/>
                <w:color w:val="auto"/>
                <w:sz w:val="21"/>
                <w:highlight w:val="none"/>
              </w:rPr>
            </w:pPr>
          </w:p>
          <w:p w14:paraId="203AC5E4">
            <w:pPr>
              <w:spacing w:line="254" w:lineRule="auto"/>
              <w:rPr>
                <w:rFonts w:ascii="Arial"/>
                <w:color w:val="auto"/>
                <w:sz w:val="21"/>
                <w:highlight w:val="none"/>
              </w:rPr>
            </w:pPr>
          </w:p>
          <w:p w14:paraId="0EC2A4D9">
            <w:pPr>
              <w:spacing w:line="254" w:lineRule="auto"/>
              <w:rPr>
                <w:rFonts w:ascii="Arial"/>
                <w:color w:val="auto"/>
                <w:sz w:val="21"/>
                <w:highlight w:val="none"/>
              </w:rPr>
            </w:pPr>
          </w:p>
          <w:p w14:paraId="3C55F7A1">
            <w:pPr>
              <w:spacing w:line="254" w:lineRule="auto"/>
              <w:rPr>
                <w:rFonts w:ascii="Arial"/>
                <w:color w:val="auto"/>
                <w:sz w:val="21"/>
                <w:highlight w:val="none"/>
              </w:rPr>
            </w:pPr>
          </w:p>
          <w:p w14:paraId="3A9EA6DC">
            <w:pPr>
              <w:spacing w:line="254" w:lineRule="auto"/>
              <w:rPr>
                <w:rFonts w:ascii="Arial"/>
                <w:color w:val="auto"/>
                <w:sz w:val="21"/>
                <w:highlight w:val="none"/>
              </w:rPr>
            </w:pPr>
          </w:p>
          <w:p w14:paraId="4ECBF963">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1.4.1</w:t>
            </w:r>
          </w:p>
        </w:tc>
        <w:tc>
          <w:tcPr>
            <w:tcW w:w="2121" w:type="dxa"/>
            <w:vAlign w:val="top"/>
          </w:tcPr>
          <w:p w14:paraId="3C7F458B">
            <w:pPr>
              <w:spacing w:line="259" w:lineRule="auto"/>
              <w:rPr>
                <w:rFonts w:ascii="Arial"/>
                <w:color w:val="auto"/>
                <w:sz w:val="21"/>
                <w:highlight w:val="none"/>
              </w:rPr>
            </w:pPr>
          </w:p>
          <w:p w14:paraId="55DB13ED">
            <w:pPr>
              <w:spacing w:line="259" w:lineRule="auto"/>
              <w:rPr>
                <w:rFonts w:ascii="Arial"/>
                <w:color w:val="auto"/>
                <w:sz w:val="21"/>
                <w:highlight w:val="none"/>
              </w:rPr>
            </w:pPr>
          </w:p>
          <w:p w14:paraId="19CE2AC4">
            <w:pPr>
              <w:spacing w:line="259" w:lineRule="auto"/>
              <w:rPr>
                <w:rFonts w:ascii="Arial"/>
                <w:color w:val="auto"/>
                <w:sz w:val="21"/>
                <w:highlight w:val="none"/>
              </w:rPr>
            </w:pPr>
          </w:p>
          <w:p w14:paraId="44AD00A0">
            <w:pPr>
              <w:spacing w:line="259" w:lineRule="auto"/>
              <w:rPr>
                <w:rFonts w:ascii="Arial"/>
                <w:color w:val="auto"/>
                <w:sz w:val="21"/>
                <w:highlight w:val="none"/>
              </w:rPr>
            </w:pPr>
          </w:p>
          <w:p w14:paraId="661B03E0">
            <w:pPr>
              <w:spacing w:line="259" w:lineRule="auto"/>
              <w:rPr>
                <w:rFonts w:ascii="Arial"/>
                <w:color w:val="auto"/>
                <w:sz w:val="21"/>
                <w:highlight w:val="none"/>
              </w:rPr>
            </w:pPr>
          </w:p>
          <w:p w14:paraId="15B013B2">
            <w:pPr>
              <w:spacing w:line="260" w:lineRule="auto"/>
              <w:rPr>
                <w:rFonts w:ascii="Arial"/>
                <w:color w:val="auto"/>
                <w:sz w:val="21"/>
                <w:highlight w:val="none"/>
              </w:rPr>
            </w:pPr>
          </w:p>
          <w:p w14:paraId="5787831F">
            <w:pPr>
              <w:spacing w:line="260" w:lineRule="auto"/>
              <w:rPr>
                <w:rFonts w:ascii="Arial"/>
                <w:color w:val="auto"/>
                <w:sz w:val="21"/>
                <w:highlight w:val="none"/>
              </w:rPr>
            </w:pPr>
          </w:p>
          <w:p w14:paraId="5329245C">
            <w:pPr>
              <w:spacing w:line="260" w:lineRule="auto"/>
              <w:rPr>
                <w:rFonts w:ascii="Arial"/>
                <w:color w:val="auto"/>
                <w:sz w:val="21"/>
                <w:highlight w:val="none"/>
              </w:rPr>
            </w:pPr>
          </w:p>
          <w:p w14:paraId="75E6577A">
            <w:pPr>
              <w:pStyle w:val="18"/>
              <w:spacing w:before="69" w:line="251" w:lineRule="auto"/>
              <w:ind w:left="549" w:right="245" w:hanging="322"/>
              <w:rPr>
                <w:color w:val="auto"/>
                <w:highlight w:val="none"/>
              </w:rPr>
            </w:pPr>
            <w:r>
              <w:rPr>
                <w:color w:val="auto"/>
                <w:spacing w:val="-5"/>
                <w:highlight w:val="none"/>
              </w:rPr>
              <w:t>投标人资质条件、</w:t>
            </w:r>
            <w:r>
              <w:rPr>
                <w:color w:val="auto"/>
                <w:spacing w:val="1"/>
                <w:highlight w:val="none"/>
              </w:rPr>
              <w:t xml:space="preserve"> </w:t>
            </w:r>
            <w:r>
              <w:rPr>
                <w:color w:val="auto"/>
                <w:spacing w:val="-2"/>
                <w:highlight w:val="none"/>
              </w:rPr>
              <w:t>能力和信誉</w:t>
            </w:r>
          </w:p>
        </w:tc>
        <w:tc>
          <w:tcPr>
            <w:tcW w:w="5447" w:type="dxa"/>
            <w:vAlign w:val="top"/>
          </w:tcPr>
          <w:p w14:paraId="3F72B422">
            <w:pPr>
              <w:pStyle w:val="18"/>
              <w:spacing w:before="76" w:line="261" w:lineRule="auto"/>
              <w:ind w:left="114" w:right="109" w:firstLine="5"/>
              <w:rPr>
                <w:color w:val="auto"/>
                <w:highlight w:val="none"/>
              </w:rPr>
            </w:pPr>
            <w:r>
              <w:rPr>
                <w:color w:val="auto"/>
                <w:spacing w:val="-5"/>
                <w:highlight w:val="none"/>
                <w14:textOutline w14:w="3831" w14:cap="flat" w14:cmpd="sng">
                  <w14:solidFill>
                    <w14:srgbClr w14:val="000000"/>
                  </w14:solidFill>
                  <w14:prstDash w14:val="solid"/>
                  <w14:miter w14:val="0"/>
                </w14:textOutline>
              </w:rPr>
              <w:t>资质条件：具备</w:t>
            </w:r>
            <w:r>
              <w:rPr>
                <w:color w:val="auto"/>
                <w:spacing w:val="-104"/>
                <w:highlight w:val="none"/>
              </w:rPr>
              <w:t xml:space="preserve"> </w:t>
            </w:r>
            <w:r>
              <w:rPr>
                <w:rFonts w:ascii="宋体" w:hAnsi="宋体" w:eastAsia="宋体" w:cs="宋体"/>
                <w:color w:val="auto"/>
                <w:spacing w:val="-1"/>
                <w:sz w:val="21"/>
                <w:szCs w:val="21"/>
                <w:highlight w:val="none"/>
              </w:rPr>
              <w:t>具备 [施工总承包·</w:t>
            </w:r>
            <w:r>
              <w:rPr>
                <w:rFonts w:hint="eastAsia" w:cs="宋体"/>
                <w:color w:val="auto"/>
                <w:spacing w:val="-1"/>
                <w:sz w:val="21"/>
                <w:szCs w:val="21"/>
                <w:highlight w:val="none"/>
                <w:lang w:eastAsia="zh-CN"/>
              </w:rPr>
              <w:t>建筑工程</w:t>
            </w:r>
            <w:r>
              <w:rPr>
                <w:rFonts w:ascii="宋体" w:hAnsi="宋体" w:eastAsia="宋体" w:cs="宋体"/>
                <w:color w:val="auto"/>
                <w:spacing w:val="-1"/>
                <w:sz w:val="21"/>
                <w:szCs w:val="21"/>
                <w:highlight w:val="none"/>
              </w:rPr>
              <w:t>·</w:t>
            </w:r>
            <w:r>
              <w:rPr>
                <w:rFonts w:hint="eastAsia" w:cs="宋体"/>
                <w:color w:val="auto"/>
                <w:spacing w:val="-1"/>
                <w:sz w:val="21"/>
                <w:szCs w:val="21"/>
                <w:highlight w:val="none"/>
                <w:lang w:eastAsia="zh-CN"/>
              </w:rPr>
              <w:t>建筑工程二级</w:t>
            </w:r>
            <w:r>
              <w:rPr>
                <w:rFonts w:ascii="宋体" w:hAnsi="宋体" w:eastAsia="宋体" w:cs="宋体"/>
                <w:color w:val="auto"/>
                <w:spacing w:val="-1"/>
                <w:sz w:val="21"/>
                <w:szCs w:val="21"/>
                <w:highlight w:val="none"/>
              </w:rPr>
              <w:t>](含)</w:t>
            </w:r>
            <w:r>
              <w:rPr>
                <w:rFonts w:hint="eastAsia" w:ascii="宋体" w:hAnsi="宋体" w:eastAsia="宋体" w:cs="宋体"/>
                <w:color w:val="auto"/>
                <w:spacing w:val="-1"/>
                <w:sz w:val="21"/>
                <w:szCs w:val="21"/>
                <w:highlight w:val="none"/>
                <w:lang w:val="en-US" w:eastAsia="zh-CN"/>
              </w:rPr>
              <w:t>以</w:t>
            </w:r>
            <w:r>
              <w:rPr>
                <w:rFonts w:ascii="宋体" w:hAnsi="宋体" w:eastAsia="宋体" w:cs="宋体"/>
                <w:color w:val="auto"/>
                <w:spacing w:val="-1"/>
                <w:sz w:val="21"/>
                <w:szCs w:val="21"/>
                <w:highlight w:val="none"/>
              </w:rPr>
              <w:t>上资质</w:t>
            </w:r>
            <w:r>
              <w:rPr>
                <w:color w:val="auto"/>
                <w:spacing w:val="7"/>
                <w:highlight w:val="none"/>
              </w:rPr>
              <w:t>具备有效的安全生产许可证，具备市场监督管理部门核</w:t>
            </w:r>
            <w:r>
              <w:rPr>
                <w:color w:val="auto"/>
                <w:spacing w:val="-4"/>
                <w:highlight w:val="none"/>
              </w:rPr>
              <w:t>发的有效营业执照。</w:t>
            </w:r>
          </w:p>
          <w:p w14:paraId="4F50BBB7">
            <w:pPr>
              <w:pStyle w:val="18"/>
              <w:spacing w:before="69" w:line="252" w:lineRule="auto"/>
              <w:ind w:left="112" w:right="124" w:hanging="1"/>
              <w:rPr>
                <w:color w:val="auto"/>
                <w:highlight w:val="none"/>
              </w:rPr>
            </w:pPr>
            <w:r>
              <w:rPr>
                <w:color w:val="auto"/>
                <w:spacing w:val="-5"/>
                <w:highlight w:val="none"/>
                <w14:textOutline w14:w="3831" w14:cap="flat" w14:cmpd="sng">
                  <w14:solidFill>
                    <w14:srgbClr w14:val="000000"/>
                  </w14:solidFill>
                  <w14:prstDash w14:val="solid"/>
                  <w14:miter w14:val="0"/>
                </w14:textOutline>
              </w:rPr>
              <w:t>信誉要求：</w:t>
            </w:r>
            <w:r>
              <w:rPr>
                <w:color w:val="auto"/>
                <w:spacing w:val="72"/>
                <w:highlight w:val="none"/>
              </w:rPr>
              <w:t xml:space="preserve"> </w:t>
            </w:r>
            <w:r>
              <w:rPr>
                <w:color w:val="auto"/>
                <w:spacing w:val="-5"/>
                <w:highlight w:val="none"/>
              </w:rPr>
              <w:t>不得具有投标人须知第</w:t>
            </w:r>
            <w:r>
              <w:rPr>
                <w:color w:val="auto"/>
                <w:spacing w:val="28"/>
                <w:highlight w:val="none"/>
              </w:rPr>
              <w:t xml:space="preserve"> </w:t>
            </w:r>
            <w:r>
              <w:rPr>
                <w:rFonts w:ascii="Times New Roman" w:hAnsi="Times New Roman" w:eastAsia="Times New Roman" w:cs="Times New Roman"/>
                <w:color w:val="auto"/>
                <w:spacing w:val="-5"/>
                <w:highlight w:val="none"/>
              </w:rPr>
              <w:t>1.4.3</w:t>
            </w:r>
            <w:r>
              <w:rPr>
                <w:color w:val="auto"/>
                <w:spacing w:val="-5"/>
                <w:highlight w:val="none"/>
              </w:rPr>
              <w:t>（</w:t>
            </w:r>
            <w:r>
              <w:rPr>
                <w:rFonts w:ascii="Times New Roman" w:hAnsi="Times New Roman" w:eastAsia="Times New Roman" w:cs="Times New Roman"/>
                <w:color w:val="auto"/>
                <w:spacing w:val="-5"/>
                <w:highlight w:val="none"/>
              </w:rPr>
              <w:t>10</w:t>
            </w:r>
            <w:r>
              <w:rPr>
                <w:color w:val="auto"/>
                <w:spacing w:val="-5"/>
                <w:highlight w:val="none"/>
              </w:rPr>
              <w:t>）至（</w:t>
            </w:r>
            <w:r>
              <w:rPr>
                <w:rFonts w:ascii="Times New Roman" w:hAnsi="Times New Roman" w:eastAsia="Times New Roman" w:cs="Times New Roman"/>
                <w:color w:val="auto"/>
                <w:spacing w:val="-5"/>
                <w:highlight w:val="none"/>
              </w:rPr>
              <w:t>17</w:t>
            </w:r>
            <w:r>
              <w:rPr>
                <w:color w:val="auto"/>
                <w:spacing w:val="-5"/>
                <w:highlight w:val="none"/>
              </w:rPr>
              <w:t>）</w:t>
            </w:r>
            <w:r>
              <w:rPr>
                <w:color w:val="auto"/>
                <w:highlight w:val="none"/>
              </w:rPr>
              <w:t xml:space="preserve"> </w:t>
            </w:r>
            <w:r>
              <w:rPr>
                <w:color w:val="auto"/>
                <w:spacing w:val="-4"/>
                <w:highlight w:val="none"/>
              </w:rPr>
              <w:t>条目规定的情形。</w:t>
            </w:r>
          </w:p>
          <w:p w14:paraId="1517701D">
            <w:pPr>
              <w:pStyle w:val="18"/>
              <w:spacing w:before="66" w:line="266" w:lineRule="auto"/>
              <w:ind w:left="111" w:right="110" w:firstLine="3"/>
              <w:rPr>
                <w:color w:val="auto"/>
                <w:highlight w:val="none"/>
              </w:rPr>
            </w:pPr>
            <w:r>
              <w:rPr>
                <w:color w:val="auto"/>
                <w:spacing w:val="-8"/>
                <w:highlight w:val="none"/>
                <w14:textOutline w14:w="3831" w14:cap="flat" w14:cmpd="sng">
                  <w14:solidFill>
                    <w14:srgbClr w14:val="000000"/>
                  </w14:solidFill>
                  <w14:prstDash w14:val="solid"/>
                  <w14:miter w14:val="0"/>
                </w14:textOutline>
              </w:rPr>
              <w:t>项目经理资格：</w:t>
            </w:r>
            <w:r>
              <w:rPr>
                <w:color w:val="auto"/>
                <w:spacing w:val="80"/>
                <w:highlight w:val="none"/>
              </w:rPr>
              <w:t xml:space="preserve"> </w:t>
            </w:r>
            <w:r>
              <w:rPr>
                <w:color w:val="auto"/>
                <w:spacing w:val="-8"/>
                <w:highlight w:val="none"/>
              </w:rPr>
              <w:t>具备</w:t>
            </w:r>
            <w:r>
              <w:rPr>
                <w:rFonts w:hint="eastAsia" w:cs="宋体"/>
                <w:color w:val="auto"/>
                <w:spacing w:val="-1"/>
                <w:sz w:val="21"/>
                <w:szCs w:val="21"/>
                <w:highlight w:val="none"/>
                <w:lang w:eastAsia="zh-CN"/>
              </w:rPr>
              <w:t>建筑工程</w:t>
            </w:r>
            <w:r>
              <w:rPr>
                <w:color w:val="auto"/>
                <w:spacing w:val="-8"/>
                <w:highlight w:val="none"/>
              </w:rPr>
              <w:t>专业</w:t>
            </w:r>
            <w:r>
              <w:rPr>
                <w:color w:val="auto"/>
                <w:spacing w:val="-8"/>
                <w:highlight w:val="none"/>
                <w:u w:val="single" w:color="auto"/>
              </w:rPr>
              <w:t xml:space="preserve"> </w:t>
            </w:r>
            <w:r>
              <w:rPr>
                <w:rFonts w:hint="eastAsia"/>
                <w:color w:val="auto"/>
                <w:spacing w:val="-8"/>
                <w:highlight w:val="none"/>
                <w:u w:val="single" w:color="auto"/>
                <w:lang w:val="en-US" w:eastAsia="zh-CN"/>
              </w:rPr>
              <w:t>二</w:t>
            </w:r>
            <w:r>
              <w:rPr>
                <w:color w:val="auto"/>
                <w:spacing w:val="-8"/>
                <w:highlight w:val="none"/>
              </w:rPr>
              <w:t>级注册建造师执业资</w:t>
            </w:r>
            <w:r>
              <w:rPr>
                <w:color w:val="auto"/>
                <w:spacing w:val="1"/>
                <w:highlight w:val="none"/>
              </w:rPr>
              <w:t>格和有效的安全生产考核合格证书（</w:t>
            </w:r>
            <w:r>
              <w:rPr>
                <w:rFonts w:ascii="Times New Roman" w:hAnsi="Times New Roman" w:eastAsia="Times New Roman" w:cs="Times New Roman"/>
                <w:color w:val="auto"/>
                <w:spacing w:val="1"/>
                <w:highlight w:val="none"/>
              </w:rPr>
              <w:t>B</w:t>
            </w:r>
            <w:r>
              <w:rPr>
                <w:rFonts w:ascii="Times New Roman" w:hAnsi="Times New Roman" w:eastAsia="Times New Roman" w:cs="Times New Roman"/>
                <w:color w:val="auto"/>
                <w:spacing w:val="37"/>
                <w:highlight w:val="none"/>
              </w:rPr>
              <w:t xml:space="preserve"> </w:t>
            </w:r>
            <w:r>
              <w:rPr>
                <w:color w:val="auto"/>
                <w:spacing w:val="1"/>
                <w:highlight w:val="none"/>
              </w:rPr>
              <w:t>证</w:t>
            </w:r>
            <w:r>
              <w:rPr>
                <w:color w:val="auto"/>
                <w:spacing w:val="-37"/>
                <w:highlight w:val="none"/>
              </w:rPr>
              <w:t>），</w:t>
            </w:r>
            <w:r>
              <w:rPr>
                <w:color w:val="auto"/>
                <w:spacing w:val="1"/>
                <w:highlight w:val="none"/>
              </w:rPr>
              <w:t>且未担任其</w:t>
            </w:r>
            <w:r>
              <w:rPr>
                <w:color w:val="auto"/>
                <w:spacing w:val="-2"/>
                <w:highlight w:val="none"/>
              </w:rPr>
              <w:t>他在建工程项目的项目经理，二次刷卡认证通过；《注册</w:t>
            </w:r>
            <w:r>
              <w:rPr>
                <w:color w:val="auto"/>
                <w:spacing w:val="-5"/>
                <w:highlight w:val="none"/>
              </w:rPr>
              <w:t>建造师执业管理办法（试行）》第九条规定的情</w:t>
            </w:r>
            <w:r>
              <w:rPr>
                <w:color w:val="auto"/>
                <w:spacing w:val="-6"/>
                <w:highlight w:val="none"/>
              </w:rPr>
              <w:t>形除外。</w:t>
            </w:r>
          </w:p>
          <w:p w14:paraId="21A59942">
            <w:pPr>
              <w:pStyle w:val="18"/>
              <w:spacing w:before="69" w:line="252" w:lineRule="auto"/>
              <w:ind w:left="110" w:right="116"/>
              <w:rPr>
                <w:color w:val="auto"/>
                <w:highlight w:val="none"/>
              </w:rPr>
            </w:pPr>
            <w:r>
              <w:rPr>
                <w:color w:val="auto"/>
                <w:spacing w:val="7"/>
                <w:highlight w:val="none"/>
                <w14:textOutline w14:w="3831" w14:cap="flat" w14:cmpd="sng">
                  <w14:solidFill>
                    <w14:srgbClr w14:val="000000"/>
                  </w14:solidFill>
                  <w14:prstDash w14:val="solid"/>
                  <w14:miter w14:val="0"/>
                </w14:textOutline>
              </w:rPr>
              <w:t>注：项目经理不得同时在两个或者两个以上工程项目担</w:t>
            </w:r>
            <w:r>
              <w:rPr>
                <w:color w:val="auto"/>
                <w:spacing w:val="4"/>
                <w:highlight w:val="none"/>
              </w:rPr>
              <w:t xml:space="preserve"> </w:t>
            </w:r>
            <w:r>
              <w:rPr>
                <w:color w:val="auto"/>
                <w:spacing w:val="-5"/>
                <w:highlight w:val="none"/>
                <w14:textOutline w14:w="3831" w14:cap="flat" w14:cmpd="sng">
                  <w14:solidFill>
                    <w14:srgbClr w14:val="000000"/>
                  </w14:solidFill>
                  <w14:prstDash w14:val="solid"/>
                  <w14:miter w14:val="0"/>
                </w14:textOutline>
              </w:rPr>
              <w:t>任项目经理。</w:t>
            </w:r>
          </w:p>
          <w:p w14:paraId="5196DE3F">
            <w:pPr>
              <w:pStyle w:val="18"/>
              <w:spacing w:before="67" w:line="221" w:lineRule="auto"/>
              <w:ind w:left="110"/>
              <w:rPr>
                <w:color w:val="auto"/>
                <w:highlight w:val="none"/>
              </w:rPr>
            </w:pPr>
            <w:r>
              <w:rPr>
                <w:color w:val="auto"/>
                <w:spacing w:val="-23"/>
                <w:w w:val="96"/>
                <w:highlight w:val="none"/>
                <w14:textOutline w14:w="3831" w14:cap="flat" w14:cmpd="sng">
                  <w14:solidFill>
                    <w14:srgbClr w14:val="000000"/>
                  </w14:solidFill>
                  <w14:prstDash w14:val="solid"/>
                  <w14:miter w14:val="0"/>
                </w14:textOutline>
              </w:rPr>
              <w:t>业绩要求：</w:t>
            </w:r>
            <w:r>
              <w:rPr>
                <w:color w:val="auto"/>
                <w:spacing w:val="48"/>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5C1D81CD">
            <w:pPr>
              <w:pStyle w:val="18"/>
              <w:spacing w:before="70" w:line="220" w:lineRule="auto"/>
              <w:ind w:left="114"/>
              <w:rPr>
                <w:color w:val="auto"/>
                <w:highlight w:val="none"/>
              </w:rPr>
            </w:pPr>
            <w:r>
              <w:rPr>
                <w:color w:val="auto"/>
                <w:spacing w:val="-12"/>
                <w:highlight w:val="none"/>
                <w14:textOutline w14:w="3831" w14:cap="flat" w14:cmpd="sng">
                  <w14:solidFill>
                    <w14:srgbClr w14:val="000000"/>
                  </w14:solidFill>
                  <w14:prstDash w14:val="solid"/>
                  <w14:miter w14:val="0"/>
                </w14:textOutline>
              </w:rPr>
              <w:t>项目管理机构主要人员要求：</w:t>
            </w:r>
            <w:r>
              <w:rPr>
                <w:color w:val="auto"/>
                <w:spacing w:val="53"/>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5FB8B657">
            <w:pPr>
              <w:pStyle w:val="18"/>
              <w:spacing w:before="71" w:line="254" w:lineRule="auto"/>
              <w:ind w:left="107" w:right="584" w:firstLine="4"/>
              <w:rPr>
                <w:rFonts w:ascii="Times New Roman" w:hAnsi="Times New Roman" w:eastAsia="Times New Roman" w:cs="Times New Roman"/>
                <w:color w:val="auto"/>
                <w:highlight w:val="none"/>
              </w:rPr>
            </w:pPr>
            <w:r>
              <w:rPr>
                <w:color w:val="auto"/>
                <w:spacing w:val="-9"/>
                <w:highlight w:val="none"/>
                <w14:textOutline w14:w="3831" w14:cap="flat" w14:cmpd="sng">
                  <w14:solidFill>
                    <w14:srgbClr w14:val="000000"/>
                  </w14:solidFill>
                  <w14:prstDash w14:val="solid"/>
                  <w14:miter w14:val="0"/>
                </w14:textOutline>
              </w:rPr>
              <w:t>其他要求：</w:t>
            </w:r>
            <w:r>
              <w:rPr>
                <w:color w:val="auto"/>
                <w:spacing w:val="77"/>
                <w:highlight w:val="none"/>
              </w:rPr>
              <w:t xml:space="preserve"> </w:t>
            </w:r>
            <w:r>
              <w:rPr>
                <w:rFonts w:ascii="Times New Roman" w:hAnsi="Times New Roman" w:eastAsia="Times New Roman" w:cs="Times New Roman"/>
                <w:color w:val="auto"/>
                <w:spacing w:val="-9"/>
                <w:highlight w:val="none"/>
              </w:rPr>
              <w:t>1.</w:t>
            </w:r>
            <w:r>
              <w:rPr>
                <w:color w:val="auto"/>
                <w:spacing w:val="-9"/>
                <w:highlight w:val="none"/>
              </w:rPr>
              <w:t>具有有效的企业在辽基本信息登记单。</w:t>
            </w:r>
            <w:r>
              <w:rPr>
                <w:color w:val="auto"/>
                <w:highlight w:val="none"/>
              </w:rPr>
              <w:t xml:space="preserve"> </w:t>
            </w:r>
          </w:p>
        </w:tc>
      </w:tr>
      <w:tr w14:paraId="683C1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14:paraId="3D88912D">
            <w:pPr>
              <w:spacing w:line="272" w:lineRule="auto"/>
              <w:rPr>
                <w:rFonts w:ascii="Arial"/>
                <w:color w:val="auto"/>
                <w:sz w:val="21"/>
                <w:highlight w:val="none"/>
              </w:rPr>
            </w:pPr>
          </w:p>
          <w:p w14:paraId="681B4A97">
            <w:pPr>
              <w:spacing w:line="272" w:lineRule="auto"/>
              <w:rPr>
                <w:rFonts w:ascii="Arial"/>
                <w:color w:val="auto"/>
                <w:sz w:val="21"/>
                <w:highlight w:val="none"/>
              </w:rPr>
            </w:pPr>
          </w:p>
          <w:p w14:paraId="416FF850">
            <w:pPr>
              <w:spacing w:line="273" w:lineRule="auto"/>
              <w:rPr>
                <w:rFonts w:ascii="Arial"/>
                <w:color w:val="auto"/>
                <w:sz w:val="21"/>
                <w:highlight w:val="none"/>
              </w:rPr>
            </w:pPr>
          </w:p>
          <w:p w14:paraId="5AB37C4B">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1.4.2</w:t>
            </w:r>
          </w:p>
        </w:tc>
        <w:tc>
          <w:tcPr>
            <w:tcW w:w="2121" w:type="dxa"/>
            <w:vAlign w:val="top"/>
          </w:tcPr>
          <w:p w14:paraId="68E2A77D">
            <w:pPr>
              <w:spacing w:line="257" w:lineRule="auto"/>
              <w:rPr>
                <w:rFonts w:ascii="Arial"/>
                <w:color w:val="auto"/>
                <w:sz w:val="21"/>
                <w:highlight w:val="none"/>
              </w:rPr>
            </w:pPr>
          </w:p>
          <w:p w14:paraId="47B7E379">
            <w:pPr>
              <w:spacing w:line="258" w:lineRule="auto"/>
              <w:rPr>
                <w:rFonts w:ascii="Arial"/>
                <w:color w:val="auto"/>
                <w:sz w:val="21"/>
                <w:highlight w:val="none"/>
              </w:rPr>
            </w:pPr>
          </w:p>
          <w:p w14:paraId="010E7D92">
            <w:pPr>
              <w:spacing w:line="258" w:lineRule="auto"/>
              <w:rPr>
                <w:rFonts w:ascii="Arial"/>
                <w:color w:val="auto"/>
                <w:sz w:val="21"/>
                <w:highlight w:val="none"/>
              </w:rPr>
            </w:pPr>
          </w:p>
          <w:p w14:paraId="0D222A89">
            <w:pPr>
              <w:pStyle w:val="18"/>
              <w:spacing w:before="68" w:line="221" w:lineRule="auto"/>
              <w:ind w:left="122"/>
              <w:rPr>
                <w:color w:val="auto"/>
                <w:highlight w:val="none"/>
              </w:rPr>
            </w:pPr>
            <w:r>
              <w:rPr>
                <w:color w:val="auto"/>
                <w:spacing w:val="-1"/>
                <w:highlight w:val="none"/>
              </w:rPr>
              <w:t>是否接受联合体投标</w:t>
            </w:r>
          </w:p>
        </w:tc>
        <w:tc>
          <w:tcPr>
            <w:tcW w:w="5447" w:type="dxa"/>
            <w:vAlign w:val="top"/>
          </w:tcPr>
          <w:p w14:paraId="2BB46E86">
            <w:pPr>
              <w:pStyle w:val="18"/>
              <w:spacing w:before="207" w:line="222" w:lineRule="auto"/>
              <w:ind w:left="132"/>
              <w:rPr>
                <w:color w:val="auto"/>
                <w:highlight w:val="none"/>
              </w:rPr>
            </w:pPr>
            <w:r>
              <w:rPr>
                <w:color w:val="auto"/>
                <w:spacing w:val="-5"/>
                <w:highlight w:val="none"/>
              </w:rPr>
              <w:sym w:font="Wingdings 2" w:char="0052"/>
            </w:r>
            <w:r>
              <w:rPr>
                <w:color w:val="auto"/>
                <w:spacing w:val="-5"/>
                <w:highlight w:val="none"/>
              </w:rPr>
              <w:t>不接受</w:t>
            </w:r>
          </w:p>
          <w:p w14:paraId="4F6219FF">
            <w:pPr>
              <w:pStyle w:val="18"/>
              <w:spacing w:before="68" w:line="221" w:lineRule="auto"/>
              <w:ind w:left="132"/>
              <w:rPr>
                <w:color w:val="auto"/>
                <w:highlight w:val="none"/>
              </w:rPr>
            </w:pPr>
            <w:r>
              <w:rPr>
                <w:color w:val="auto"/>
                <w:spacing w:val="-10"/>
                <w:highlight w:val="none"/>
              </w:rPr>
              <w:t xml:space="preserve">□接受，应满足下列要求： </w:t>
            </w:r>
            <w:r>
              <w:rPr>
                <w:color w:val="auto"/>
                <w:highlight w:val="none"/>
                <w:u w:val="single" w:color="auto"/>
              </w:rPr>
              <w:t xml:space="preserve">       </w:t>
            </w:r>
          </w:p>
          <w:p w14:paraId="42AF99AC">
            <w:pPr>
              <w:pStyle w:val="18"/>
              <w:spacing w:before="67" w:line="262" w:lineRule="auto"/>
              <w:ind w:left="111" w:right="115"/>
              <w:jc w:val="both"/>
              <w:rPr>
                <w:color w:val="auto"/>
                <w:highlight w:val="none"/>
              </w:rPr>
            </w:pPr>
            <w:r>
              <w:rPr>
                <w:color w:val="auto"/>
                <w:spacing w:val="7"/>
                <w:highlight w:val="none"/>
              </w:rPr>
              <w:t>其中：</w:t>
            </w:r>
            <w:r>
              <w:rPr>
                <w:color w:val="auto"/>
                <w:spacing w:val="7"/>
                <w:highlight w:val="none"/>
                <w:u w:val="single" w:color="auto"/>
              </w:rPr>
              <w:t>联合体资质按照联合体协议约定的分工认定，其</w:t>
            </w:r>
            <w:r>
              <w:rPr>
                <w:color w:val="auto"/>
                <w:spacing w:val="4"/>
                <w:highlight w:val="none"/>
              </w:rPr>
              <w:t xml:space="preserve"> </w:t>
            </w:r>
            <w:r>
              <w:rPr>
                <w:color w:val="auto"/>
                <w:spacing w:val="7"/>
                <w:highlight w:val="none"/>
                <w:u w:val="single" w:color="auto"/>
              </w:rPr>
              <w:t>他按照评审标准规定和联合体协议中约定的各成员分工</w:t>
            </w:r>
            <w:r>
              <w:rPr>
                <w:color w:val="auto"/>
                <w:spacing w:val="4"/>
                <w:highlight w:val="none"/>
              </w:rPr>
              <w:t xml:space="preserve"> </w:t>
            </w:r>
            <w:r>
              <w:rPr>
                <w:color w:val="auto"/>
                <w:spacing w:val="-25"/>
                <w:w w:val="98"/>
                <w:highlight w:val="none"/>
                <w:u w:val="single" w:color="auto"/>
              </w:rPr>
              <w:t>要求进行。</w:t>
            </w:r>
            <w:r>
              <w:rPr>
                <w:color w:val="auto"/>
                <w:spacing w:val="3"/>
                <w:highlight w:val="none"/>
                <w:u w:val="single" w:color="auto"/>
              </w:rPr>
              <w:t xml:space="preserve">  </w:t>
            </w:r>
          </w:p>
        </w:tc>
      </w:tr>
      <w:tr w14:paraId="4907D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5638DEAE">
            <w:pPr>
              <w:pStyle w:val="18"/>
              <w:spacing w:before="118"/>
              <w:ind w:left="120" w:right="124" w:firstLine="115"/>
              <w:rPr>
                <w:color w:val="auto"/>
                <w:highlight w:val="none"/>
              </w:rPr>
            </w:pPr>
            <w:r>
              <w:rPr>
                <w:rFonts w:ascii="Times New Roman" w:hAnsi="Times New Roman" w:eastAsia="Times New Roman" w:cs="Times New Roman"/>
                <w:color w:val="auto"/>
                <w:spacing w:val="-5"/>
                <w:highlight w:val="none"/>
              </w:rPr>
              <w:t>1.4.3</w:t>
            </w:r>
            <w:r>
              <w:rPr>
                <w:rFonts w:ascii="Times New Roman" w:hAnsi="Times New Roman" w:eastAsia="Times New Roman" w:cs="Times New Roman"/>
                <w:color w:val="auto"/>
                <w:highlight w:val="none"/>
              </w:rPr>
              <w:t xml:space="preserve">   </w:t>
            </w:r>
            <w:r>
              <w:rPr>
                <w:color w:val="auto"/>
                <w:spacing w:val="-7"/>
                <w:highlight w:val="none"/>
              </w:rPr>
              <w:t>（</w:t>
            </w:r>
            <w:r>
              <w:rPr>
                <w:rFonts w:ascii="Times New Roman" w:hAnsi="Times New Roman" w:eastAsia="Times New Roman" w:cs="Times New Roman"/>
                <w:color w:val="auto"/>
                <w:spacing w:val="-7"/>
                <w:highlight w:val="none"/>
              </w:rPr>
              <w:t>17</w:t>
            </w:r>
            <w:r>
              <w:rPr>
                <w:color w:val="auto"/>
                <w:spacing w:val="-7"/>
                <w:highlight w:val="none"/>
              </w:rPr>
              <w:t>）</w:t>
            </w:r>
          </w:p>
        </w:tc>
        <w:tc>
          <w:tcPr>
            <w:tcW w:w="2121" w:type="dxa"/>
            <w:vAlign w:val="top"/>
          </w:tcPr>
          <w:p w14:paraId="5E468272">
            <w:pPr>
              <w:pStyle w:val="18"/>
              <w:spacing w:before="82" w:line="242" w:lineRule="auto"/>
              <w:ind w:left="752" w:right="108" w:hanging="631"/>
              <w:rPr>
                <w:color w:val="auto"/>
                <w:highlight w:val="none"/>
              </w:rPr>
            </w:pPr>
            <w:r>
              <w:rPr>
                <w:color w:val="auto"/>
                <w:spacing w:val="-1"/>
                <w:highlight w:val="none"/>
              </w:rPr>
              <w:t>投标人不得存在的其</w:t>
            </w:r>
            <w:r>
              <w:rPr>
                <w:color w:val="auto"/>
                <w:spacing w:val="3"/>
                <w:highlight w:val="none"/>
              </w:rPr>
              <w:t xml:space="preserve"> </w:t>
            </w:r>
            <w:r>
              <w:rPr>
                <w:color w:val="auto"/>
                <w:spacing w:val="-2"/>
                <w:highlight w:val="none"/>
              </w:rPr>
              <w:t>他情形</w:t>
            </w:r>
          </w:p>
        </w:tc>
        <w:tc>
          <w:tcPr>
            <w:tcW w:w="5447" w:type="dxa"/>
            <w:vAlign w:val="top"/>
          </w:tcPr>
          <w:p w14:paraId="4CE16D48">
            <w:pP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0EDC7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14:paraId="370B916B">
            <w:pPr>
              <w:spacing w:line="434" w:lineRule="auto"/>
              <w:rPr>
                <w:rFonts w:ascii="Arial"/>
                <w:color w:val="auto"/>
                <w:sz w:val="21"/>
                <w:highlight w:val="none"/>
              </w:rPr>
            </w:pPr>
          </w:p>
          <w:p w14:paraId="7DDC9847">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1.9.1</w:t>
            </w:r>
          </w:p>
        </w:tc>
        <w:tc>
          <w:tcPr>
            <w:tcW w:w="2121" w:type="dxa"/>
            <w:vAlign w:val="top"/>
          </w:tcPr>
          <w:p w14:paraId="5B1BA1D3">
            <w:pPr>
              <w:spacing w:line="390" w:lineRule="auto"/>
              <w:rPr>
                <w:rFonts w:ascii="Arial"/>
                <w:color w:val="auto"/>
                <w:sz w:val="21"/>
                <w:highlight w:val="none"/>
              </w:rPr>
            </w:pPr>
          </w:p>
          <w:p w14:paraId="2F230490">
            <w:pPr>
              <w:pStyle w:val="18"/>
              <w:spacing w:before="68" w:line="221" w:lineRule="auto"/>
              <w:ind w:left="648"/>
              <w:rPr>
                <w:color w:val="auto"/>
                <w:highlight w:val="none"/>
              </w:rPr>
            </w:pPr>
            <w:r>
              <w:rPr>
                <w:color w:val="auto"/>
                <w:spacing w:val="-1"/>
                <w:highlight w:val="none"/>
              </w:rPr>
              <w:t>踏勘现场</w:t>
            </w:r>
          </w:p>
        </w:tc>
        <w:tc>
          <w:tcPr>
            <w:tcW w:w="5447" w:type="dxa"/>
            <w:vAlign w:val="top"/>
          </w:tcPr>
          <w:p w14:paraId="251B2D17">
            <w:pPr>
              <w:pStyle w:val="18"/>
              <w:spacing w:before="139" w:line="222" w:lineRule="auto"/>
              <w:ind w:left="132"/>
              <w:rPr>
                <w:color w:val="auto"/>
                <w:highlight w:val="none"/>
              </w:rPr>
            </w:pPr>
            <w:r>
              <w:rPr>
                <w:color w:val="auto"/>
                <w:spacing w:val="-4"/>
                <w:highlight w:val="none"/>
              </w:rPr>
              <w:sym w:font="Wingdings 2" w:char="0052"/>
            </w:r>
            <w:r>
              <w:rPr>
                <w:color w:val="auto"/>
                <w:spacing w:val="-4"/>
                <w:highlight w:val="none"/>
              </w:rPr>
              <w:t>不统一组织（选）</w:t>
            </w:r>
          </w:p>
          <w:p w14:paraId="797EDDCE">
            <w:pPr>
              <w:pStyle w:val="18"/>
              <w:spacing w:before="68" w:line="250" w:lineRule="auto"/>
              <w:ind w:left="1374" w:right="1766" w:hanging="1242"/>
              <w:rPr>
                <w:color w:val="auto"/>
                <w:highlight w:val="none"/>
              </w:rPr>
            </w:pPr>
            <w:r>
              <w:rPr>
                <w:color w:val="auto"/>
                <w:spacing w:val="-10"/>
                <w:highlight w:val="none"/>
              </w:rPr>
              <w:t>□统一组织，踏勘时间：</w:t>
            </w:r>
            <w:r>
              <w:rPr>
                <w:color w:val="auto"/>
                <w:spacing w:val="-22"/>
                <w:highlight w:val="none"/>
              </w:rPr>
              <w:t xml:space="preserve"> </w:t>
            </w:r>
            <w:r>
              <w:rPr>
                <w:color w:val="auto"/>
                <w:spacing w:val="9"/>
                <w:highlight w:val="none"/>
                <w:u w:val="single" w:color="auto"/>
              </w:rPr>
              <w:t xml:space="preserve">           </w:t>
            </w:r>
            <w:r>
              <w:rPr>
                <w:color w:val="auto"/>
                <w:spacing w:val="4"/>
                <w:highlight w:val="none"/>
              </w:rPr>
              <w:t xml:space="preserve"> </w:t>
            </w:r>
            <w:r>
              <w:rPr>
                <w:color w:val="auto"/>
                <w:spacing w:val="-17"/>
                <w:highlight w:val="none"/>
              </w:rPr>
              <w:t>踏勘地点：</w:t>
            </w:r>
            <w:r>
              <w:rPr>
                <w:color w:val="auto"/>
                <w:spacing w:val="-29"/>
                <w:highlight w:val="none"/>
              </w:rPr>
              <w:t xml:space="preserve"> </w:t>
            </w:r>
            <w:r>
              <w:rPr>
                <w:color w:val="auto"/>
                <w:highlight w:val="none"/>
                <w:u w:val="single" w:color="auto"/>
              </w:rPr>
              <w:t xml:space="preserve">            </w:t>
            </w:r>
          </w:p>
        </w:tc>
      </w:tr>
      <w:tr w14:paraId="63172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14:paraId="1F98AC3D">
            <w:pPr>
              <w:spacing w:line="257" w:lineRule="auto"/>
              <w:rPr>
                <w:rFonts w:ascii="Arial"/>
                <w:color w:val="auto"/>
                <w:sz w:val="21"/>
                <w:highlight w:val="none"/>
              </w:rPr>
            </w:pPr>
          </w:p>
          <w:p w14:paraId="398D6D46">
            <w:pPr>
              <w:spacing w:line="258" w:lineRule="auto"/>
              <w:rPr>
                <w:rFonts w:ascii="Arial"/>
                <w:color w:val="auto"/>
                <w:sz w:val="21"/>
                <w:highlight w:val="none"/>
              </w:rPr>
            </w:pPr>
          </w:p>
          <w:p w14:paraId="3CC943B9">
            <w:pPr>
              <w:spacing w:before="6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1.10.1</w:t>
            </w:r>
          </w:p>
        </w:tc>
        <w:tc>
          <w:tcPr>
            <w:tcW w:w="2121" w:type="dxa"/>
            <w:vAlign w:val="top"/>
          </w:tcPr>
          <w:p w14:paraId="7228313A">
            <w:pPr>
              <w:spacing w:line="471" w:lineRule="auto"/>
              <w:rPr>
                <w:rFonts w:ascii="Arial"/>
                <w:color w:val="auto"/>
                <w:sz w:val="21"/>
                <w:highlight w:val="none"/>
              </w:rPr>
            </w:pPr>
          </w:p>
          <w:p w14:paraId="5405D335">
            <w:pPr>
              <w:pStyle w:val="18"/>
              <w:spacing w:before="68" w:line="220" w:lineRule="auto"/>
              <w:ind w:left="544"/>
              <w:rPr>
                <w:color w:val="auto"/>
                <w:highlight w:val="none"/>
              </w:rPr>
            </w:pPr>
            <w:r>
              <w:rPr>
                <w:color w:val="auto"/>
                <w:spacing w:val="-1"/>
                <w:highlight w:val="none"/>
              </w:rPr>
              <w:t>投标预备会</w:t>
            </w:r>
          </w:p>
        </w:tc>
        <w:tc>
          <w:tcPr>
            <w:tcW w:w="5447" w:type="dxa"/>
            <w:vAlign w:val="top"/>
          </w:tcPr>
          <w:p w14:paraId="583E6527">
            <w:pPr>
              <w:pStyle w:val="18"/>
              <w:spacing w:before="224" w:line="222" w:lineRule="auto"/>
              <w:ind w:left="132"/>
              <w:rPr>
                <w:color w:val="auto"/>
                <w:highlight w:val="none"/>
              </w:rPr>
            </w:pPr>
            <w:r>
              <w:rPr>
                <w:color w:val="auto"/>
                <w:spacing w:val="-6"/>
                <w:highlight w:val="none"/>
              </w:rPr>
              <w:sym w:font="Wingdings 2" w:char="0052"/>
            </w:r>
            <w:r>
              <w:rPr>
                <w:color w:val="auto"/>
                <w:spacing w:val="-6"/>
                <w:highlight w:val="none"/>
              </w:rPr>
              <w:t>不召开（选）</w:t>
            </w:r>
          </w:p>
          <w:p w14:paraId="5534857D">
            <w:pPr>
              <w:pStyle w:val="18"/>
              <w:spacing w:before="65" w:line="252" w:lineRule="auto"/>
              <w:ind w:left="963" w:right="1977" w:hanging="831"/>
              <w:rPr>
                <w:color w:val="auto"/>
                <w:highlight w:val="none"/>
              </w:rPr>
            </w:pPr>
            <w:r>
              <w:rPr>
                <w:color w:val="auto"/>
                <w:spacing w:val="-16"/>
                <w:highlight w:val="none"/>
              </w:rPr>
              <w:t>□召开，召开时间：</w:t>
            </w:r>
            <w:r>
              <w:rPr>
                <w:color w:val="auto"/>
                <w:spacing w:val="14"/>
                <w:highlight w:val="none"/>
              </w:rPr>
              <w:t xml:space="preserve"> </w:t>
            </w:r>
            <w:r>
              <w:rPr>
                <w:color w:val="auto"/>
                <w:spacing w:val="7"/>
                <w:highlight w:val="none"/>
                <w:u w:val="single" w:color="auto"/>
              </w:rPr>
              <w:t xml:space="preserve">             </w:t>
            </w:r>
            <w:r>
              <w:rPr>
                <w:color w:val="auto"/>
                <w:spacing w:val="9"/>
                <w:highlight w:val="none"/>
              </w:rPr>
              <w:t xml:space="preserve"> </w:t>
            </w:r>
            <w:r>
              <w:rPr>
                <w:color w:val="auto"/>
                <w:spacing w:val="-27"/>
                <w:highlight w:val="none"/>
              </w:rPr>
              <w:t>召开地点：</w:t>
            </w:r>
            <w:r>
              <w:rPr>
                <w:color w:val="auto"/>
                <w:spacing w:val="13"/>
                <w:highlight w:val="none"/>
              </w:rPr>
              <w:t xml:space="preserve"> </w:t>
            </w:r>
            <w:r>
              <w:rPr>
                <w:color w:val="auto"/>
                <w:highlight w:val="none"/>
                <w:u w:val="single" w:color="auto"/>
              </w:rPr>
              <w:t xml:space="preserve">              </w:t>
            </w:r>
          </w:p>
        </w:tc>
      </w:tr>
      <w:tr w14:paraId="58A75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145C1EE4">
            <w:pPr>
              <w:spacing w:before="28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1.10.2</w:t>
            </w:r>
          </w:p>
        </w:tc>
        <w:tc>
          <w:tcPr>
            <w:tcW w:w="2121" w:type="dxa"/>
            <w:vAlign w:val="top"/>
          </w:tcPr>
          <w:p w14:paraId="2A4F0EBB">
            <w:pPr>
              <w:pStyle w:val="18"/>
              <w:spacing w:before="85" w:line="241" w:lineRule="auto"/>
              <w:ind w:left="646" w:right="214" w:hanging="419"/>
              <w:rPr>
                <w:color w:val="auto"/>
                <w:highlight w:val="none"/>
              </w:rPr>
            </w:pPr>
            <w:r>
              <w:rPr>
                <w:color w:val="auto"/>
                <w:spacing w:val="-1"/>
                <w:highlight w:val="none"/>
              </w:rPr>
              <w:t>投标人提出问题的</w:t>
            </w:r>
            <w:r>
              <w:rPr>
                <w:color w:val="auto"/>
                <w:highlight w:val="none"/>
              </w:rPr>
              <w:t xml:space="preserve"> </w:t>
            </w:r>
            <w:r>
              <w:rPr>
                <w:color w:val="auto"/>
                <w:spacing w:val="-1"/>
                <w:highlight w:val="none"/>
              </w:rPr>
              <w:t>截止时间</w:t>
            </w:r>
          </w:p>
        </w:tc>
        <w:tc>
          <w:tcPr>
            <w:tcW w:w="5447" w:type="dxa"/>
            <w:vAlign w:val="top"/>
          </w:tcPr>
          <w:p w14:paraId="59ED01EC">
            <w:pPr>
              <w:pStyle w:val="18"/>
              <w:spacing w:before="85" w:line="220" w:lineRule="auto"/>
              <w:ind w:left="132"/>
              <w:rPr>
                <w:color w:val="auto"/>
                <w:highlight w:val="none"/>
              </w:rPr>
            </w:pPr>
            <w:r>
              <w:rPr>
                <w:color w:val="auto"/>
                <w:spacing w:val="-5"/>
                <w:highlight w:val="none"/>
              </w:rPr>
              <w:t>□召开投标预备会之日</w:t>
            </w:r>
            <w:r>
              <w:rPr>
                <w:color w:val="auto"/>
                <w:spacing w:val="-94"/>
                <w:highlight w:val="none"/>
              </w:rPr>
              <w:t xml:space="preserve"> </w:t>
            </w:r>
            <w:r>
              <w:rPr>
                <w:color w:val="auto"/>
                <w:spacing w:val="20"/>
                <w:highlight w:val="none"/>
                <w:u w:val="single" w:color="auto"/>
              </w:rPr>
              <w:t xml:space="preserve">     </w:t>
            </w:r>
            <w:r>
              <w:rPr>
                <w:color w:val="auto"/>
                <w:spacing w:val="-57"/>
                <w:highlight w:val="none"/>
              </w:rPr>
              <w:t xml:space="preserve"> </w:t>
            </w:r>
            <w:r>
              <w:rPr>
                <w:color w:val="auto"/>
                <w:spacing w:val="-5"/>
                <w:highlight w:val="none"/>
              </w:rPr>
              <w:t>日前</w:t>
            </w:r>
          </w:p>
          <w:p w14:paraId="6274F9AA">
            <w:pPr>
              <w:pStyle w:val="18"/>
              <w:spacing w:before="66" w:line="204" w:lineRule="auto"/>
              <w:ind w:left="132"/>
              <w:rPr>
                <w:color w:val="auto"/>
                <w:highlight w:val="none"/>
              </w:rPr>
            </w:pPr>
            <w:r>
              <w:rPr>
                <w:rFonts w:hint="eastAsia"/>
                <w:color w:val="auto"/>
                <w:spacing w:val="-19"/>
                <w:highlight w:val="none"/>
                <w:lang w:eastAsia="zh-CN"/>
              </w:rPr>
              <w:t>☑</w:t>
            </w:r>
            <w:r>
              <w:rPr>
                <w:color w:val="auto"/>
                <w:spacing w:val="3"/>
                <w:highlight w:val="none"/>
              </w:rPr>
              <w:t xml:space="preserve"> </w:t>
            </w:r>
            <w:r>
              <w:rPr>
                <w:rFonts w:hint="eastAsia"/>
                <w:color w:val="auto"/>
                <w:spacing w:val="3"/>
                <w:highlight w:val="none"/>
                <w:lang w:val="en-US" w:eastAsia="zh-CN"/>
              </w:rPr>
              <w:t>2026年05月**日</w:t>
            </w:r>
            <w:r>
              <w:rPr>
                <w:rFonts w:hint="eastAsia"/>
                <w:color w:val="auto"/>
                <w:spacing w:val="5"/>
                <w:highlight w:val="none"/>
                <w:lang w:val="en-US" w:eastAsia="zh-CN"/>
              </w:rPr>
              <w:t>16</w:t>
            </w:r>
            <w:r>
              <w:rPr>
                <w:color w:val="auto"/>
                <w:spacing w:val="-19"/>
                <w:highlight w:val="none"/>
              </w:rPr>
              <w:t>时</w:t>
            </w:r>
            <w:r>
              <w:rPr>
                <w:rFonts w:hint="eastAsia"/>
                <w:color w:val="auto"/>
                <w:spacing w:val="-19"/>
                <w:highlight w:val="none"/>
                <w:lang w:val="en-US" w:eastAsia="zh-CN"/>
              </w:rPr>
              <w:t>0</w:t>
            </w:r>
            <w:r>
              <w:rPr>
                <w:rFonts w:hint="eastAsia"/>
                <w:color w:val="auto"/>
                <w:spacing w:val="4"/>
                <w:highlight w:val="none"/>
                <w:lang w:val="en-US" w:eastAsia="zh-CN"/>
              </w:rPr>
              <w:t>0</w:t>
            </w:r>
            <w:r>
              <w:rPr>
                <w:color w:val="auto"/>
                <w:spacing w:val="-19"/>
                <w:highlight w:val="none"/>
              </w:rPr>
              <w:t>分</w:t>
            </w:r>
          </w:p>
        </w:tc>
      </w:tr>
      <w:tr w14:paraId="1667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14:paraId="354A32C1">
            <w:pPr>
              <w:spacing w:line="333" w:lineRule="auto"/>
              <w:rPr>
                <w:rFonts w:ascii="Arial"/>
                <w:color w:val="auto"/>
                <w:sz w:val="21"/>
                <w:highlight w:val="none"/>
              </w:rPr>
            </w:pPr>
          </w:p>
          <w:p w14:paraId="59AE1003">
            <w:pPr>
              <w:spacing w:line="333" w:lineRule="auto"/>
              <w:rPr>
                <w:rFonts w:ascii="Arial"/>
                <w:color w:val="auto"/>
                <w:sz w:val="21"/>
                <w:highlight w:val="none"/>
              </w:rPr>
            </w:pPr>
          </w:p>
          <w:p w14:paraId="0A544697">
            <w:pPr>
              <w:spacing w:before="60" w:line="189" w:lineRule="auto"/>
              <w:ind w:left="26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1.11</w:t>
            </w:r>
          </w:p>
        </w:tc>
        <w:tc>
          <w:tcPr>
            <w:tcW w:w="2121" w:type="dxa"/>
            <w:vAlign w:val="top"/>
          </w:tcPr>
          <w:p w14:paraId="30941536">
            <w:pPr>
              <w:spacing w:line="311" w:lineRule="auto"/>
              <w:rPr>
                <w:rFonts w:ascii="Arial"/>
                <w:color w:val="auto"/>
                <w:sz w:val="21"/>
                <w:highlight w:val="none"/>
              </w:rPr>
            </w:pPr>
          </w:p>
          <w:p w14:paraId="7CCF72A4">
            <w:pPr>
              <w:spacing w:line="311" w:lineRule="auto"/>
              <w:rPr>
                <w:rFonts w:ascii="Arial"/>
                <w:color w:val="auto"/>
                <w:sz w:val="21"/>
                <w:highlight w:val="none"/>
              </w:rPr>
            </w:pPr>
          </w:p>
          <w:p w14:paraId="1EE20829">
            <w:pPr>
              <w:pStyle w:val="18"/>
              <w:spacing w:before="68" w:line="221" w:lineRule="auto"/>
              <w:ind w:left="808"/>
              <w:rPr>
                <w:color w:val="auto"/>
                <w:highlight w:val="none"/>
              </w:rPr>
            </w:pPr>
            <w:r>
              <w:rPr>
                <w:color w:val="auto"/>
                <w:spacing w:val="-5"/>
                <w:highlight w:val="none"/>
              </w:rPr>
              <w:t>分</w:t>
            </w:r>
            <w:r>
              <w:rPr>
                <w:color w:val="auto"/>
                <w:spacing w:val="8"/>
                <w:highlight w:val="none"/>
              </w:rPr>
              <w:t xml:space="preserve"> </w:t>
            </w:r>
            <w:r>
              <w:rPr>
                <w:color w:val="auto"/>
                <w:spacing w:val="-5"/>
                <w:highlight w:val="none"/>
              </w:rPr>
              <w:t>包</w:t>
            </w:r>
          </w:p>
        </w:tc>
        <w:tc>
          <w:tcPr>
            <w:tcW w:w="5447" w:type="dxa"/>
            <w:vAlign w:val="top"/>
          </w:tcPr>
          <w:p w14:paraId="7E056A4A">
            <w:pPr>
              <w:pStyle w:val="18"/>
              <w:spacing w:before="213" w:line="221" w:lineRule="auto"/>
              <w:ind w:left="132"/>
              <w:rPr>
                <w:color w:val="auto"/>
                <w:highlight w:val="none"/>
              </w:rPr>
            </w:pPr>
            <w:r>
              <w:rPr>
                <w:color w:val="auto"/>
                <w:spacing w:val="-5"/>
                <w:highlight w:val="none"/>
              </w:rPr>
              <w:sym w:font="Wingdings 2" w:char="0052"/>
            </w:r>
            <w:r>
              <w:rPr>
                <w:color w:val="auto"/>
                <w:spacing w:val="-5"/>
                <w:highlight w:val="none"/>
              </w:rPr>
              <w:t>不允许</w:t>
            </w:r>
          </w:p>
          <w:p w14:paraId="06291AA2">
            <w:pPr>
              <w:pStyle w:val="18"/>
              <w:spacing w:before="70" w:line="221" w:lineRule="auto"/>
              <w:ind w:left="132"/>
              <w:rPr>
                <w:color w:val="auto"/>
                <w:highlight w:val="none"/>
              </w:rPr>
            </w:pPr>
            <w:r>
              <w:rPr>
                <w:color w:val="auto"/>
                <w:spacing w:val="-10"/>
                <w:highlight w:val="none"/>
              </w:rPr>
              <w:t>□允许，分包内容要求：</w:t>
            </w:r>
            <w:r>
              <w:rPr>
                <w:color w:val="auto"/>
                <w:spacing w:val="-22"/>
                <w:highlight w:val="none"/>
              </w:rPr>
              <w:t xml:space="preserve"> </w:t>
            </w:r>
            <w:r>
              <w:rPr>
                <w:color w:val="auto"/>
                <w:highlight w:val="none"/>
                <w:u w:val="single" w:color="auto"/>
              </w:rPr>
              <w:t xml:space="preserve">             </w:t>
            </w:r>
          </w:p>
          <w:p w14:paraId="013D6D06">
            <w:pPr>
              <w:pStyle w:val="18"/>
              <w:spacing w:before="65" w:line="221" w:lineRule="auto"/>
              <w:ind w:left="959"/>
              <w:rPr>
                <w:color w:val="auto"/>
                <w:highlight w:val="none"/>
              </w:rPr>
            </w:pPr>
            <w:r>
              <w:rPr>
                <w:color w:val="auto"/>
                <w:spacing w:val="-13"/>
                <w:highlight w:val="none"/>
              </w:rPr>
              <w:t>分包金额要求：</w:t>
            </w:r>
            <w:r>
              <w:rPr>
                <w:color w:val="auto"/>
                <w:spacing w:val="-27"/>
                <w:highlight w:val="none"/>
              </w:rPr>
              <w:t xml:space="preserve"> </w:t>
            </w:r>
            <w:r>
              <w:rPr>
                <w:color w:val="auto"/>
                <w:highlight w:val="none"/>
                <w:u w:val="single" w:color="auto"/>
              </w:rPr>
              <w:t xml:space="preserve">             </w:t>
            </w:r>
          </w:p>
          <w:p w14:paraId="78602A0F">
            <w:pPr>
              <w:pStyle w:val="18"/>
              <w:spacing w:before="70" w:line="221" w:lineRule="auto"/>
              <w:ind w:left="374"/>
              <w:rPr>
                <w:color w:val="auto"/>
                <w:highlight w:val="none"/>
              </w:rPr>
            </w:pPr>
            <w:r>
              <w:rPr>
                <w:color w:val="auto"/>
                <w:spacing w:val="-1"/>
                <w:highlight w:val="none"/>
              </w:rPr>
              <w:t>接受分包的第三人资质要求：</w:t>
            </w:r>
            <w:r>
              <w:rPr>
                <w:color w:val="auto"/>
                <w:highlight w:val="none"/>
                <w:u w:val="single" w:color="auto"/>
              </w:rPr>
              <w:t xml:space="preserve">       </w:t>
            </w:r>
          </w:p>
        </w:tc>
      </w:tr>
    </w:tbl>
    <w:p w14:paraId="4D2AB538">
      <w:pPr>
        <w:pStyle w:val="5"/>
        <w:rPr>
          <w:color w:val="auto"/>
          <w:highlight w:val="none"/>
        </w:rPr>
      </w:pPr>
    </w:p>
    <w:p w14:paraId="667B989B">
      <w:pPr>
        <w:rPr>
          <w:color w:val="auto"/>
          <w:highlight w:val="none"/>
        </w:rPr>
        <w:sectPr>
          <w:footerReference r:id="rId12" w:type="default"/>
          <w:pgSz w:w="11905" w:h="16839"/>
          <w:pgMar w:top="1431" w:right="1733" w:bottom="1036" w:left="1742" w:header="0" w:footer="847" w:gutter="0"/>
          <w:pgNumType w:fmt="decimal"/>
          <w:cols w:space="720" w:num="1"/>
        </w:sectPr>
      </w:pPr>
    </w:p>
    <w:p w14:paraId="3F456278">
      <w:pPr>
        <w:spacing w:line="95" w:lineRule="auto"/>
        <w:rPr>
          <w:rFonts w:ascii="Arial"/>
          <w:color w:val="auto"/>
          <w:sz w:val="2"/>
          <w:highlight w:val="none"/>
        </w:rPr>
      </w:pPr>
    </w:p>
    <w:tbl>
      <w:tblPr>
        <w:tblStyle w:val="17"/>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FA00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14:paraId="0A9EB1D3">
            <w:pPr>
              <w:spacing w:line="257" w:lineRule="auto"/>
              <w:rPr>
                <w:rFonts w:ascii="Arial"/>
                <w:color w:val="auto"/>
                <w:sz w:val="21"/>
                <w:highlight w:val="none"/>
              </w:rPr>
            </w:pPr>
          </w:p>
          <w:p w14:paraId="78B06315">
            <w:pPr>
              <w:spacing w:line="258" w:lineRule="auto"/>
              <w:rPr>
                <w:rFonts w:ascii="Arial"/>
                <w:color w:val="auto"/>
                <w:sz w:val="21"/>
                <w:highlight w:val="none"/>
              </w:rPr>
            </w:pPr>
          </w:p>
          <w:p w14:paraId="38643AD3">
            <w:pPr>
              <w:spacing w:line="258" w:lineRule="auto"/>
              <w:rPr>
                <w:rFonts w:ascii="Arial"/>
                <w:color w:val="auto"/>
                <w:sz w:val="21"/>
                <w:highlight w:val="none"/>
              </w:rPr>
            </w:pPr>
          </w:p>
          <w:p w14:paraId="1F5C39F3">
            <w:pPr>
              <w:spacing w:before="61" w:line="189" w:lineRule="auto"/>
              <w:ind w:left="260"/>
              <w:rPr>
                <w:rFonts w:ascii="Times New Roman" w:hAnsi="Times New Roman" w:eastAsia="Times New Roman" w:cs="Times New Roman"/>
                <w:color w:val="auto"/>
                <w:sz w:val="21"/>
                <w:szCs w:val="21"/>
                <w:highlight w:val="none"/>
              </w:rPr>
            </w:pPr>
            <w:bookmarkStart w:id="31" w:name="bookmark52"/>
            <w:bookmarkEnd w:id="31"/>
            <w:bookmarkStart w:id="32" w:name="bookmark54"/>
            <w:bookmarkEnd w:id="32"/>
            <w:bookmarkStart w:id="33" w:name="bookmark53"/>
            <w:bookmarkEnd w:id="33"/>
            <w:r>
              <w:rPr>
                <w:rFonts w:ascii="Times New Roman" w:hAnsi="Times New Roman" w:eastAsia="Times New Roman" w:cs="Times New Roman"/>
                <w:color w:val="auto"/>
                <w:spacing w:val="-5"/>
                <w:sz w:val="21"/>
                <w:szCs w:val="21"/>
                <w:highlight w:val="none"/>
              </w:rPr>
              <w:t>1.12</w:t>
            </w:r>
          </w:p>
        </w:tc>
        <w:tc>
          <w:tcPr>
            <w:tcW w:w="2121" w:type="dxa"/>
            <w:vAlign w:val="top"/>
          </w:tcPr>
          <w:p w14:paraId="13AFED70">
            <w:pPr>
              <w:spacing w:line="243" w:lineRule="auto"/>
              <w:rPr>
                <w:rFonts w:ascii="Arial"/>
                <w:color w:val="auto"/>
                <w:sz w:val="21"/>
                <w:highlight w:val="none"/>
              </w:rPr>
            </w:pPr>
          </w:p>
          <w:p w14:paraId="70DAEC1F">
            <w:pPr>
              <w:spacing w:line="243" w:lineRule="auto"/>
              <w:rPr>
                <w:rFonts w:ascii="Arial"/>
                <w:color w:val="auto"/>
                <w:sz w:val="21"/>
                <w:highlight w:val="none"/>
              </w:rPr>
            </w:pPr>
          </w:p>
          <w:p w14:paraId="67CF16AA">
            <w:pPr>
              <w:spacing w:line="243" w:lineRule="auto"/>
              <w:rPr>
                <w:rFonts w:ascii="Arial"/>
                <w:color w:val="auto"/>
                <w:sz w:val="21"/>
                <w:highlight w:val="none"/>
              </w:rPr>
            </w:pPr>
          </w:p>
          <w:p w14:paraId="79D1A74A">
            <w:pPr>
              <w:pStyle w:val="18"/>
              <w:spacing w:before="68" w:line="221" w:lineRule="auto"/>
              <w:ind w:left="806"/>
              <w:rPr>
                <w:color w:val="auto"/>
                <w:highlight w:val="none"/>
              </w:rPr>
            </w:pPr>
            <w:r>
              <w:rPr>
                <w:color w:val="auto"/>
                <w:spacing w:val="-4"/>
                <w:highlight w:val="none"/>
              </w:rPr>
              <w:t>偏</w:t>
            </w:r>
            <w:r>
              <w:rPr>
                <w:color w:val="auto"/>
                <w:spacing w:val="12"/>
                <w:highlight w:val="none"/>
              </w:rPr>
              <w:t xml:space="preserve"> </w:t>
            </w:r>
            <w:r>
              <w:rPr>
                <w:color w:val="auto"/>
                <w:spacing w:val="-4"/>
                <w:highlight w:val="none"/>
              </w:rPr>
              <w:t>离</w:t>
            </w:r>
          </w:p>
        </w:tc>
        <w:tc>
          <w:tcPr>
            <w:tcW w:w="5447" w:type="dxa"/>
            <w:vAlign w:val="top"/>
          </w:tcPr>
          <w:p w14:paraId="1D7CEF88">
            <w:pPr>
              <w:pStyle w:val="18"/>
              <w:spacing w:before="158" w:line="221" w:lineRule="auto"/>
              <w:ind w:left="132"/>
              <w:rPr>
                <w:color w:val="auto"/>
                <w:highlight w:val="none"/>
              </w:rPr>
            </w:pPr>
            <w:r>
              <w:rPr>
                <w:color w:val="auto"/>
                <w:spacing w:val="-5"/>
                <w:highlight w:val="none"/>
              </w:rPr>
              <w:sym w:font="Wingdings 2" w:char="0052"/>
            </w:r>
            <w:r>
              <w:rPr>
                <w:color w:val="auto"/>
                <w:spacing w:val="-5"/>
                <w:highlight w:val="none"/>
              </w:rPr>
              <w:t>不允许</w:t>
            </w:r>
          </w:p>
          <w:p w14:paraId="03DC4814">
            <w:pPr>
              <w:pStyle w:val="18"/>
              <w:spacing w:before="71" w:line="252" w:lineRule="auto"/>
              <w:ind w:left="113" w:right="116" w:firstLine="19"/>
              <w:rPr>
                <w:color w:val="auto"/>
                <w:highlight w:val="none"/>
              </w:rPr>
            </w:pPr>
            <w:r>
              <w:rPr>
                <w:color w:val="auto"/>
                <w:spacing w:val="6"/>
                <w:highlight w:val="none"/>
              </w:rPr>
              <w:t>□允许，可偏离的项目和范围见第七章“技术标准和要</w:t>
            </w:r>
            <w:r>
              <w:rPr>
                <w:color w:val="auto"/>
                <w:spacing w:val="7"/>
                <w:highlight w:val="none"/>
              </w:rPr>
              <w:t xml:space="preserve"> </w:t>
            </w:r>
            <w:r>
              <w:rPr>
                <w:color w:val="auto"/>
                <w:spacing w:val="-3"/>
                <w:highlight w:val="none"/>
              </w:rPr>
              <w:t>求”：</w:t>
            </w:r>
          </w:p>
          <w:p w14:paraId="70877524">
            <w:pPr>
              <w:pStyle w:val="18"/>
              <w:spacing w:before="64" w:line="283" w:lineRule="auto"/>
              <w:ind w:left="541"/>
              <w:rPr>
                <w:color w:val="auto"/>
                <w:highlight w:val="none"/>
              </w:rPr>
            </w:pPr>
            <w:r>
              <w:rPr>
                <w:color w:val="auto"/>
                <w:spacing w:val="-11"/>
                <w:highlight w:val="none"/>
              </w:rPr>
              <w:t>允许偏离最高项数：</w:t>
            </w:r>
            <w:r>
              <w:rPr>
                <w:color w:val="auto"/>
                <w:spacing w:val="-21"/>
                <w:highlight w:val="none"/>
              </w:rPr>
              <w:t xml:space="preserve"> </w:t>
            </w:r>
            <w:r>
              <w:rPr>
                <w:color w:val="auto"/>
                <w:highlight w:val="none"/>
                <w:u w:val="single" w:color="auto"/>
              </w:rPr>
              <w:t xml:space="preserve">      </w:t>
            </w:r>
          </w:p>
          <w:p w14:paraId="7147893D">
            <w:pPr>
              <w:pStyle w:val="18"/>
              <w:spacing w:line="220" w:lineRule="auto"/>
              <w:ind w:left="533"/>
              <w:rPr>
                <w:color w:val="auto"/>
                <w:highlight w:val="none"/>
              </w:rPr>
            </w:pPr>
            <w:r>
              <w:rPr>
                <w:color w:val="auto"/>
                <w:spacing w:val="-18"/>
                <w:highlight w:val="none"/>
              </w:rPr>
              <w:t>偏差调整方法：</w:t>
            </w:r>
            <w:r>
              <w:rPr>
                <w:color w:val="auto"/>
                <w:spacing w:val="15"/>
                <w:highlight w:val="none"/>
              </w:rPr>
              <w:t xml:space="preserve"> </w:t>
            </w:r>
            <w:r>
              <w:rPr>
                <w:color w:val="auto"/>
                <w:highlight w:val="none"/>
                <w:u w:val="single" w:color="auto"/>
              </w:rPr>
              <w:t xml:space="preserve">          </w:t>
            </w:r>
          </w:p>
        </w:tc>
      </w:tr>
      <w:tr w14:paraId="69B86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45A07393">
            <w:pPr>
              <w:spacing w:before="114" w:line="285" w:lineRule="exact"/>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8"/>
                <w:sz w:val="21"/>
                <w:szCs w:val="21"/>
                <w:highlight w:val="none"/>
              </w:rPr>
              <w:t>2.1.1</w:t>
            </w:r>
          </w:p>
          <w:p w14:paraId="73D05D91">
            <w:pPr>
              <w:pStyle w:val="18"/>
              <w:spacing w:line="209" w:lineRule="auto"/>
              <w:ind w:left="173"/>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9</w:t>
            </w:r>
            <w:r>
              <w:rPr>
                <w:color w:val="auto"/>
                <w:spacing w:val="-5"/>
                <w:highlight w:val="none"/>
              </w:rPr>
              <w:t>）</w:t>
            </w:r>
          </w:p>
        </w:tc>
        <w:tc>
          <w:tcPr>
            <w:tcW w:w="2121" w:type="dxa"/>
            <w:vAlign w:val="top"/>
          </w:tcPr>
          <w:p w14:paraId="3B21C8BC">
            <w:pPr>
              <w:pStyle w:val="18"/>
              <w:spacing w:before="69" w:line="223" w:lineRule="auto"/>
              <w:ind w:left="113"/>
              <w:rPr>
                <w:rFonts w:hint="eastAsia" w:cs="宋体"/>
                <w:color w:val="auto"/>
                <w:spacing w:val="4"/>
                <w:highlight w:val="none"/>
                <w:lang w:eastAsia="zh-CN"/>
              </w:rPr>
            </w:pPr>
            <w:r>
              <w:rPr>
                <w:rFonts w:hint="eastAsia" w:cs="宋体"/>
                <w:color w:val="auto"/>
                <w:spacing w:val="4"/>
                <w:highlight w:val="none"/>
                <w:lang w:eastAsia="zh-CN"/>
              </w:rPr>
              <w:t>构成招标文件的其他 材料</w:t>
            </w:r>
          </w:p>
        </w:tc>
        <w:tc>
          <w:tcPr>
            <w:tcW w:w="5447" w:type="dxa"/>
            <w:vAlign w:val="top"/>
          </w:tcPr>
          <w:p w14:paraId="06C6D461">
            <w:pPr>
              <w:pStyle w:val="18"/>
              <w:spacing w:before="69" w:line="223" w:lineRule="auto"/>
              <w:ind w:left="113"/>
              <w:rPr>
                <w:rFonts w:hint="eastAsia" w:cs="宋体"/>
                <w:color w:val="auto"/>
                <w:spacing w:val="4"/>
                <w:highlight w:val="none"/>
                <w:lang w:eastAsia="zh-CN"/>
              </w:rPr>
            </w:pPr>
            <w:bookmarkStart w:id="34" w:name="EB316973a01edd4d0b8a0629b63af16ead"/>
            <w:r>
              <w:rPr>
                <w:rFonts w:hint="eastAsia" w:cs="宋体"/>
                <w:color w:val="auto"/>
                <w:spacing w:val="4"/>
                <w:highlight w:val="none"/>
                <w:lang w:val="en-US" w:eastAsia="en-US"/>
              </w:rPr>
              <w:t>招标人在招标期间发出的补遗文件和其他有效函件，均是招标文件的组成部分</w:t>
            </w:r>
            <w:bookmarkEnd w:id="34"/>
          </w:p>
        </w:tc>
      </w:tr>
      <w:tr w14:paraId="0CC8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14:paraId="5B60AD5F">
            <w:pPr>
              <w:spacing w:line="263" w:lineRule="auto"/>
              <w:rPr>
                <w:rFonts w:ascii="Arial"/>
                <w:color w:val="auto"/>
                <w:sz w:val="21"/>
                <w:highlight w:val="none"/>
              </w:rPr>
            </w:pPr>
          </w:p>
          <w:p w14:paraId="4D7D2DB0">
            <w:pPr>
              <w:spacing w:before="61" w:line="189" w:lineRule="auto"/>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2.2.1</w:t>
            </w:r>
          </w:p>
        </w:tc>
        <w:tc>
          <w:tcPr>
            <w:tcW w:w="2121" w:type="dxa"/>
            <w:vAlign w:val="top"/>
          </w:tcPr>
          <w:p w14:paraId="0B6D29B6">
            <w:pPr>
              <w:pStyle w:val="18"/>
              <w:spacing w:before="130" w:line="252" w:lineRule="auto"/>
              <w:ind w:left="331" w:right="108" w:hanging="210"/>
              <w:rPr>
                <w:color w:val="auto"/>
                <w:highlight w:val="none"/>
              </w:rPr>
            </w:pPr>
            <w:r>
              <w:rPr>
                <w:color w:val="auto"/>
                <w:spacing w:val="-1"/>
                <w:highlight w:val="none"/>
              </w:rPr>
              <w:t>投标人要求澄清招标</w:t>
            </w:r>
            <w:r>
              <w:rPr>
                <w:color w:val="auto"/>
                <w:spacing w:val="3"/>
                <w:highlight w:val="none"/>
              </w:rPr>
              <w:t xml:space="preserve"> </w:t>
            </w:r>
            <w:r>
              <w:rPr>
                <w:color w:val="auto"/>
                <w:spacing w:val="-1"/>
                <w:highlight w:val="none"/>
              </w:rPr>
              <w:t>文件的截止时间</w:t>
            </w:r>
          </w:p>
        </w:tc>
        <w:tc>
          <w:tcPr>
            <w:tcW w:w="5447" w:type="dxa"/>
            <w:vAlign w:val="top"/>
          </w:tcPr>
          <w:p w14:paraId="24F05D8F">
            <w:pPr>
              <w:pStyle w:val="18"/>
              <w:spacing w:before="288" w:line="221" w:lineRule="auto"/>
              <w:ind w:left="112"/>
              <w:rPr>
                <w:color w:val="auto"/>
                <w:highlight w:val="none"/>
              </w:rPr>
            </w:pPr>
            <w:r>
              <w:rPr>
                <w:color w:val="auto"/>
                <w:spacing w:val="-3"/>
                <w:highlight w:val="none"/>
              </w:rPr>
              <w:t>递交投标文件截止之日</w:t>
            </w:r>
            <w:r>
              <w:rPr>
                <w:color w:val="auto"/>
                <w:spacing w:val="-97"/>
                <w:highlight w:val="none"/>
              </w:rPr>
              <w:t xml:space="preserve"> </w:t>
            </w:r>
            <w:r>
              <w:rPr>
                <w:color w:val="auto"/>
                <w:highlight w:val="none"/>
                <w:u w:val="single" w:color="auto"/>
              </w:rPr>
              <w:t xml:space="preserve">  </w:t>
            </w:r>
            <w:r>
              <w:rPr>
                <w:rFonts w:hint="eastAsia"/>
                <w:color w:val="auto"/>
                <w:highlight w:val="none"/>
                <w:u w:val="single" w:color="auto"/>
                <w:lang w:val="en-US" w:eastAsia="zh-CN"/>
              </w:rPr>
              <w:t>10</w:t>
            </w:r>
            <w:r>
              <w:rPr>
                <w:color w:val="auto"/>
                <w:highlight w:val="none"/>
                <w:u w:val="single" w:color="auto"/>
              </w:rPr>
              <w:t xml:space="preserve">   </w:t>
            </w:r>
            <w:r>
              <w:rPr>
                <w:color w:val="auto"/>
                <w:spacing w:val="-60"/>
                <w:highlight w:val="none"/>
              </w:rPr>
              <w:t xml:space="preserve"> </w:t>
            </w:r>
            <w:r>
              <w:rPr>
                <w:color w:val="auto"/>
                <w:spacing w:val="-3"/>
                <w:highlight w:val="none"/>
              </w:rPr>
              <w:t>日前</w:t>
            </w:r>
          </w:p>
        </w:tc>
      </w:tr>
      <w:tr w14:paraId="2AC5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14:paraId="799F8097">
            <w:pPr>
              <w:spacing w:line="265" w:lineRule="auto"/>
              <w:rPr>
                <w:rFonts w:ascii="Arial"/>
                <w:color w:val="auto"/>
                <w:sz w:val="21"/>
                <w:highlight w:val="none"/>
              </w:rPr>
            </w:pPr>
          </w:p>
          <w:p w14:paraId="0F942326">
            <w:pPr>
              <w:spacing w:line="265" w:lineRule="auto"/>
              <w:rPr>
                <w:rFonts w:ascii="Arial"/>
                <w:color w:val="auto"/>
                <w:sz w:val="21"/>
                <w:highlight w:val="none"/>
              </w:rPr>
            </w:pPr>
          </w:p>
          <w:p w14:paraId="5E0266AA">
            <w:pPr>
              <w:spacing w:line="265" w:lineRule="auto"/>
              <w:rPr>
                <w:rFonts w:ascii="Arial"/>
                <w:color w:val="auto"/>
                <w:sz w:val="21"/>
                <w:highlight w:val="none"/>
              </w:rPr>
            </w:pPr>
          </w:p>
          <w:p w14:paraId="74D58F5A">
            <w:pPr>
              <w:spacing w:line="265" w:lineRule="auto"/>
              <w:rPr>
                <w:rFonts w:ascii="Arial"/>
                <w:color w:val="auto"/>
                <w:sz w:val="21"/>
                <w:highlight w:val="none"/>
              </w:rPr>
            </w:pPr>
          </w:p>
          <w:p w14:paraId="7E32BCAC">
            <w:pPr>
              <w:spacing w:line="265" w:lineRule="auto"/>
              <w:rPr>
                <w:rFonts w:ascii="Arial"/>
                <w:color w:val="auto"/>
                <w:sz w:val="21"/>
                <w:highlight w:val="none"/>
              </w:rPr>
            </w:pPr>
          </w:p>
          <w:p w14:paraId="4878B79C">
            <w:pPr>
              <w:spacing w:line="265" w:lineRule="auto"/>
              <w:rPr>
                <w:rFonts w:ascii="Arial"/>
                <w:color w:val="auto"/>
                <w:sz w:val="21"/>
                <w:highlight w:val="none"/>
              </w:rPr>
            </w:pPr>
          </w:p>
          <w:p w14:paraId="6085575D">
            <w:pPr>
              <w:spacing w:line="265" w:lineRule="auto"/>
              <w:rPr>
                <w:rFonts w:ascii="Arial"/>
                <w:color w:val="auto"/>
                <w:sz w:val="21"/>
                <w:highlight w:val="none"/>
              </w:rPr>
            </w:pPr>
          </w:p>
          <w:p w14:paraId="26F1B3AB">
            <w:pPr>
              <w:spacing w:line="266" w:lineRule="auto"/>
              <w:rPr>
                <w:rFonts w:ascii="Arial"/>
                <w:color w:val="auto"/>
                <w:sz w:val="21"/>
                <w:highlight w:val="none"/>
              </w:rPr>
            </w:pPr>
          </w:p>
          <w:p w14:paraId="67EE75F8">
            <w:pPr>
              <w:spacing w:before="60" w:line="189" w:lineRule="auto"/>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2.4.1</w:t>
            </w:r>
          </w:p>
        </w:tc>
        <w:tc>
          <w:tcPr>
            <w:tcW w:w="2121" w:type="dxa"/>
            <w:vAlign w:val="top"/>
          </w:tcPr>
          <w:p w14:paraId="427DBCEC">
            <w:pPr>
              <w:rPr>
                <w:rFonts w:ascii="Arial"/>
                <w:color w:val="auto"/>
                <w:sz w:val="21"/>
                <w:highlight w:val="none"/>
              </w:rPr>
            </w:pPr>
          </w:p>
          <w:p w14:paraId="4021EFC8">
            <w:pPr>
              <w:rPr>
                <w:rFonts w:ascii="Arial"/>
                <w:color w:val="auto"/>
                <w:sz w:val="21"/>
                <w:highlight w:val="none"/>
              </w:rPr>
            </w:pPr>
          </w:p>
          <w:p w14:paraId="27D5A848">
            <w:pPr>
              <w:rPr>
                <w:rFonts w:ascii="Arial"/>
                <w:color w:val="auto"/>
                <w:sz w:val="21"/>
                <w:highlight w:val="none"/>
              </w:rPr>
            </w:pPr>
          </w:p>
          <w:p w14:paraId="17815DE3">
            <w:pPr>
              <w:rPr>
                <w:rFonts w:ascii="Arial"/>
                <w:color w:val="auto"/>
                <w:sz w:val="21"/>
                <w:highlight w:val="none"/>
              </w:rPr>
            </w:pPr>
          </w:p>
          <w:p w14:paraId="360C6A4D">
            <w:pPr>
              <w:rPr>
                <w:rFonts w:ascii="Arial"/>
                <w:color w:val="auto"/>
                <w:sz w:val="21"/>
                <w:highlight w:val="none"/>
              </w:rPr>
            </w:pPr>
          </w:p>
          <w:p w14:paraId="1FF92729">
            <w:pPr>
              <w:rPr>
                <w:rFonts w:ascii="Arial"/>
                <w:color w:val="auto"/>
                <w:sz w:val="21"/>
                <w:highlight w:val="none"/>
              </w:rPr>
            </w:pPr>
          </w:p>
          <w:p w14:paraId="0A4EC036">
            <w:pPr>
              <w:rPr>
                <w:rFonts w:ascii="Arial"/>
                <w:color w:val="auto"/>
                <w:sz w:val="21"/>
                <w:highlight w:val="none"/>
              </w:rPr>
            </w:pPr>
          </w:p>
          <w:p w14:paraId="5D155C51">
            <w:pPr>
              <w:rPr>
                <w:rFonts w:ascii="Arial"/>
                <w:color w:val="auto"/>
                <w:sz w:val="21"/>
                <w:highlight w:val="none"/>
              </w:rPr>
            </w:pPr>
          </w:p>
          <w:p w14:paraId="72402ECC">
            <w:pPr>
              <w:pStyle w:val="18"/>
              <w:spacing w:before="68" w:line="252" w:lineRule="auto"/>
              <w:ind w:left="648" w:right="319" w:hanging="315"/>
              <w:rPr>
                <w:color w:val="auto"/>
                <w:highlight w:val="none"/>
              </w:rPr>
            </w:pPr>
            <w:r>
              <w:rPr>
                <w:color w:val="auto"/>
                <w:spacing w:val="-1"/>
                <w:highlight w:val="none"/>
              </w:rPr>
              <w:t>异议受理部门及</w:t>
            </w:r>
            <w:r>
              <w:rPr>
                <w:color w:val="auto"/>
                <w:highlight w:val="none"/>
              </w:rPr>
              <w:t xml:space="preserve"> </w:t>
            </w:r>
            <w:r>
              <w:rPr>
                <w:color w:val="auto"/>
                <w:spacing w:val="-1"/>
                <w:highlight w:val="none"/>
              </w:rPr>
              <w:t>联系方式</w:t>
            </w:r>
          </w:p>
        </w:tc>
        <w:tc>
          <w:tcPr>
            <w:tcW w:w="5447" w:type="dxa"/>
            <w:vAlign w:val="top"/>
          </w:tcPr>
          <w:p w14:paraId="0CE1A394">
            <w:pPr>
              <w:pStyle w:val="18"/>
              <w:spacing w:before="79" w:line="221" w:lineRule="auto"/>
              <w:ind w:left="112"/>
              <w:rPr>
                <w:color w:val="auto"/>
                <w:highlight w:val="none"/>
              </w:rPr>
            </w:pPr>
            <w:r>
              <w:rPr>
                <w:color w:val="auto"/>
                <w:spacing w:val="-12"/>
                <w:highlight w:val="none"/>
              </w:rPr>
              <w:t>招</w:t>
            </w:r>
            <w:r>
              <w:rPr>
                <w:color w:val="auto"/>
                <w:spacing w:val="22"/>
                <w:highlight w:val="none"/>
              </w:rPr>
              <w:t xml:space="preserve">   </w:t>
            </w:r>
            <w:r>
              <w:rPr>
                <w:color w:val="auto"/>
                <w:spacing w:val="-12"/>
                <w:highlight w:val="none"/>
              </w:rPr>
              <w:t>标</w:t>
            </w:r>
            <w:r>
              <w:rPr>
                <w:color w:val="auto"/>
                <w:spacing w:val="30"/>
                <w:highlight w:val="none"/>
              </w:rPr>
              <w:t xml:space="preserve">  </w:t>
            </w:r>
            <w:r>
              <w:rPr>
                <w:color w:val="auto"/>
                <w:spacing w:val="-12"/>
                <w:highlight w:val="none"/>
              </w:rPr>
              <w:t>人：</w:t>
            </w:r>
          </w:p>
          <w:p w14:paraId="76D85D4E">
            <w:pPr>
              <w:pStyle w:val="18"/>
              <w:spacing w:before="69" w:line="223" w:lineRule="auto"/>
              <w:ind w:left="113"/>
              <w:rPr>
                <w:color w:val="auto"/>
                <w:highlight w:val="none"/>
                <w:u w:val="none" w:color="auto"/>
              </w:rPr>
            </w:pPr>
            <w:r>
              <w:rPr>
                <w:color w:val="auto"/>
                <w:spacing w:val="-29"/>
                <w:w w:val="99"/>
                <w:highlight w:val="none"/>
              </w:rPr>
              <w:t>名</w:t>
            </w:r>
            <w:r>
              <w:rPr>
                <w:color w:val="auto"/>
                <w:spacing w:val="1"/>
                <w:highlight w:val="none"/>
              </w:rPr>
              <w:t xml:space="preserve">        </w:t>
            </w:r>
            <w:r>
              <w:rPr>
                <w:color w:val="auto"/>
                <w:spacing w:val="-29"/>
                <w:w w:val="99"/>
                <w:highlight w:val="none"/>
              </w:rPr>
              <w:t>称：</w:t>
            </w:r>
            <w:r>
              <w:rPr>
                <w:rFonts w:hint="eastAsia" w:cs="宋体"/>
                <w:color w:val="auto"/>
                <w:spacing w:val="4"/>
                <w:highlight w:val="none"/>
                <w:lang w:eastAsia="zh-CN"/>
              </w:rPr>
              <w:t>国网辽宁省电力有限公司营口供电公司</w:t>
            </w:r>
            <w:r>
              <w:rPr>
                <w:color w:val="auto"/>
                <w:spacing w:val="-28"/>
                <w:highlight w:val="none"/>
                <w:u w:val="none" w:color="auto"/>
              </w:rPr>
              <w:t xml:space="preserve"> </w:t>
            </w:r>
            <w:r>
              <w:rPr>
                <w:color w:val="auto"/>
                <w:highlight w:val="none"/>
                <w:u w:val="none" w:color="auto"/>
              </w:rPr>
              <w:t xml:space="preserve">          </w:t>
            </w:r>
          </w:p>
          <w:p w14:paraId="52D9C544">
            <w:pPr>
              <w:pStyle w:val="18"/>
              <w:spacing w:before="63" w:line="230" w:lineRule="auto"/>
              <w:ind w:left="111"/>
              <w:rPr>
                <w:color w:val="auto"/>
                <w:highlight w:val="none"/>
              </w:rPr>
            </w:pPr>
            <w:r>
              <w:rPr>
                <w:color w:val="auto"/>
                <w:spacing w:val="-29"/>
                <w:w w:val="99"/>
                <w:highlight w:val="none"/>
              </w:rPr>
              <w:t>地</w:t>
            </w:r>
            <w:r>
              <w:rPr>
                <w:color w:val="auto"/>
                <w:spacing w:val="1"/>
                <w:highlight w:val="none"/>
              </w:rPr>
              <w:t xml:space="preserve">        </w:t>
            </w:r>
            <w:r>
              <w:rPr>
                <w:color w:val="auto"/>
                <w:spacing w:val="-29"/>
                <w:w w:val="99"/>
                <w:highlight w:val="none"/>
              </w:rPr>
              <w:t>址：</w:t>
            </w:r>
            <w:r>
              <w:rPr>
                <w:color w:val="auto"/>
                <w:spacing w:val="-25"/>
                <w:highlight w:val="none"/>
              </w:rPr>
              <w:t xml:space="preserve"> </w:t>
            </w:r>
            <w:r>
              <w:rPr>
                <w:rFonts w:hint="eastAsia" w:cs="宋体"/>
                <w:color w:val="auto"/>
                <w:spacing w:val="4"/>
                <w:highlight w:val="none"/>
                <w:lang w:eastAsia="zh-CN"/>
              </w:rPr>
              <w:t>营口市站前区渤海大街东40号</w:t>
            </w:r>
            <w:r>
              <w:rPr>
                <w:color w:val="auto"/>
                <w:highlight w:val="none"/>
                <w:u w:val="none" w:color="auto"/>
              </w:rPr>
              <w:t xml:space="preserve">          </w:t>
            </w:r>
          </w:p>
          <w:p w14:paraId="52FB9F7D">
            <w:pPr>
              <w:pStyle w:val="18"/>
              <w:spacing w:before="59" w:line="223" w:lineRule="auto"/>
              <w:ind w:left="112"/>
              <w:rPr>
                <w:color w:val="auto"/>
                <w:highlight w:val="none"/>
              </w:rPr>
            </w:pPr>
            <w:r>
              <w:rPr>
                <w:color w:val="auto"/>
                <w:spacing w:val="-7"/>
                <w:highlight w:val="none"/>
              </w:rPr>
              <w:t>联</w:t>
            </w:r>
            <w:r>
              <w:rPr>
                <w:color w:val="auto"/>
                <w:spacing w:val="22"/>
                <w:highlight w:val="none"/>
              </w:rPr>
              <w:t xml:space="preserve">   </w:t>
            </w:r>
            <w:r>
              <w:rPr>
                <w:color w:val="auto"/>
                <w:spacing w:val="-7"/>
                <w:highlight w:val="none"/>
              </w:rPr>
              <w:t>系</w:t>
            </w:r>
            <w:r>
              <w:rPr>
                <w:color w:val="auto"/>
                <w:spacing w:val="30"/>
                <w:highlight w:val="none"/>
              </w:rPr>
              <w:t xml:space="preserve">  </w:t>
            </w:r>
            <w:r>
              <w:rPr>
                <w:color w:val="auto"/>
                <w:spacing w:val="-7"/>
                <w:highlight w:val="none"/>
              </w:rPr>
              <w:t>人：</w:t>
            </w:r>
            <w:r>
              <w:rPr>
                <w:rFonts w:hint="eastAsia" w:cs="宋体"/>
                <w:color w:val="auto"/>
                <w:spacing w:val="4"/>
                <w:highlight w:val="none"/>
                <w:lang w:eastAsia="zh-CN"/>
              </w:rPr>
              <w:t>苏先生</w:t>
            </w:r>
            <w:r>
              <w:rPr>
                <w:color w:val="auto"/>
                <w:highlight w:val="none"/>
                <w:u w:val="none" w:color="auto"/>
              </w:rPr>
              <w:t xml:space="preserve">          </w:t>
            </w:r>
          </w:p>
          <w:p w14:paraId="609C24DA">
            <w:pPr>
              <w:pStyle w:val="18"/>
              <w:spacing w:before="67" w:line="223" w:lineRule="auto"/>
              <w:ind w:left="136"/>
              <w:rPr>
                <w:rFonts w:hint="eastAsia" w:eastAsia="宋体"/>
                <w:color w:val="auto"/>
                <w:highlight w:val="none"/>
                <w:lang w:eastAsia="zh-CN"/>
              </w:rPr>
            </w:pPr>
            <w:r>
              <w:rPr>
                <w:color w:val="auto"/>
                <w:spacing w:val="-30"/>
                <w:w w:val="96"/>
                <w:highlight w:val="none"/>
              </w:rPr>
              <w:t>电</w:t>
            </w:r>
            <w:r>
              <w:rPr>
                <w:color w:val="auto"/>
                <w:spacing w:val="1"/>
                <w:highlight w:val="none"/>
              </w:rPr>
              <w:t xml:space="preserve">        </w:t>
            </w:r>
            <w:r>
              <w:rPr>
                <w:color w:val="auto"/>
                <w:spacing w:val="-30"/>
                <w:w w:val="96"/>
                <w:highlight w:val="none"/>
              </w:rPr>
              <w:t>话：</w:t>
            </w:r>
            <w:r>
              <w:rPr>
                <w:rFonts w:hint="eastAsia" w:cs="宋体"/>
                <w:color w:val="auto"/>
                <w:spacing w:val="4"/>
                <w:highlight w:val="none"/>
                <w:lang w:eastAsia="zh-CN"/>
              </w:rPr>
              <w:t>0417-2994659</w:t>
            </w:r>
          </w:p>
          <w:p w14:paraId="45E4AFC4">
            <w:pPr>
              <w:pStyle w:val="18"/>
              <w:spacing w:before="64" w:line="283" w:lineRule="auto"/>
              <w:ind w:left="126"/>
              <w:rPr>
                <w:rFonts w:hint="default" w:eastAsia="宋体"/>
                <w:color w:val="auto"/>
                <w:highlight w:val="none"/>
                <w:lang w:val="en-US" w:eastAsia="zh-CN"/>
              </w:rPr>
            </w:pPr>
            <w:r>
              <w:rPr>
                <w:color w:val="auto"/>
                <w:spacing w:val="-24"/>
                <w:highlight w:val="none"/>
              </w:rPr>
              <w:t>邮</w:t>
            </w:r>
            <w:r>
              <w:rPr>
                <w:color w:val="auto"/>
                <w:spacing w:val="62"/>
                <w:highlight w:val="none"/>
              </w:rPr>
              <w:t xml:space="preserve"> </w:t>
            </w:r>
            <w:r>
              <w:rPr>
                <w:color w:val="auto"/>
                <w:spacing w:val="-24"/>
                <w:highlight w:val="none"/>
              </w:rPr>
              <w:t>政</w:t>
            </w:r>
            <w:r>
              <w:rPr>
                <w:color w:val="auto"/>
                <w:spacing w:val="11"/>
                <w:highlight w:val="none"/>
              </w:rPr>
              <w:t xml:space="preserve"> </w:t>
            </w:r>
            <w:r>
              <w:rPr>
                <w:color w:val="auto"/>
                <w:spacing w:val="-24"/>
                <w:highlight w:val="none"/>
              </w:rPr>
              <w:t>编</w:t>
            </w:r>
            <w:r>
              <w:rPr>
                <w:color w:val="auto"/>
                <w:spacing w:val="56"/>
                <w:highlight w:val="none"/>
              </w:rPr>
              <w:t xml:space="preserve"> </w:t>
            </w:r>
            <w:r>
              <w:rPr>
                <w:color w:val="auto"/>
                <w:spacing w:val="-24"/>
                <w:highlight w:val="none"/>
              </w:rPr>
              <w:t>码：</w:t>
            </w:r>
            <w:r>
              <w:rPr>
                <w:rFonts w:hint="eastAsia"/>
                <w:color w:val="auto"/>
                <w:spacing w:val="-30"/>
                <w:highlight w:val="none"/>
                <w:lang w:val="en-US" w:eastAsia="zh-CN"/>
              </w:rPr>
              <w:t>115000</w:t>
            </w:r>
          </w:p>
          <w:p w14:paraId="0297AF04">
            <w:pPr>
              <w:pStyle w:val="18"/>
              <w:spacing w:before="1" w:line="219" w:lineRule="auto"/>
              <w:ind w:left="112"/>
              <w:rPr>
                <w:color w:val="auto"/>
                <w:highlight w:val="none"/>
              </w:rPr>
            </w:pPr>
            <w:r>
              <w:rPr>
                <w:color w:val="auto"/>
                <w:spacing w:val="-5"/>
                <w:highlight w:val="none"/>
              </w:rPr>
              <w:t>招标代理机构：</w:t>
            </w:r>
          </w:p>
          <w:p w14:paraId="4DE7D195">
            <w:pPr>
              <w:pStyle w:val="18"/>
              <w:spacing w:before="71" w:line="223" w:lineRule="auto"/>
              <w:ind w:left="113"/>
              <w:rPr>
                <w:color w:val="auto"/>
                <w:highlight w:val="none"/>
              </w:rPr>
            </w:pPr>
            <w:r>
              <w:rPr>
                <w:color w:val="auto"/>
                <w:spacing w:val="-29"/>
                <w:w w:val="99"/>
                <w:highlight w:val="none"/>
              </w:rPr>
              <w:t>名</w:t>
            </w:r>
            <w:r>
              <w:rPr>
                <w:color w:val="auto"/>
                <w:spacing w:val="1"/>
                <w:highlight w:val="none"/>
              </w:rPr>
              <w:t xml:space="preserve">        </w:t>
            </w:r>
            <w:r>
              <w:rPr>
                <w:color w:val="auto"/>
                <w:spacing w:val="-29"/>
                <w:w w:val="99"/>
                <w:highlight w:val="none"/>
              </w:rPr>
              <w:t>称：</w:t>
            </w:r>
            <w:r>
              <w:rPr>
                <w:rFonts w:hint="eastAsia" w:cs="宋体"/>
                <w:color w:val="auto"/>
                <w:spacing w:val="4"/>
                <w:highlight w:val="none"/>
                <w:lang w:eastAsia="zh-CN"/>
              </w:rPr>
              <w:t>辽宁金誉建设工程造价咨询有限责任公司</w:t>
            </w:r>
            <w:r>
              <w:rPr>
                <w:color w:val="auto"/>
                <w:spacing w:val="-28"/>
                <w:highlight w:val="none"/>
              </w:rPr>
              <w:t xml:space="preserve"> </w:t>
            </w:r>
            <w:r>
              <w:rPr>
                <w:color w:val="auto"/>
                <w:highlight w:val="none"/>
                <w:u w:val="none" w:color="auto"/>
              </w:rPr>
              <w:t xml:space="preserve">        </w:t>
            </w:r>
            <w:r>
              <w:rPr>
                <w:color w:val="auto"/>
                <w:highlight w:val="none"/>
                <w:u w:val="single" w:color="auto"/>
              </w:rPr>
              <w:t xml:space="preserve">  </w:t>
            </w:r>
          </w:p>
          <w:p w14:paraId="63A83E79">
            <w:pPr>
              <w:pStyle w:val="18"/>
              <w:spacing w:before="72" w:line="240" w:lineRule="auto"/>
              <w:ind w:left="113"/>
              <w:rPr>
                <w:rFonts w:hint="eastAsia" w:ascii="宋体" w:hAnsi="宋体" w:eastAsia="宋体" w:cs="宋体"/>
                <w:color w:val="auto"/>
                <w:spacing w:val="4"/>
                <w:highlight w:val="none"/>
                <w:lang w:eastAsia="zh-CN"/>
              </w:rPr>
            </w:pPr>
            <w:r>
              <w:rPr>
                <w:color w:val="auto"/>
                <w:spacing w:val="-29"/>
                <w:w w:val="99"/>
                <w:highlight w:val="none"/>
              </w:rPr>
              <w:t>地</w:t>
            </w:r>
            <w:r>
              <w:rPr>
                <w:color w:val="auto"/>
                <w:spacing w:val="1"/>
                <w:highlight w:val="none"/>
              </w:rPr>
              <w:t xml:space="preserve">        </w:t>
            </w:r>
            <w:r>
              <w:rPr>
                <w:color w:val="auto"/>
                <w:spacing w:val="-29"/>
                <w:w w:val="99"/>
                <w:highlight w:val="none"/>
              </w:rPr>
              <w:t>址：</w:t>
            </w:r>
            <w:r>
              <w:rPr>
                <w:rFonts w:hint="eastAsia" w:cs="宋体"/>
                <w:color w:val="auto"/>
                <w:spacing w:val="4"/>
                <w:highlight w:val="none"/>
                <w:lang w:eastAsia="zh-CN"/>
              </w:rPr>
              <w:t>营口市站前区永红街7-甲11号</w:t>
            </w:r>
          </w:p>
          <w:p w14:paraId="79C2CB58">
            <w:pPr>
              <w:pStyle w:val="18"/>
              <w:spacing w:before="72" w:line="240" w:lineRule="auto"/>
              <w:ind w:left="113"/>
              <w:rPr>
                <w:rFonts w:hint="eastAsia" w:ascii="宋体" w:hAnsi="宋体" w:eastAsia="宋体" w:cs="宋体"/>
                <w:color w:val="auto"/>
                <w:spacing w:val="4"/>
                <w:highlight w:val="none"/>
              </w:rPr>
            </w:pPr>
            <w:r>
              <w:rPr>
                <w:color w:val="auto"/>
                <w:spacing w:val="-25"/>
                <w:highlight w:val="none"/>
              </w:rPr>
              <w:t>联</w:t>
            </w:r>
            <w:r>
              <w:rPr>
                <w:color w:val="auto"/>
                <w:spacing w:val="22"/>
                <w:highlight w:val="none"/>
              </w:rPr>
              <w:t xml:space="preserve">   </w:t>
            </w:r>
            <w:r>
              <w:rPr>
                <w:color w:val="auto"/>
                <w:spacing w:val="-25"/>
                <w:highlight w:val="none"/>
              </w:rPr>
              <w:t>系</w:t>
            </w:r>
            <w:r>
              <w:rPr>
                <w:color w:val="auto"/>
                <w:spacing w:val="29"/>
                <w:highlight w:val="none"/>
              </w:rPr>
              <w:t xml:space="preserve">  </w:t>
            </w:r>
            <w:r>
              <w:rPr>
                <w:color w:val="auto"/>
                <w:spacing w:val="-25"/>
                <w:highlight w:val="none"/>
              </w:rPr>
              <w:t>人：</w:t>
            </w:r>
            <w:r>
              <w:rPr>
                <w:rFonts w:hint="eastAsia" w:cs="宋体"/>
                <w:color w:val="auto"/>
                <w:spacing w:val="4"/>
                <w:highlight w:val="none"/>
                <w:lang w:eastAsia="zh-CN"/>
              </w:rPr>
              <w:t>尹女士</w:t>
            </w:r>
          </w:p>
          <w:p w14:paraId="448764E4">
            <w:pPr>
              <w:pStyle w:val="18"/>
              <w:spacing w:before="69" w:line="223" w:lineRule="auto"/>
              <w:ind w:left="136"/>
              <w:rPr>
                <w:color w:val="auto"/>
                <w:highlight w:val="none"/>
              </w:rPr>
            </w:pPr>
            <w:r>
              <w:rPr>
                <w:color w:val="auto"/>
                <w:spacing w:val="-30"/>
                <w:w w:val="96"/>
                <w:highlight w:val="none"/>
              </w:rPr>
              <w:t>电</w:t>
            </w:r>
            <w:r>
              <w:rPr>
                <w:color w:val="auto"/>
                <w:spacing w:val="1"/>
                <w:highlight w:val="none"/>
              </w:rPr>
              <w:t xml:space="preserve">        </w:t>
            </w:r>
            <w:r>
              <w:rPr>
                <w:color w:val="auto"/>
                <w:spacing w:val="-30"/>
                <w:w w:val="96"/>
                <w:highlight w:val="none"/>
              </w:rPr>
              <w:t>话：</w:t>
            </w:r>
            <w:r>
              <w:rPr>
                <w:color w:val="auto"/>
                <w:spacing w:val="-28"/>
                <w:highlight w:val="none"/>
              </w:rPr>
              <w:t xml:space="preserve"> </w:t>
            </w:r>
            <w:r>
              <w:rPr>
                <w:rFonts w:hint="eastAsia" w:cs="宋体"/>
                <w:color w:val="auto"/>
                <w:spacing w:val="4"/>
                <w:highlight w:val="none"/>
                <w:lang w:eastAsia="zh-CN"/>
              </w:rPr>
              <w:t>0417-2829979</w:t>
            </w:r>
          </w:p>
          <w:p w14:paraId="4619461A">
            <w:pPr>
              <w:pStyle w:val="18"/>
              <w:spacing w:before="63" w:line="221" w:lineRule="auto"/>
              <w:ind w:left="126"/>
              <w:rPr>
                <w:color w:val="auto"/>
                <w:highlight w:val="none"/>
              </w:rPr>
            </w:pPr>
            <w:r>
              <w:rPr>
                <w:color w:val="auto"/>
                <w:spacing w:val="-24"/>
                <w:highlight w:val="none"/>
              </w:rPr>
              <w:t>邮</w:t>
            </w:r>
            <w:r>
              <w:rPr>
                <w:color w:val="auto"/>
                <w:spacing w:val="62"/>
                <w:highlight w:val="none"/>
              </w:rPr>
              <w:t xml:space="preserve"> </w:t>
            </w:r>
            <w:r>
              <w:rPr>
                <w:color w:val="auto"/>
                <w:spacing w:val="-24"/>
                <w:highlight w:val="none"/>
              </w:rPr>
              <w:t>政</w:t>
            </w:r>
            <w:r>
              <w:rPr>
                <w:color w:val="auto"/>
                <w:spacing w:val="11"/>
                <w:highlight w:val="none"/>
              </w:rPr>
              <w:t xml:space="preserve"> </w:t>
            </w:r>
            <w:r>
              <w:rPr>
                <w:color w:val="auto"/>
                <w:spacing w:val="-24"/>
                <w:highlight w:val="none"/>
              </w:rPr>
              <w:t>编</w:t>
            </w:r>
            <w:r>
              <w:rPr>
                <w:color w:val="auto"/>
                <w:spacing w:val="56"/>
                <w:highlight w:val="none"/>
              </w:rPr>
              <w:t xml:space="preserve"> </w:t>
            </w:r>
            <w:r>
              <w:rPr>
                <w:color w:val="auto"/>
                <w:spacing w:val="-24"/>
                <w:highlight w:val="none"/>
              </w:rPr>
              <w:t>码：</w:t>
            </w:r>
            <w:r>
              <w:rPr>
                <w:color w:val="auto"/>
                <w:spacing w:val="-30"/>
                <w:highlight w:val="none"/>
              </w:rPr>
              <w:t xml:space="preserve"> </w:t>
            </w:r>
            <w:r>
              <w:rPr>
                <w:rFonts w:hint="eastAsia"/>
                <w:color w:val="auto"/>
                <w:spacing w:val="-30"/>
                <w:highlight w:val="none"/>
                <w:lang w:val="en-US" w:eastAsia="zh-CN"/>
              </w:rPr>
              <w:t>115000</w:t>
            </w:r>
            <w:r>
              <w:rPr>
                <w:color w:val="auto"/>
                <w:highlight w:val="none"/>
                <w:u w:val="none" w:color="auto"/>
              </w:rPr>
              <w:t xml:space="preserve">          </w:t>
            </w:r>
          </w:p>
          <w:p w14:paraId="5A2D76B4">
            <w:pPr>
              <w:pStyle w:val="18"/>
              <w:spacing w:before="70" w:line="245" w:lineRule="auto"/>
              <w:ind w:left="114" w:right="116" w:hanging="1"/>
              <w:rPr>
                <w:color w:val="auto"/>
                <w:highlight w:val="none"/>
              </w:rPr>
            </w:pPr>
            <w:r>
              <w:rPr>
                <w:color w:val="auto"/>
                <w:spacing w:val="7"/>
                <w:highlight w:val="none"/>
              </w:rPr>
              <w:t>异议投诉渠道：辽宁省工程建设项目招标投标异议投诉</w:t>
            </w:r>
            <w:r>
              <w:rPr>
                <w:color w:val="auto"/>
                <w:spacing w:val="2"/>
                <w:highlight w:val="none"/>
              </w:rPr>
              <w:t xml:space="preserve"> </w:t>
            </w:r>
            <w:r>
              <w:rPr>
                <w:color w:val="auto"/>
                <w:spacing w:val="-2"/>
                <w:highlight w:val="none"/>
              </w:rPr>
              <w:t>处理系统</w:t>
            </w:r>
          </w:p>
        </w:tc>
      </w:tr>
      <w:tr w14:paraId="1DE46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6D463B9D">
            <w:pPr>
              <w:pStyle w:val="18"/>
              <w:spacing w:before="112" w:line="243" w:lineRule="auto"/>
              <w:ind w:left="120" w:right="124" w:firstLine="99"/>
              <w:rPr>
                <w:color w:val="auto"/>
                <w:highlight w:val="none"/>
              </w:rPr>
            </w:pPr>
            <w:r>
              <w:rPr>
                <w:rFonts w:ascii="Times New Roman" w:hAnsi="Times New Roman" w:eastAsia="Times New Roman" w:cs="Times New Roman"/>
                <w:color w:val="auto"/>
                <w:spacing w:val="-2"/>
                <w:highlight w:val="none"/>
              </w:rPr>
              <w:t>3.1.1</w:t>
            </w:r>
            <w:r>
              <w:rPr>
                <w:rFonts w:ascii="Times New Roman" w:hAnsi="Times New Roman" w:eastAsia="Times New Roman" w:cs="Times New Roman"/>
                <w:color w:val="auto"/>
                <w:highlight w:val="none"/>
              </w:rPr>
              <w:t xml:space="preserve">   </w:t>
            </w:r>
            <w:r>
              <w:rPr>
                <w:color w:val="auto"/>
                <w:spacing w:val="-7"/>
                <w:highlight w:val="none"/>
              </w:rPr>
              <w:t>（</w:t>
            </w:r>
            <w:r>
              <w:rPr>
                <w:rFonts w:ascii="Times New Roman" w:hAnsi="Times New Roman" w:eastAsia="Times New Roman" w:cs="Times New Roman"/>
                <w:color w:val="auto"/>
                <w:spacing w:val="-7"/>
                <w:highlight w:val="none"/>
              </w:rPr>
              <w:t>10</w:t>
            </w:r>
            <w:r>
              <w:rPr>
                <w:color w:val="auto"/>
                <w:spacing w:val="-7"/>
                <w:highlight w:val="none"/>
              </w:rPr>
              <w:t>）</w:t>
            </w:r>
          </w:p>
        </w:tc>
        <w:tc>
          <w:tcPr>
            <w:tcW w:w="2121" w:type="dxa"/>
            <w:vAlign w:val="top"/>
          </w:tcPr>
          <w:p w14:paraId="3D2DFBC4">
            <w:pPr>
              <w:pStyle w:val="18"/>
              <w:spacing w:before="75" w:line="245" w:lineRule="auto"/>
              <w:ind w:left="858" w:right="108" w:hanging="737"/>
              <w:rPr>
                <w:color w:val="auto"/>
                <w:highlight w:val="none"/>
              </w:rPr>
            </w:pPr>
            <w:r>
              <w:rPr>
                <w:color w:val="auto"/>
                <w:spacing w:val="-1"/>
                <w:highlight w:val="none"/>
              </w:rPr>
              <w:t>构成投标文件的其他</w:t>
            </w:r>
            <w:r>
              <w:rPr>
                <w:color w:val="auto"/>
                <w:spacing w:val="3"/>
                <w:highlight w:val="none"/>
              </w:rPr>
              <w:t xml:space="preserve"> </w:t>
            </w:r>
            <w:r>
              <w:rPr>
                <w:color w:val="auto"/>
                <w:spacing w:val="-2"/>
                <w:highlight w:val="none"/>
              </w:rPr>
              <w:t>材料</w:t>
            </w:r>
          </w:p>
        </w:tc>
        <w:tc>
          <w:tcPr>
            <w:tcW w:w="5447" w:type="dxa"/>
            <w:vAlign w:val="top"/>
          </w:tcPr>
          <w:p w14:paraId="2FD5DEB1">
            <w:pPr>
              <w:rPr>
                <w:rFonts w:ascii="Arial"/>
                <w:color w:val="auto"/>
                <w:sz w:val="21"/>
                <w:highlight w:val="none"/>
              </w:rPr>
            </w:pPr>
            <w:r>
              <w:rPr>
                <w:rFonts w:hint="eastAsia"/>
                <w:color w:val="auto"/>
                <w:highlight w:val="none"/>
                <w:lang w:eastAsia="zh-CN"/>
              </w:rPr>
              <w:t>工程量清单，图纸，技术文件等</w:t>
            </w:r>
          </w:p>
        </w:tc>
      </w:tr>
      <w:tr w14:paraId="617CC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14:paraId="31A5700F">
            <w:pPr>
              <w:spacing w:line="267" w:lineRule="auto"/>
              <w:rPr>
                <w:rFonts w:ascii="Arial"/>
                <w:color w:val="auto"/>
                <w:sz w:val="21"/>
                <w:highlight w:val="none"/>
              </w:rPr>
            </w:pPr>
          </w:p>
          <w:p w14:paraId="67E03964">
            <w:pPr>
              <w:spacing w:line="267" w:lineRule="auto"/>
              <w:rPr>
                <w:rFonts w:ascii="Arial"/>
                <w:color w:val="auto"/>
                <w:sz w:val="21"/>
                <w:highlight w:val="none"/>
              </w:rPr>
            </w:pPr>
          </w:p>
          <w:p w14:paraId="28950C57">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3.2.4</w:t>
            </w:r>
          </w:p>
        </w:tc>
        <w:tc>
          <w:tcPr>
            <w:tcW w:w="2121" w:type="dxa"/>
            <w:vAlign w:val="top"/>
          </w:tcPr>
          <w:p w14:paraId="4681F91F">
            <w:pPr>
              <w:spacing w:line="245" w:lineRule="auto"/>
              <w:rPr>
                <w:rFonts w:ascii="Arial"/>
                <w:color w:val="auto"/>
                <w:sz w:val="21"/>
                <w:highlight w:val="none"/>
              </w:rPr>
            </w:pPr>
          </w:p>
          <w:p w14:paraId="0090CDAE">
            <w:pPr>
              <w:spacing w:line="245" w:lineRule="auto"/>
              <w:rPr>
                <w:rFonts w:ascii="Arial"/>
                <w:color w:val="auto"/>
                <w:sz w:val="21"/>
                <w:highlight w:val="none"/>
              </w:rPr>
            </w:pPr>
          </w:p>
          <w:p w14:paraId="41F20365">
            <w:pPr>
              <w:pStyle w:val="18"/>
              <w:spacing w:before="68" w:line="219" w:lineRule="auto"/>
              <w:ind w:left="438"/>
              <w:rPr>
                <w:color w:val="auto"/>
                <w:highlight w:val="none"/>
              </w:rPr>
            </w:pPr>
            <w:r>
              <w:rPr>
                <w:color w:val="auto"/>
                <w:spacing w:val="-1"/>
                <w:highlight w:val="none"/>
              </w:rPr>
              <w:t>最高投标限价</w:t>
            </w:r>
          </w:p>
        </w:tc>
        <w:tc>
          <w:tcPr>
            <w:tcW w:w="5447" w:type="dxa"/>
            <w:vAlign w:val="top"/>
          </w:tcPr>
          <w:p w14:paraId="3AFF064B">
            <w:pPr>
              <w:pStyle w:val="18"/>
              <w:spacing w:before="81" w:line="219" w:lineRule="auto"/>
              <w:ind w:left="132"/>
              <w:rPr>
                <w:color w:val="auto"/>
                <w:highlight w:val="none"/>
              </w:rPr>
            </w:pPr>
            <w:r>
              <w:rPr>
                <w:color w:val="auto"/>
                <w:spacing w:val="-3"/>
                <w:highlight w:val="none"/>
              </w:rPr>
              <w:t>□不设置最高投标限价</w:t>
            </w:r>
          </w:p>
          <w:p w14:paraId="6717E221">
            <w:pPr>
              <w:spacing w:line="300" w:lineRule="exact"/>
              <w:ind w:firstLine="196" w:firstLineChars="100"/>
              <w:jc w:val="left"/>
              <w:rPr>
                <w:color w:val="auto"/>
                <w:highlight w:val="none"/>
              </w:rPr>
            </w:pPr>
            <w:r>
              <w:rPr>
                <w:color w:val="auto"/>
                <w:spacing w:val="-7"/>
                <w:highlight w:val="none"/>
              </w:rPr>
              <w:sym w:font="Wingdings 2" w:char="0052"/>
            </w:r>
            <w:r>
              <w:rPr>
                <w:color w:val="auto"/>
                <w:spacing w:val="-7"/>
                <w:highlight w:val="none"/>
              </w:rPr>
              <w:t>设置</w:t>
            </w:r>
            <w:r>
              <w:rPr>
                <w:rFonts w:hint="eastAsia"/>
                <w:color w:val="auto"/>
                <w:highlight w:val="none"/>
              </w:rPr>
              <w:t>最高投标限价：</w:t>
            </w:r>
            <w:r>
              <w:rPr>
                <w:rFonts w:hint="eastAsia"/>
                <w:color w:val="auto"/>
                <w:highlight w:val="none"/>
                <w:u w:val="single"/>
              </w:rPr>
              <w:t>人民币11</w:t>
            </w:r>
            <w:r>
              <w:rPr>
                <w:rFonts w:hint="eastAsia" w:eastAsia="宋体"/>
                <w:color w:val="auto"/>
                <w:highlight w:val="none"/>
                <w:u w:val="single"/>
                <w:lang w:val="en-US" w:eastAsia="zh-CN"/>
              </w:rPr>
              <w:t>,</w:t>
            </w:r>
            <w:r>
              <w:rPr>
                <w:rFonts w:hint="eastAsia"/>
                <w:color w:val="auto"/>
                <w:highlight w:val="none"/>
                <w:u w:val="single"/>
              </w:rPr>
              <w:t>518</w:t>
            </w:r>
            <w:r>
              <w:rPr>
                <w:rFonts w:hint="eastAsia" w:eastAsia="宋体"/>
                <w:color w:val="auto"/>
                <w:highlight w:val="none"/>
                <w:u w:val="single"/>
                <w:lang w:val="en-US" w:eastAsia="zh-CN"/>
              </w:rPr>
              <w:t>,</w:t>
            </w:r>
            <w:r>
              <w:rPr>
                <w:rFonts w:hint="eastAsia"/>
                <w:color w:val="auto"/>
                <w:highlight w:val="none"/>
                <w:u w:val="single"/>
              </w:rPr>
              <w:t xml:space="preserve">312.86元，其中包含暂列金额  </w:t>
            </w:r>
            <w:r>
              <w:rPr>
                <w:rFonts w:hint="eastAsia" w:eastAsia="宋体"/>
                <w:color w:val="auto"/>
                <w:highlight w:val="none"/>
                <w:u w:val="single"/>
                <w:lang w:val="en-US" w:eastAsia="zh-CN"/>
              </w:rPr>
              <w:t>1,000,000.00</w:t>
            </w:r>
            <w:r>
              <w:rPr>
                <w:rFonts w:hint="eastAsia"/>
                <w:color w:val="auto"/>
                <w:highlight w:val="none"/>
                <w:u w:val="single"/>
              </w:rPr>
              <w:t>元（不计取任何费用）</w:t>
            </w:r>
            <w:r>
              <w:rPr>
                <w:rFonts w:hint="eastAsia"/>
                <w:color w:val="auto"/>
                <w:highlight w:val="none"/>
              </w:rPr>
              <w:t>。</w:t>
            </w:r>
          </w:p>
          <w:p w14:paraId="30503026">
            <w:pPr>
              <w:spacing w:line="300" w:lineRule="exact"/>
              <w:jc w:val="left"/>
              <w:rPr>
                <w:color w:val="auto"/>
                <w:highlight w:val="none"/>
              </w:rPr>
            </w:pPr>
            <w:r>
              <w:rPr>
                <w:rFonts w:hint="eastAsia"/>
                <w:color w:val="auto"/>
                <w:highlight w:val="none"/>
              </w:rPr>
              <w:t>最高投标限价公布时间：投标截止时间日前。</w:t>
            </w:r>
          </w:p>
          <w:p w14:paraId="6642C6F1">
            <w:pPr>
              <w:pStyle w:val="18"/>
              <w:spacing w:before="66" w:line="245" w:lineRule="auto"/>
              <w:ind w:left="112" w:right="381" w:firstLine="1"/>
              <w:rPr>
                <w:color w:val="auto"/>
                <w:highlight w:val="none"/>
              </w:rPr>
            </w:pPr>
            <w:r>
              <w:rPr>
                <w:rFonts w:hint="eastAsia"/>
                <w:color w:val="auto"/>
                <w:highlight w:val="none"/>
              </w:rPr>
              <w:t>其他要求：</w:t>
            </w:r>
            <w:r>
              <w:rPr>
                <w:rFonts w:hint="eastAsia"/>
                <w:color w:val="auto"/>
                <w:highlight w:val="none"/>
                <w:u w:val="single"/>
              </w:rPr>
              <w:t>（1）投标人的投标报价不得超过本标段最高投标限价（招标控制价），否则按废标处理。（2）暂列金额必须按</w:t>
            </w:r>
            <w:r>
              <w:rPr>
                <w:rFonts w:hint="eastAsia"/>
                <w:color w:val="auto"/>
                <w:highlight w:val="none"/>
                <w:u w:val="single"/>
                <w:lang w:val="en-US" w:eastAsia="zh-CN"/>
              </w:rPr>
              <w:t>1,000,000.00</w:t>
            </w:r>
            <w:r>
              <w:rPr>
                <w:rFonts w:hint="eastAsia"/>
                <w:color w:val="auto"/>
                <w:highlight w:val="none"/>
                <w:u w:val="single"/>
              </w:rPr>
              <w:t>元填报，不计取任何费用，否则按废标处理。</w:t>
            </w:r>
          </w:p>
        </w:tc>
      </w:tr>
      <w:tr w14:paraId="11122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14:paraId="6F88369E">
            <w:pPr>
              <w:spacing w:line="292" w:lineRule="auto"/>
              <w:rPr>
                <w:rFonts w:ascii="Arial"/>
                <w:color w:val="auto"/>
                <w:sz w:val="21"/>
                <w:highlight w:val="none"/>
              </w:rPr>
            </w:pPr>
          </w:p>
          <w:p w14:paraId="2B96CC6B">
            <w:pPr>
              <w:spacing w:line="292" w:lineRule="auto"/>
              <w:rPr>
                <w:rFonts w:ascii="Arial"/>
                <w:color w:val="auto"/>
                <w:sz w:val="21"/>
                <w:highlight w:val="none"/>
              </w:rPr>
            </w:pPr>
          </w:p>
          <w:p w14:paraId="2753607B">
            <w:pPr>
              <w:spacing w:line="292" w:lineRule="auto"/>
              <w:rPr>
                <w:rFonts w:ascii="Arial"/>
                <w:color w:val="auto"/>
                <w:sz w:val="21"/>
                <w:highlight w:val="none"/>
              </w:rPr>
            </w:pPr>
          </w:p>
          <w:p w14:paraId="4DB5997E">
            <w:pPr>
              <w:spacing w:line="293" w:lineRule="auto"/>
              <w:rPr>
                <w:rFonts w:ascii="Arial"/>
                <w:color w:val="auto"/>
                <w:sz w:val="21"/>
                <w:highlight w:val="none"/>
              </w:rPr>
            </w:pPr>
          </w:p>
          <w:p w14:paraId="2D17B66D">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3.2.5</w:t>
            </w:r>
          </w:p>
        </w:tc>
        <w:tc>
          <w:tcPr>
            <w:tcW w:w="2121" w:type="dxa"/>
            <w:vAlign w:val="top"/>
          </w:tcPr>
          <w:p w14:paraId="2A4D2918">
            <w:pPr>
              <w:spacing w:line="281" w:lineRule="auto"/>
              <w:rPr>
                <w:rFonts w:ascii="Arial"/>
                <w:color w:val="auto"/>
                <w:sz w:val="21"/>
                <w:highlight w:val="none"/>
              </w:rPr>
            </w:pPr>
          </w:p>
          <w:p w14:paraId="6D060B68">
            <w:pPr>
              <w:spacing w:line="281" w:lineRule="auto"/>
              <w:rPr>
                <w:rFonts w:ascii="Arial"/>
                <w:color w:val="auto"/>
                <w:sz w:val="21"/>
                <w:highlight w:val="none"/>
              </w:rPr>
            </w:pPr>
          </w:p>
          <w:p w14:paraId="28CF56A6">
            <w:pPr>
              <w:spacing w:line="281" w:lineRule="auto"/>
              <w:rPr>
                <w:rFonts w:ascii="Arial"/>
                <w:color w:val="auto"/>
                <w:sz w:val="21"/>
                <w:highlight w:val="none"/>
              </w:rPr>
            </w:pPr>
          </w:p>
          <w:p w14:paraId="3B646CA7">
            <w:pPr>
              <w:spacing w:line="282" w:lineRule="auto"/>
              <w:rPr>
                <w:rFonts w:ascii="Arial"/>
                <w:color w:val="auto"/>
                <w:sz w:val="21"/>
                <w:highlight w:val="none"/>
              </w:rPr>
            </w:pPr>
          </w:p>
          <w:p w14:paraId="51D95024">
            <w:pPr>
              <w:pStyle w:val="18"/>
              <w:spacing w:before="68" w:line="219" w:lineRule="auto"/>
              <w:ind w:left="646"/>
              <w:rPr>
                <w:color w:val="auto"/>
                <w:highlight w:val="none"/>
              </w:rPr>
            </w:pPr>
            <w:r>
              <w:rPr>
                <w:color w:val="auto"/>
                <w:spacing w:val="-1"/>
                <w:highlight w:val="none"/>
              </w:rPr>
              <w:t>报价说明</w:t>
            </w:r>
          </w:p>
        </w:tc>
        <w:tc>
          <w:tcPr>
            <w:tcW w:w="5447" w:type="dxa"/>
            <w:vAlign w:val="top"/>
          </w:tcPr>
          <w:p w14:paraId="754F0131">
            <w:pPr>
              <w:pStyle w:val="18"/>
              <w:spacing w:before="81" w:line="219" w:lineRule="auto"/>
              <w:ind w:left="109"/>
              <w:rPr>
                <w:color w:val="auto"/>
                <w:highlight w:val="none"/>
              </w:rPr>
            </w:pPr>
            <w:r>
              <w:rPr>
                <w:color w:val="auto"/>
                <w:spacing w:val="-8"/>
                <w:highlight w:val="none"/>
              </w:rPr>
              <w:t>报价方式：</w:t>
            </w:r>
          </w:p>
          <w:p w14:paraId="7984F5C2">
            <w:pPr>
              <w:pStyle w:val="18"/>
              <w:spacing w:before="68" w:line="219" w:lineRule="auto"/>
              <w:ind w:left="132"/>
              <w:rPr>
                <w:color w:val="auto"/>
                <w:highlight w:val="none"/>
              </w:rPr>
            </w:pPr>
            <w:r>
              <w:rPr>
                <w:color w:val="auto"/>
                <w:spacing w:val="-4"/>
                <w:highlight w:val="none"/>
              </w:rPr>
              <w:sym w:font="Wingdings 2" w:char="0052"/>
            </w:r>
            <w:r>
              <w:rPr>
                <w:color w:val="auto"/>
                <w:spacing w:val="-4"/>
                <w:highlight w:val="none"/>
              </w:rPr>
              <w:t>人民币价格</w:t>
            </w:r>
          </w:p>
          <w:p w14:paraId="7BEA4B2A">
            <w:pPr>
              <w:pStyle w:val="18"/>
              <w:spacing w:before="72" w:line="219" w:lineRule="auto"/>
              <w:ind w:left="132"/>
              <w:rPr>
                <w:color w:val="auto"/>
                <w:highlight w:val="none"/>
              </w:rPr>
            </w:pPr>
            <w:r>
              <w:rPr>
                <w:color w:val="auto"/>
                <w:spacing w:val="-2"/>
                <w:highlight w:val="none"/>
              </w:rPr>
              <w:t>□综合费率（参与价格评审的为综合费率）</w:t>
            </w:r>
          </w:p>
          <w:p w14:paraId="090C4384">
            <w:pPr>
              <w:pStyle w:val="18"/>
              <w:spacing w:before="72" w:line="219" w:lineRule="auto"/>
              <w:ind w:left="132"/>
              <w:rPr>
                <w:color w:val="auto"/>
                <w:highlight w:val="none"/>
              </w:rPr>
            </w:pPr>
            <w:r>
              <w:rPr>
                <w:color w:val="auto"/>
                <w:spacing w:val="-3"/>
                <w:highlight w:val="none"/>
              </w:rPr>
              <w:t>□下浮率（参与价格评审的为下浮率）</w:t>
            </w:r>
          </w:p>
          <w:p w14:paraId="56E71E29">
            <w:pPr>
              <w:pStyle w:val="18"/>
              <w:spacing w:before="67" w:line="219" w:lineRule="auto"/>
              <w:ind w:left="132"/>
              <w:rPr>
                <w:color w:val="auto"/>
                <w:highlight w:val="none"/>
              </w:rPr>
            </w:pPr>
            <w:r>
              <w:rPr>
                <w:color w:val="auto"/>
                <w:spacing w:val="-2"/>
                <w:highlight w:val="none"/>
              </w:rPr>
              <w:t>□综合单价（参与价格评审的为综合单价）</w:t>
            </w:r>
          </w:p>
          <w:p w14:paraId="714FB224">
            <w:pPr>
              <w:pStyle w:val="18"/>
              <w:spacing w:before="72" w:line="219" w:lineRule="auto"/>
              <w:ind w:left="111"/>
              <w:rPr>
                <w:color w:val="auto"/>
                <w:highlight w:val="none"/>
              </w:rPr>
            </w:pPr>
            <w:r>
              <w:rPr>
                <w:color w:val="auto"/>
                <w:spacing w:val="7"/>
                <w:highlight w:val="none"/>
              </w:rPr>
              <w:t>特别说明：非人民币价格方式报价，投标人均应根据实</w:t>
            </w:r>
          </w:p>
          <w:p w14:paraId="6F348701">
            <w:pPr>
              <w:pStyle w:val="18"/>
              <w:spacing w:before="73" w:line="317" w:lineRule="exact"/>
              <w:ind w:left="126"/>
              <w:rPr>
                <w:color w:val="auto"/>
                <w:highlight w:val="none"/>
              </w:rPr>
            </w:pPr>
            <w:r>
              <w:rPr>
                <w:color w:val="auto"/>
                <w:spacing w:val="-3"/>
                <w:position w:val="7"/>
                <w:highlight w:val="none"/>
              </w:rPr>
              <w:t>际情况合理填报转换的人民币价格。</w:t>
            </w:r>
          </w:p>
          <w:p w14:paraId="07E9C4AE">
            <w:pPr>
              <w:pStyle w:val="18"/>
              <w:spacing w:before="1" w:line="205" w:lineRule="auto"/>
              <w:ind w:left="109"/>
              <w:rPr>
                <w:color w:val="auto"/>
                <w:highlight w:val="none"/>
              </w:rPr>
            </w:pPr>
            <w:r>
              <w:rPr>
                <w:color w:val="auto"/>
                <w:spacing w:val="-23"/>
                <w:w w:val="96"/>
                <w:highlight w:val="none"/>
              </w:rPr>
              <w:t>报价要求：</w:t>
            </w:r>
            <w:r>
              <w:rPr>
                <w:color w:val="auto"/>
                <w:spacing w:val="50"/>
                <w:highlight w:val="none"/>
              </w:rPr>
              <w:t xml:space="preserve"> </w:t>
            </w:r>
            <w:r>
              <w:rPr>
                <w:rFonts w:hint="eastAsia"/>
                <w:color w:val="auto"/>
                <w:highlight w:val="none"/>
                <w:u w:val="single"/>
                <w:lang w:eastAsia="zh-CN"/>
              </w:rPr>
              <w:t>有效报价的确定：不超出招标控制价的投标报价为有效投标报价。</w:t>
            </w:r>
          </w:p>
        </w:tc>
      </w:tr>
      <w:tr w14:paraId="2CED7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DEC9353">
            <w:pPr>
              <w:spacing w:before="186"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3.3.1</w:t>
            </w:r>
          </w:p>
        </w:tc>
        <w:tc>
          <w:tcPr>
            <w:tcW w:w="2121" w:type="dxa"/>
            <w:vAlign w:val="top"/>
          </w:tcPr>
          <w:p w14:paraId="05F567C4">
            <w:pPr>
              <w:pStyle w:val="18"/>
              <w:spacing w:before="149" w:line="221" w:lineRule="auto"/>
              <w:ind w:left="544"/>
              <w:rPr>
                <w:color w:val="auto"/>
                <w:highlight w:val="none"/>
              </w:rPr>
            </w:pPr>
            <w:r>
              <w:rPr>
                <w:color w:val="auto"/>
                <w:spacing w:val="-1"/>
                <w:highlight w:val="none"/>
              </w:rPr>
              <w:t>投标有效期</w:t>
            </w:r>
          </w:p>
        </w:tc>
        <w:tc>
          <w:tcPr>
            <w:tcW w:w="5447" w:type="dxa"/>
            <w:vAlign w:val="top"/>
          </w:tcPr>
          <w:p w14:paraId="4130A0ED">
            <w:pPr>
              <w:pStyle w:val="18"/>
              <w:spacing w:before="149" w:line="221" w:lineRule="auto"/>
              <w:ind w:left="145"/>
              <w:rPr>
                <w:color w:val="auto"/>
                <w:highlight w:val="none"/>
              </w:rPr>
            </w:pPr>
            <w:r>
              <w:rPr>
                <w:color w:val="auto"/>
                <w:spacing w:val="-6"/>
                <w:highlight w:val="none"/>
              </w:rPr>
              <w:t>自投标截止之日起</w:t>
            </w:r>
            <w:r>
              <w:rPr>
                <w:color w:val="auto"/>
                <w:spacing w:val="-6"/>
                <w:highlight w:val="none"/>
                <w:u w:val="single" w:color="auto"/>
              </w:rPr>
              <w:t xml:space="preserve"> </w:t>
            </w:r>
            <w:r>
              <w:rPr>
                <w:rFonts w:hint="eastAsia"/>
                <w:color w:val="auto"/>
                <w:spacing w:val="-6"/>
                <w:highlight w:val="none"/>
                <w:u w:val="single" w:color="auto"/>
                <w:lang w:val="en-US" w:eastAsia="zh-CN"/>
              </w:rPr>
              <w:t>90</w:t>
            </w:r>
            <w:r>
              <w:rPr>
                <w:color w:val="auto"/>
                <w:spacing w:val="-47"/>
                <w:highlight w:val="none"/>
              </w:rPr>
              <w:t xml:space="preserve"> </w:t>
            </w:r>
            <w:r>
              <w:rPr>
                <w:color w:val="auto"/>
                <w:spacing w:val="-6"/>
                <w:highlight w:val="none"/>
              </w:rPr>
              <w:t>日内有效</w:t>
            </w:r>
          </w:p>
        </w:tc>
      </w:tr>
      <w:tr w14:paraId="5A99B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1C50E5E3">
            <w:pPr>
              <w:spacing w:line="267" w:lineRule="auto"/>
              <w:rPr>
                <w:rFonts w:ascii="Arial"/>
                <w:color w:val="auto"/>
                <w:sz w:val="21"/>
                <w:highlight w:val="none"/>
              </w:rPr>
            </w:pPr>
          </w:p>
          <w:p w14:paraId="7FCE389B">
            <w:pPr>
              <w:spacing w:line="268" w:lineRule="auto"/>
              <w:rPr>
                <w:rFonts w:ascii="Arial"/>
                <w:color w:val="auto"/>
                <w:sz w:val="21"/>
                <w:highlight w:val="none"/>
              </w:rPr>
            </w:pPr>
          </w:p>
          <w:p w14:paraId="4E7BD138">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3.4.1</w:t>
            </w:r>
          </w:p>
        </w:tc>
        <w:tc>
          <w:tcPr>
            <w:tcW w:w="2121" w:type="dxa"/>
            <w:vAlign w:val="top"/>
          </w:tcPr>
          <w:p w14:paraId="1CF0286C">
            <w:pPr>
              <w:spacing w:line="246" w:lineRule="auto"/>
              <w:rPr>
                <w:rFonts w:ascii="Arial"/>
                <w:color w:val="auto"/>
                <w:sz w:val="21"/>
                <w:highlight w:val="none"/>
              </w:rPr>
            </w:pPr>
          </w:p>
          <w:p w14:paraId="51F77982">
            <w:pPr>
              <w:spacing w:line="246" w:lineRule="auto"/>
              <w:rPr>
                <w:rFonts w:ascii="Arial"/>
                <w:color w:val="auto"/>
                <w:sz w:val="21"/>
                <w:highlight w:val="none"/>
              </w:rPr>
            </w:pPr>
          </w:p>
          <w:p w14:paraId="0F7BBF59">
            <w:pPr>
              <w:pStyle w:val="18"/>
              <w:spacing w:before="68" w:line="221" w:lineRule="auto"/>
              <w:ind w:left="544"/>
              <w:rPr>
                <w:color w:val="auto"/>
                <w:highlight w:val="none"/>
              </w:rPr>
            </w:pPr>
            <w:r>
              <w:rPr>
                <w:color w:val="auto"/>
                <w:spacing w:val="-1"/>
                <w:highlight w:val="none"/>
              </w:rPr>
              <w:t>投标保证金</w:t>
            </w:r>
          </w:p>
        </w:tc>
        <w:tc>
          <w:tcPr>
            <w:tcW w:w="5447" w:type="dxa"/>
            <w:vAlign w:val="top"/>
          </w:tcPr>
          <w:p w14:paraId="1596B6C6">
            <w:pPr>
              <w:pStyle w:val="18"/>
              <w:spacing w:before="40" w:line="207" w:lineRule="auto"/>
              <w:ind w:left="125"/>
              <w:rPr>
                <w:color w:val="auto"/>
                <w:highlight w:val="none"/>
              </w:rPr>
            </w:pPr>
            <w:r>
              <w:rPr>
                <w:rFonts w:ascii="Times New Roman" w:hAnsi="Times New Roman" w:eastAsia="Times New Roman" w:cs="Times New Roman"/>
                <w:color w:val="auto"/>
                <w:spacing w:val="-6"/>
                <w:sz w:val="32"/>
                <w:szCs w:val="32"/>
                <w:highlight w:val="none"/>
              </w:rPr>
              <w:t>□</w:t>
            </w:r>
            <w:r>
              <w:rPr>
                <w:color w:val="auto"/>
                <w:spacing w:val="-6"/>
                <w:highlight w:val="none"/>
              </w:rPr>
              <w:t>不提交</w:t>
            </w:r>
          </w:p>
          <w:p w14:paraId="11BCD889">
            <w:pPr>
              <w:pStyle w:val="18"/>
              <w:spacing w:line="222" w:lineRule="auto"/>
              <w:ind w:left="125"/>
              <w:rPr>
                <w:color w:val="auto"/>
                <w:highlight w:val="none"/>
              </w:rPr>
            </w:pPr>
            <w:r>
              <w:rPr>
                <w:rFonts w:ascii="Times New Roman" w:hAnsi="Times New Roman" w:eastAsia="Times New Roman" w:cs="Times New Roman"/>
                <w:color w:val="auto"/>
                <w:spacing w:val="-8"/>
                <w:sz w:val="32"/>
                <w:szCs w:val="32"/>
                <w:highlight w:val="none"/>
              </w:rPr>
              <w:sym w:font="Wingdings 2" w:char="0052"/>
            </w:r>
            <w:r>
              <w:rPr>
                <w:color w:val="auto"/>
                <w:spacing w:val="-8"/>
                <w:highlight w:val="none"/>
              </w:rPr>
              <w:t>提交</w:t>
            </w:r>
          </w:p>
          <w:p w14:paraId="7B44E768">
            <w:pPr>
              <w:pStyle w:val="18"/>
              <w:numPr>
                <w:ilvl w:val="0"/>
                <w:numId w:val="1"/>
              </w:numPr>
              <w:spacing w:before="21" w:line="246" w:lineRule="auto"/>
              <w:ind w:left="126" w:right="499"/>
              <w:rPr>
                <w:color w:val="auto"/>
                <w:spacing w:val="-14"/>
                <w:highlight w:val="none"/>
                <w14:textOutline w14:w="3831" w14:cap="flat" w14:cmpd="sng">
                  <w14:solidFill>
                    <w14:srgbClr w14:val="000000"/>
                  </w14:solidFill>
                  <w14:prstDash w14:val="solid"/>
                  <w14:miter w14:val="0"/>
                </w14:textOutline>
              </w:rPr>
            </w:pPr>
            <w:r>
              <w:rPr>
                <w:color w:val="auto"/>
                <w:spacing w:val="-6"/>
                <w:highlight w:val="none"/>
              </w:rPr>
              <w:t>递交截止时间（到账时间</w:t>
            </w:r>
            <w:r>
              <w:rPr>
                <w:color w:val="auto"/>
                <w:spacing w:val="-13"/>
                <w:highlight w:val="none"/>
              </w:rPr>
              <w:t>）</w:t>
            </w:r>
            <w:r>
              <w:rPr>
                <w:color w:val="auto"/>
                <w:spacing w:val="37"/>
                <w:highlight w:val="none"/>
              </w:rPr>
              <w:t xml:space="preserve"> </w:t>
            </w:r>
            <w:r>
              <w:rPr>
                <w:color w:val="auto"/>
                <w:spacing w:val="-13"/>
                <w:highlight w:val="none"/>
              </w:rPr>
              <w:t>：</w:t>
            </w:r>
            <w:r>
              <w:rPr>
                <w:color w:val="auto"/>
                <w:spacing w:val="-6"/>
                <w:highlight w:val="none"/>
                <w14:textOutline w14:w="3831" w14:cap="flat" w14:cmpd="sng">
                  <w14:solidFill>
                    <w14:srgbClr w14:val="000000"/>
                  </w14:solidFill>
                  <w14:prstDash w14:val="solid"/>
                  <w14:miter w14:val="0"/>
                </w14:textOutline>
              </w:rPr>
              <w:t>同本标段投标截止时</w:t>
            </w:r>
            <w:r>
              <w:rPr>
                <w:color w:val="auto"/>
                <w:highlight w:val="none"/>
              </w:rPr>
              <w:t xml:space="preserve"> </w:t>
            </w:r>
            <w:r>
              <w:rPr>
                <w:color w:val="auto"/>
                <w:spacing w:val="-14"/>
                <w:highlight w:val="none"/>
                <w14:textOutline w14:w="3831" w14:cap="flat" w14:cmpd="sng">
                  <w14:solidFill>
                    <w14:srgbClr w14:val="000000"/>
                  </w14:solidFill>
                  <w14:prstDash w14:val="solid"/>
                  <w14:miter w14:val="0"/>
                </w14:textOutline>
              </w:rPr>
              <w:t>间。</w:t>
            </w:r>
          </w:p>
        </w:tc>
      </w:tr>
    </w:tbl>
    <w:p w14:paraId="519F1579">
      <w:pPr>
        <w:pStyle w:val="5"/>
        <w:rPr>
          <w:color w:val="auto"/>
          <w:highlight w:val="none"/>
        </w:rPr>
      </w:pPr>
    </w:p>
    <w:p w14:paraId="27D6DD66">
      <w:pPr>
        <w:spacing w:line="95" w:lineRule="auto"/>
        <w:rPr>
          <w:rFonts w:ascii="Arial"/>
          <w:color w:val="auto"/>
          <w:sz w:val="2"/>
          <w:highlight w:val="none"/>
        </w:rPr>
      </w:pPr>
    </w:p>
    <w:tbl>
      <w:tblPr>
        <w:tblStyle w:val="17"/>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52BDE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14:paraId="2C3CCD12">
            <w:pPr>
              <w:rPr>
                <w:rFonts w:ascii="Arial"/>
                <w:color w:val="auto"/>
                <w:sz w:val="21"/>
                <w:highlight w:val="none"/>
              </w:rPr>
            </w:pPr>
          </w:p>
        </w:tc>
        <w:tc>
          <w:tcPr>
            <w:tcW w:w="2121" w:type="dxa"/>
            <w:vAlign w:val="top"/>
          </w:tcPr>
          <w:p w14:paraId="01CEF81E">
            <w:pPr>
              <w:rPr>
                <w:rFonts w:ascii="Arial"/>
                <w:color w:val="auto"/>
                <w:sz w:val="21"/>
                <w:highlight w:val="none"/>
              </w:rPr>
            </w:pPr>
          </w:p>
        </w:tc>
        <w:tc>
          <w:tcPr>
            <w:tcW w:w="5447" w:type="dxa"/>
            <w:vAlign w:val="top"/>
          </w:tcPr>
          <w:p w14:paraId="1B31FE2B">
            <w:pPr>
              <w:pStyle w:val="18"/>
              <w:spacing w:before="81" w:line="221" w:lineRule="auto"/>
              <w:ind w:left="113"/>
              <w:rPr>
                <w:color w:val="auto"/>
                <w:highlight w:val="none"/>
              </w:rPr>
            </w:pPr>
            <w:bookmarkStart w:id="35" w:name="bookmark58"/>
            <w:bookmarkEnd w:id="35"/>
            <w:bookmarkStart w:id="36" w:name="bookmark56"/>
            <w:bookmarkEnd w:id="36"/>
            <w:bookmarkStart w:id="37" w:name="bookmark57"/>
            <w:bookmarkEnd w:id="37"/>
            <w:bookmarkStart w:id="38" w:name="bookmark55"/>
            <w:bookmarkEnd w:id="38"/>
            <w:r>
              <w:rPr>
                <w:color w:val="auto"/>
                <w:spacing w:val="-14"/>
                <w:highlight w:val="none"/>
              </w:rPr>
              <w:t xml:space="preserve">2.金额： </w:t>
            </w:r>
            <w:r>
              <w:rPr>
                <w:color w:val="auto"/>
                <w:spacing w:val="-14"/>
                <w:highlight w:val="none"/>
                <w:u w:val="single" w:color="auto"/>
              </w:rPr>
              <w:t xml:space="preserve"> </w:t>
            </w:r>
            <w:r>
              <w:rPr>
                <w:rFonts w:hint="eastAsia"/>
                <w:color w:val="auto"/>
                <w:spacing w:val="-14"/>
                <w:highlight w:val="none"/>
                <w:u w:val="single" w:color="auto"/>
                <w:lang w:val="en-US" w:eastAsia="zh-CN"/>
              </w:rPr>
              <w:t>10万元</w:t>
            </w:r>
            <w:r>
              <w:rPr>
                <w:color w:val="auto"/>
                <w:spacing w:val="-14"/>
                <w:highlight w:val="none"/>
              </w:rPr>
              <w:t>。</w:t>
            </w:r>
          </w:p>
          <w:p w14:paraId="2813D50D">
            <w:pPr>
              <w:pStyle w:val="18"/>
              <w:spacing w:before="66" w:line="221" w:lineRule="auto"/>
              <w:ind w:left="115"/>
              <w:rPr>
                <w:color w:val="auto"/>
                <w:highlight w:val="none"/>
              </w:rPr>
            </w:pPr>
            <w:r>
              <w:rPr>
                <w:color w:val="auto"/>
                <w:spacing w:val="-8"/>
                <w:highlight w:val="none"/>
              </w:rPr>
              <w:t>3.形式：</w:t>
            </w:r>
            <w:r>
              <w:rPr>
                <w:rFonts w:hint="eastAsia"/>
                <w:color w:val="auto"/>
                <w:highlight w:val="none"/>
                <w:lang w:eastAsia="zh-CN"/>
              </w:rPr>
              <w:sym w:font="Wingdings 2" w:char="0052"/>
            </w:r>
            <w:r>
              <w:rPr>
                <w:rFonts w:hint="eastAsia"/>
                <w:color w:val="auto"/>
                <w:highlight w:val="none"/>
                <w:lang w:eastAsia="zh-CN"/>
              </w:rPr>
              <w:t>现金（指电汇、支票）  ☑保函（保险）</w:t>
            </w:r>
            <w:r>
              <w:rPr>
                <w:color w:val="auto"/>
                <w:spacing w:val="91"/>
                <w:highlight w:val="none"/>
              </w:rPr>
              <w:t xml:space="preserve"> </w:t>
            </w:r>
            <w:r>
              <w:rPr>
                <w:color w:val="auto"/>
                <w:spacing w:val="-8"/>
                <w:highlight w:val="none"/>
              </w:rPr>
              <w:t>□其他形式</w:t>
            </w:r>
          </w:p>
          <w:p w14:paraId="31D1C156">
            <w:pPr>
              <w:pStyle w:val="18"/>
              <w:spacing w:before="69" w:line="222" w:lineRule="auto"/>
              <w:ind w:left="110"/>
              <w:rPr>
                <w:color w:val="auto"/>
                <w:highlight w:val="none"/>
              </w:rPr>
            </w:pPr>
            <w:r>
              <w:rPr>
                <w:color w:val="auto"/>
                <w:spacing w:val="-5"/>
                <w:highlight w:val="none"/>
              </w:rPr>
              <w:t>4.递交方式：</w:t>
            </w:r>
          </w:p>
          <w:p w14:paraId="0AD93EFA">
            <w:pPr>
              <w:pStyle w:val="18"/>
              <w:spacing w:before="70" w:line="221" w:lineRule="auto"/>
              <w:ind w:left="110"/>
              <w:rPr>
                <w:color w:val="auto"/>
                <w:highlight w:val="none"/>
              </w:rPr>
            </w:pPr>
            <w:r>
              <w:rPr>
                <w:color w:val="auto"/>
                <w:spacing w:val="-2"/>
                <w:highlight w:val="none"/>
              </w:rPr>
              <w:t>4.1</w:t>
            </w:r>
            <w:r>
              <w:rPr>
                <w:color w:val="auto"/>
                <w:spacing w:val="-43"/>
                <w:highlight w:val="none"/>
              </w:rPr>
              <w:t xml:space="preserve"> </w:t>
            </w:r>
            <w:r>
              <w:rPr>
                <w:color w:val="auto"/>
                <w:spacing w:val="-2"/>
                <w:highlight w:val="none"/>
              </w:rPr>
              <w:t>现金</w:t>
            </w:r>
          </w:p>
          <w:p w14:paraId="554B25BA">
            <w:pPr>
              <w:pStyle w:val="18"/>
              <w:spacing w:before="64" w:line="221" w:lineRule="auto"/>
              <w:ind w:left="540"/>
              <w:rPr>
                <w:color w:val="auto"/>
                <w:highlight w:val="none"/>
              </w:rPr>
            </w:pPr>
            <w:r>
              <w:rPr>
                <w:color w:val="auto"/>
                <w:spacing w:val="-4"/>
                <w:highlight w:val="none"/>
              </w:rPr>
              <w:t>（1）收款信息</w:t>
            </w:r>
          </w:p>
          <w:p w14:paraId="48202787">
            <w:pPr>
              <w:pStyle w:val="18"/>
              <w:spacing w:before="71" w:line="250" w:lineRule="auto"/>
              <w:ind w:left="113" w:right="294" w:firstLine="423"/>
              <w:rPr>
                <w:rFonts w:hint="eastAsia"/>
                <w:color w:val="auto"/>
                <w:spacing w:val="-1"/>
                <w:highlight w:val="none"/>
                <w:lang w:eastAsia="zh-CN"/>
              </w:rPr>
            </w:pPr>
            <w:r>
              <w:rPr>
                <w:rFonts w:hint="eastAsia"/>
                <w:color w:val="auto"/>
                <w:spacing w:val="-1"/>
                <w:highlight w:val="none"/>
              </w:rPr>
              <w:t>收款单位：</w:t>
            </w:r>
            <w:r>
              <w:rPr>
                <w:rFonts w:hint="eastAsia"/>
                <w:color w:val="auto"/>
                <w:spacing w:val="-1"/>
                <w:highlight w:val="none"/>
                <w:u w:val="single"/>
                <w:lang w:eastAsia="zh-CN"/>
              </w:rPr>
              <w:t>辽宁金誉建设工程造价咨询有限责任公司</w:t>
            </w:r>
          </w:p>
          <w:p w14:paraId="198F1814">
            <w:pPr>
              <w:pStyle w:val="18"/>
              <w:spacing w:before="71" w:line="250" w:lineRule="auto"/>
              <w:ind w:left="113" w:right="294" w:firstLine="423"/>
              <w:rPr>
                <w:rFonts w:hint="eastAsia"/>
                <w:color w:val="auto"/>
                <w:spacing w:val="-1"/>
                <w:highlight w:val="none"/>
                <w:lang w:eastAsia="zh-CN"/>
              </w:rPr>
            </w:pPr>
            <w:r>
              <w:rPr>
                <w:rFonts w:hint="eastAsia"/>
                <w:color w:val="auto"/>
                <w:spacing w:val="-1"/>
                <w:highlight w:val="none"/>
              </w:rPr>
              <w:t>开户银行：</w:t>
            </w:r>
            <w:r>
              <w:rPr>
                <w:rFonts w:hint="eastAsia"/>
                <w:color w:val="auto"/>
                <w:spacing w:val="-1"/>
                <w:highlight w:val="none"/>
                <w:lang w:val="en-US" w:eastAsia="zh-CN"/>
              </w:rPr>
              <w:t xml:space="preserve"> </w:t>
            </w:r>
            <w:r>
              <w:rPr>
                <w:rFonts w:hint="eastAsia"/>
                <w:color w:val="auto"/>
                <w:spacing w:val="-1"/>
                <w:highlight w:val="none"/>
                <w:u w:val="single"/>
                <w:lang w:eastAsia="zh-CN"/>
              </w:rPr>
              <w:t>盛京银行营口学府支行</w:t>
            </w:r>
          </w:p>
          <w:p w14:paraId="665253C5">
            <w:pPr>
              <w:pStyle w:val="18"/>
              <w:spacing w:before="71" w:line="250" w:lineRule="auto"/>
              <w:ind w:left="113" w:right="294" w:firstLine="423"/>
              <w:rPr>
                <w:rFonts w:hint="eastAsia" w:ascii="仿宋_GB2312" w:hAnsi="Arial" w:eastAsia="仿宋_GB2312" w:cs="Arial"/>
                <w:color w:val="auto"/>
                <w:kern w:val="0"/>
                <w:szCs w:val="21"/>
                <w:highlight w:val="none"/>
                <w:lang w:eastAsia="zh-CN"/>
              </w:rPr>
            </w:pPr>
            <w:r>
              <w:rPr>
                <w:rFonts w:hint="eastAsia"/>
                <w:color w:val="auto"/>
                <w:spacing w:val="-1"/>
                <w:highlight w:val="none"/>
              </w:rPr>
              <w:t>汇款账号：</w:t>
            </w:r>
            <w:r>
              <w:rPr>
                <w:rFonts w:hint="eastAsia"/>
                <w:color w:val="auto"/>
                <w:spacing w:val="-1"/>
                <w:highlight w:val="none"/>
                <w:u w:val="single"/>
                <w:lang w:val="en-US" w:eastAsia="zh-CN"/>
              </w:rPr>
              <w:t xml:space="preserve"> 0550500102000009491</w:t>
            </w:r>
          </w:p>
          <w:p w14:paraId="4950E421">
            <w:pPr>
              <w:pStyle w:val="18"/>
              <w:tabs>
                <w:tab w:val="left" w:pos="4937"/>
              </w:tabs>
              <w:spacing w:before="71" w:line="266" w:lineRule="auto"/>
              <w:ind w:left="534" w:right="503" w:firstLine="6"/>
              <w:jc w:val="both"/>
              <w:rPr>
                <w:color w:val="auto"/>
                <w:highlight w:val="none"/>
              </w:rPr>
            </w:pPr>
            <w:r>
              <w:rPr>
                <w:color w:val="auto"/>
                <w:highlight w:val="none"/>
              </w:rPr>
              <w:t xml:space="preserve"> </w:t>
            </w:r>
            <w:r>
              <w:rPr>
                <w:color w:val="auto"/>
                <w:spacing w:val="-1"/>
                <w:highlight w:val="none"/>
              </w:rPr>
              <w:t>（2）收款说明</w:t>
            </w:r>
          </w:p>
          <w:p w14:paraId="20F77537">
            <w:pPr>
              <w:pStyle w:val="18"/>
              <w:spacing w:before="71" w:line="250" w:lineRule="auto"/>
              <w:ind w:left="113" w:right="294" w:firstLine="423"/>
              <w:rPr>
                <w:color w:val="auto"/>
                <w:highlight w:val="none"/>
              </w:rPr>
            </w:pPr>
            <w:r>
              <w:rPr>
                <w:color w:val="auto"/>
                <w:spacing w:val="-1"/>
                <w:highlight w:val="none"/>
              </w:rPr>
              <w:t>投标人应在投标截止时间前通过企业基本账户递交</w:t>
            </w:r>
            <w:r>
              <w:rPr>
                <w:color w:val="auto"/>
                <w:spacing w:val="12"/>
                <w:highlight w:val="none"/>
              </w:rPr>
              <w:t xml:space="preserve"> </w:t>
            </w:r>
            <w:r>
              <w:rPr>
                <w:color w:val="auto"/>
                <w:spacing w:val="-1"/>
                <w:highlight w:val="none"/>
              </w:rPr>
              <w:t>至</w:t>
            </w:r>
            <w:r>
              <w:rPr>
                <w:color w:val="auto"/>
                <w:spacing w:val="-45"/>
                <w:highlight w:val="none"/>
              </w:rPr>
              <w:t xml:space="preserve"> </w:t>
            </w:r>
            <w:r>
              <w:rPr>
                <w:color w:val="auto"/>
                <w:spacing w:val="-1"/>
                <w:highlight w:val="none"/>
              </w:rPr>
              <w:t>4.1（1）规定的账户，否则视为无效投标</w:t>
            </w:r>
            <w:r>
              <w:rPr>
                <w:color w:val="auto"/>
                <w:spacing w:val="-2"/>
                <w:highlight w:val="none"/>
              </w:rPr>
              <w:t>保证金。</w:t>
            </w:r>
          </w:p>
          <w:p w14:paraId="6DB8AD4E">
            <w:pPr>
              <w:pStyle w:val="18"/>
              <w:spacing w:before="70" w:line="221" w:lineRule="auto"/>
              <w:ind w:left="110"/>
              <w:rPr>
                <w:color w:val="auto"/>
                <w:highlight w:val="none"/>
              </w:rPr>
            </w:pPr>
            <w:r>
              <w:rPr>
                <w:color w:val="auto"/>
                <w:spacing w:val="-2"/>
                <w:highlight w:val="none"/>
              </w:rPr>
              <w:t>4.2</w:t>
            </w:r>
            <w:r>
              <w:rPr>
                <w:color w:val="auto"/>
                <w:spacing w:val="-40"/>
                <w:highlight w:val="none"/>
              </w:rPr>
              <w:t xml:space="preserve"> </w:t>
            </w:r>
            <w:r>
              <w:rPr>
                <w:color w:val="auto"/>
                <w:spacing w:val="-2"/>
                <w:highlight w:val="none"/>
              </w:rPr>
              <w:t>保函（保险）</w:t>
            </w:r>
          </w:p>
          <w:p w14:paraId="32466789">
            <w:pPr>
              <w:pStyle w:val="18"/>
              <w:spacing w:before="69" w:line="269" w:lineRule="auto"/>
              <w:ind w:left="110" w:right="188" w:firstLine="429"/>
              <w:rPr>
                <w:color w:val="auto"/>
                <w:highlight w:val="none"/>
              </w:rPr>
            </w:pPr>
            <w:r>
              <w:rPr>
                <w:color w:val="auto"/>
                <w:spacing w:val="-1"/>
                <w:highlight w:val="none"/>
              </w:rPr>
              <w:t>（1）投标人可通过辽宁省建设工程领域电子保函保</w:t>
            </w:r>
            <w:r>
              <w:rPr>
                <w:color w:val="auto"/>
                <w:spacing w:val="10"/>
                <w:highlight w:val="none"/>
              </w:rPr>
              <w:t xml:space="preserve"> </w:t>
            </w:r>
            <w:r>
              <w:rPr>
                <w:color w:val="auto"/>
                <w:spacing w:val="-1"/>
                <w:highlight w:val="none"/>
              </w:rPr>
              <w:t>险基础公共服务平台或辽宁省工程建设项目电子保函保</w:t>
            </w:r>
            <w:r>
              <w:rPr>
                <w:color w:val="auto"/>
                <w:spacing w:val="7"/>
                <w:highlight w:val="none"/>
              </w:rPr>
              <w:t xml:space="preserve">  </w:t>
            </w:r>
            <w:r>
              <w:rPr>
                <w:color w:val="auto"/>
                <w:spacing w:val="-1"/>
                <w:highlight w:val="none"/>
              </w:rPr>
              <w:t>险基础服务平台跨地区、跨行业自由服务试点的金融平</w:t>
            </w:r>
            <w:r>
              <w:rPr>
                <w:color w:val="auto"/>
                <w:spacing w:val="7"/>
                <w:highlight w:val="none"/>
              </w:rPr>
              <w:t xml:space="preserve">  </w:t>
            </w:r>
            <w:r>
              <w:rPr>
                <w:color w:val="auto"/>
                <w:spacing w:val="-1"/>
                <w:highlight w:val="none"/>
              </w:rPr>
              <w:t>台或金融机构任一渠道自主选择购买保函（保险</w:t>
            </w:r>
            <w:r>
              <w:rPr>
                <w:color w:val="auto"/>
                <w:spacing w:val="-34"/>
                <w:highlight w:val="none"/>
              </w:rPr>
              <w:t>），</w:t>
            </w:r>
            <w:r>
              <w:rPr>
                <w:color w:val="auto"/>
                <w:spacing w:val="-24"/>
                <w:highlight w:val="none"/>
              </w:rPr>
              <w:t xml:space="preserve"> </w:t>
            </w:r>
            <w:r>
              <w:rPr>
                <w:color w:val="auto"/>
                <w:spacing w:val="-1"/>
                <w:highlight w:val="none"/>
              </w:rPr>
              <w:t>鼓</w:t>
            </w:r>
            <w:r>
              <w:rPr>
                <w:color w:val="auto"/>
                <w:highlight w:val="none"/>
              </w:rPr>
              <w:t xml:space="preserve">  </w:t>
            </w:r>
            <w:r>
              <w:rPr>
                <w:color w:val="auto"/>
                <w:spacing w:val="-5"/>
                <w:highlight w:val="none"/>
              </w:rPr>
              <w:t>励企业使用电子保函（保险） 等形式提交保证金。</w:t>
            </w:r>
          </w:p>
          <w:p w14:paraId="169405AF">
            <w:pPr>
              <w:pStyle w:val="18"/>
              <w:spacing w:before="69" w:line="273" w:lineRule="auto"/>
              <w:ind w:left="109" w:right="219" w:firstLine="430"/>
              <w:rPr>
                <w:color w:val="auto"/>
                <w:highlight w:val="none"/>
              </w:rPr>
            </w:pPr>
            <w:r>
              <w:rPr>
                <w:color w:val="auto"/>
                <w:spacing w:val="-2"/>
                <w:highlight w:val="none"/>
              </w:rPr>
              <w:t>（2）投标人应在投标截止时间前购买完成并生效。</w:t>
            </w:r>
            <w:r>
              <w:rPr>
                <w:color w:val="auto"/>
                <w:spacing w:val="2"/>
                <w:highlight w:val="none"/>
              </w:rPr>
              <w:t xml:space="preserve"> </w:t>
            </w:r>
            <w:r>
              <w:rPr>
                <w:color w:val="auto"/>
                <w:spacing w:val="-1"/>
                <w:highlight w:val="none"/>
              </w:rPr>
              <w:t xml:space="preserve">购买保函（保险）的财务费用应当通过企业基本账户或 </w:t>
            </w:r>
            <w:r>
              <w:rPr>
                <w:color w:val="auto"/>
                <w:spacing w:val="-3"/>
                <w:highlight w:val="none"/>
              </w:rPr>
              <w:t>主体信息库登记的企业账户缴纳。纸质保函（保险）</w:t>
            </w:r>
            <w:r>
              <w:rPr>
                <w:color w:val="auto"/>
                <w:spacing w:val="-42"/>
                <w:highlight w:val="none"/>
              </w:rPr>
              <w:t xml:space="preserve"> </w:t>
            </w:r>
            <w:r>
              <w:rPr>
                <w:color w:val="auto"/>
                <w:spacing w:val="-4"/>
                <w:highlight w:val="none"/>
              </w:rPr>
              <w:t xml:space="preserve">和 </w:t>
            </w:r>
            <w:r>
              <w:rPr>
                <w:color w:val="auto"/>
                <w:spacing w:val="-1"/>
                <w:highlight w:val="none"/>
              </w:rPr>
              <w:t xml:space="preserve">电子保函（保险）能够满足出函机构官方媒介或其指定 </w:t>
            </w:r>
            <w:r>
              <w:rPr>
                <w:color w:val="auto"/>
                <w:spacing w:val="-6"/>
                <w:highlight w:val="none"/>
              </w:rPr>
              <w:t>的在线系统实时验真的条件。购买保函（保险）</w:t>
            </w:r>
            <w:r>
              <w:rPr>
                <w:color w:val="auto"/>
                <w:spacing w:val="35"/>
                <w:highlight w:val="none"/>
              </w:rPr>
              <w:t xml:space="preserve"> </w:t>
            </w:r>
            <w:r>
              <w:rPr>
                <w:color w:val="auto"/>
                <w:spacing w:val="-7"/>
                <w:highlight w:val="none"/>
              </w:rPr>
              <w:t xml:space="preserve">的财务 </w:t>
            </w:r>
            <w:r>
              <w:rPr>
                <w:color w:val="auto"/>
                <w:spacing w:val="-1"/>
                <w:highlight w:val="none"/>
              </w:rPr>
              <w:t xml:space="preserve">费用不是通过企业账户缴纳或无法在线验真的保函（保 </w:t>
            </w:r>
            <w:r>
              <w:rPr>
                <w:color w:val="auto"/>
                <w:spacing w:val="-3"/>
                <w:highlight w:val="none"/>
              </w:rPr>
              <w:t>险）视为无效保函（保险）。</w:t>
            </w:r>
          </w:p>
          <w:p w14:paraId="6E571F2B">
            <w:pPr>
              <w:pStyle w:val="18"/>
              <w:spacing w:before="70" w:line="221" w:lineRule="auto"/>
              <w:ind w:left="110"/>
              <w:rPr>
                <w:color w:val="auto"/>
                <w:highlight w:val="none"/>
              </w:rPr>
            </w:pPr>
            <w:r>
              <w:rPr>
                <w:color w:val="auto"/>
                <w:spacing w:val="-2"/>
                <w:highlight w:val="none"/>
              </w:rPr>
              <w:t>4.3</w:t>
            </w:r>
            <w:r>
              <w:rPr>
                <w:color w:val="auto"/>
                <w:spacing w:val="-44"/>
                <w:highlight w:val="none"/>
              </w:rPr>
              <w:t xml:space="preserve"> </w:t>
            </w:r>
            <w:r>
              <w:rPr>
                <w:color w:val="auto"/>
                <w:spacing w:val="-2"/>
                <w:highlight w:val="none"/>
              </w:rPr>
              <w:t>其他</w:t>
            </w:r>
          </w:p>
          <w:p w14:paraId="347698D6">
            <w:pPr>
              <w:pStyle w:val="18"/>
              <w:spacing w:before="63" w:line="258" w:lineRule="auto"/>
              <w:ind w:left="111" w:right="294" w:firstLine="421"/>
              <w:jc w:val="both"/>
              <w:rPr>
                <w:color w:val="auto"/>
                <w:highlight w:val="none"/>
              </w:rPr>
            </w:pPr>
            <w:r>
              <w:rPr>
                <w:color w:val="auto"/>
                <w:spacing w:val="-1"/>
                <w:highlight w:val="none"/>
              </w:rPr>
              <w:t>采用汇票等其他方式缴纳投标保证金的，也应参照</w:t>
            </w:r>
            <w:r>
              <w:rPr>
                <w:color w:val="auto"/>
                <w:spacing w:val="15"/>
                <w:highlight w:val="none"/>
              </w:rPr>
              <w:t xml:space="preserve"> </w:t>
            </w:r>
            <w:r>
              <w:rPr>
                <w:color w:val="auto"/>
                <w:spacing w:val="-1"/>
                <w:highlight w:val="none"/>
              </w:rPr>
              <w:t>现金方式缴纳要求执行。招标人要求可以不缴纳投标保</w:t>
            </w:r>
            <w:r>
              <w:rPr>
                <w:color w:val="auto"/>
                <w:spacing w:val="14"/>
                <w:highlight w:val="none"/>
              </w:rPr>
              <w:t xml:space="preserve"> </w:t>
            </w:r>
            <w:r>
              <w:rPr>
                <w:color w:val="auto"/>
                <w:spacing w:val="-1"/>
                <w:highlight w:val="none"/>
              </w:rPr>
              <w:t>证金的除外。</w:t>
            </w:r>
          </w:p>
        </w:tc>
      </w:tr>
      <w:tr w14:paraId="5D4F1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370DB5D8">
            <w:pPr>
              <w:spacing w:line="282" w:lineRule="auto"/>
              <w:rPr>
                <w:rFonts w:ascii="Arial"/>
                <w:color w:val="auto"/>
                <w:sz w:val="21"/>
                <w:highlight w:val="none"/>
              </w:rPr>
            </w:pPr>
          </w:p>
          <w:p w14:paraId="399996D7">
            <w:pPr>
              <w:spacing w:line="283" w:lineRule="auto"/>
              <w:rPr>
                <w:rFonts w:ascii="Arial"/>
                <w:color w:val="auto"/>
                <w:sz w:val="21"/>
                <w:highlight w:val="none"/>
              </w:rPr>
            </w:pPr>
          </w:p>
          <w:p w14:paraId="5AFE0BA5">
            <w:pPr>
              <w:spacing w:line="283" w:lineRule="auto"/>
              <w:rPr>
                <w:rFonts w:ascii="Arial"/>
                <w:color w:val="auto"/>
                <w:sz w:val="21"/>
                <w:highlight w:val="none"/>
              </w:rPr>
            </w:pPr>
          </w:p>
          <w:p w14:paraId="769012D6">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3.4.3</w:t>
            </w:r>
          </w:p>
        </w:tc>
        <w:tc>
          <w:tcPr>
            <w:tcW w:w="2121" w:type="dxa"/>
            <w:vAlign w:val="top"/>
          </w:tcPr>
          <w:p w14:paraId="26EC9579">
            <w:pPr>
              <w:spacing w:line="323" w:lineRule="auto"/>
              <w:rPr>
                <w:rFonts w:ascii="Arial"/>
                <w:color w:val="auto"/>
                <w:sz w:val="21"/>
                <w:highlight w:val="none"/>
              </w:rPr>
            </w:pPr>
          </w:p>
          <w:p w14:paraId="631ABA5B">
            <w:pPr>
              <w:spacing w:line="324" w:lineRule="auto"/>
              <w:rPr>
                <w:rFonts w:ascii="Arial"/>
                <w:color w:val="auto"/>
                <w:sz w:val="21"/>
                <w:highlight w:val="none"/>
              </w:rPr>
            </w:pPr>
          </w:p>
          <w:p w14:paraId="432D5FE4">
            <w:pPr>
              <w:pStyle w:val="18"/>
              <w:spacing w:before="68" w:line="253" w:lineRule="auto"/>
              <w:ind w:left="752" w:right="320" w:hanging="421"/>
              <w:rPr>
                <w:color w:val="auto"/>
                <w:highlight w:val="none"/>
              </w:rPr>
            </w:pPr>
            <w:r>
              <w:rPr>
                <w:color w:val="auto"/>
                <w:spacing w:val="-1"/>
                <w:highlight w:val="none"/>
              </w:rPr>
              <w:t>退还投标保证金</w:t>
            </w:r>
            <w:r>
              <w:rPr>
                <w:color w:val="auto"/>
                <w:highlight w:val="none"/>
              </w:rPr>
              <w:t xml:space="preserve"> </w:t>
            </w:r>
            <w:r>
              <w:rPr>
                <w:color w:val="auto"/>
                <w:spacing w:val="-1"/>
                <w:highlight w:val="none"/>
              </w:rPr>
              <w:t>及利息</w:t>
            </w:r>
          </w:p>
        </w:tc>
        <w:tc>
          <w:tcPr>
            <w:tcW w:w="5447" w:type="dxa"/>
            <w:vAlign w:val="top"/>
          </w:tcPr>
          <w:p w14:paraId="1D248204">
            <w:pPr>
              <w:pStyle w:val="18"/>
              <w:spacing w:before="80" w:line="221" w:lineRule="auto"/>
              <w:ind w:left="111"/>
              <w:rPr>
                <w:color w:val="auto"/>
                <w:highlight w:val="none"/>
              </w:rPr>
            </w:pPr>
            <w:r>
              <w:rPr>
                <w:color w:val="auto"/>
                <w:spacing w:val="-9"/>
                <w:highlight w:val="none"/>
              </w:rPr>
              <w:t>计息标准：</w:t>
            </w:r>
            <w:r>
              <w:rPr>
                <w:color w:val="auto"/>
                <w:spacing w:val="54"/>
                <w:highlight w:val="none"/>
              </w:rPr>
              <w:t xml:space="preserve"> </w:t>
            </w:r>
            <w:r>
              <w:rPr>
                <w:color w:val="auto"/>
                <w:spacing w:val="-9"/>
                <w:highlight w:val="none"/>
                <w:u w:val="single" w:color="auto"/>
              </w:rPr>
              <w:t>人民银行同期活期存款利率。</w:t>
            </w:r>
          </w:p>
          <w:p w14:paraId="631BB6B2">
            <w:pPr>
              <w:pStyle w:val="18"/>
              <w:spacing w:before="66" w:line="221" w:lineRule="auto"/>
              <w:ind w:left="111"/>
              <w:rPr>
                <w:color w:val="auto"/>
                <w:highlight w:val="none"/>
              </w:rPr>
            </w:pPr>
            <w:r>
              <w:rPr>
                <w:color w:val="auto"/>
                <w:spacing w:val="-8"/>
                <w:highlight w:val="none"/>
              </w:rPr>
              <w:t>计息时间：</w:t>
            </w:r>
            <w:r>
              <w:rPr>
                <w:color w:val="auto"/>
                <w:spacing w:val="67"/>
                <w:highlight w:val="none"/>
              </w:rPr>
              <w:t xml:space="preserve"> </w:t>
            </w:r>
            <w:r>
              <w:rPr>
                <w:color w:val="auto"/>
                <w:spacing w:val="-8"/>
                <w:highlight w:val="none"/>
                <w:u w:val="single" w:color="auto"/>
              </w:rPr>
              <w:t>投标保证金到账之日至退还的前一日。</w:t>
            </w:r>
          </w:p>
          <w:p w14:paraId="538D0CF1">
            <w:pPr>
              <w:pStyle w:val="18"/>
              <w:spacing w:before="67" w:line="263" w:lineRule="auto"/>
              <w:ind w:left="1163" w:right="105" w:hanging="1051"/>
              <w:rPr>
                <w:color w:val="auto"/>
                <w:highlight w:val="none"/>
              </w:rPr>
            </w:pPr>
            <w:r>
              <w:rPr>
                <w:color w:val="auto"/>
                <w:spacing w:val="-10"/>
                <w:highlight w:val="none"/>
              </w:rPr>
              <w:t>退还办法：</w:t>
            </w:r>
            <w:r>
              <w:rPr>
                <w:color w:val="auto"/>
                <w:spacing w:val="84"/>
                <w:highlight w:val="none"/>
              </w:rPr>
              <w:t xml:space="preserve"> </w:t>
            </w:r>
            <w:r>
              <w:rPr>
                <w:color w:val="auto"/>
                <w:spacing w:val="-10"/>
                <w:highlight w:val="none"/>
                <w:u w:val="single" w:color="auto"/>
              </w:rPr>
              <w:t>中标结果公示后</w:t>
            </w:r>
            <w:r>
              <w:rPr>
                <w:color w:val="auto"/>
                <w:spacing w:val="-54"/>
                <w:highlight w:val="none"/>
                <w:u w:val="single" w:color="auto"/>
              </w:rPr>
              <w:t xml:space="preserve"> </w:t>
            </w:r>
            <w:r>
              <w:rPr>
                <w:color w:val="auto"/>
                <w:spacing w:val="-10"/>
                <w:highlight w:val="none"/>
                <w:u w:val="single" w:color="auto"/>
              </w:rPr>
              <w:t>5</w:t>
            </w:r>
            <w:r>
              <w:rPr>
                <w:color w:val="auto"/>
                <w:spacing w:val="-22"/>
                <w:highlight w:val="none"/>
                <w:u w:val="single" w:color="auto"/>
              </w:rPr>
              <w:t xml:space="preserve"> </w:t>
            </w:r>
            <w:r>
              <w:rPr>
                <w:color w:val="auto"/>
                <w:spacing w:val="-10"/>
                <w:highlight w:val="none"/>
                <w:u w:val="single" w:color="auto"/>
              </w:rPr>
              <w:t>日内，未中标的投标人现金</w:t>
            </w:r>
            <w:r>
              <w:rPr>
                <w:color w:val="auto"/>
                <w:highlight w:val="none"/>
              </w:rPr>
              <w:t xml:space="preserve"> </w:t>
            </w:r>
            <w:r>
              <w:rPr>
                <w:color w:val="auto"/>
                <w:spacing w:val="1"/>
                <w:highlight w:val="none"/>
                <w:u w:val="single" w:color="auto"/>
              </w:rPr>
              <w:t>保证金按原路径自动退回；合同签订后 5</w:t>
            </w:r>
            <w:r>
              <w:rPr>
                <w:color w:val="auto"/>
                <w:spacing w:val="57"/>
                <w:highlight w:val="none"/>
                <w:u w:val="single" w:color="auto"/>
              </w:rPr>
              <w:t xml:space="preserve"> </w:t>
            </w:r>
            <w:r>
              <w:rPr>
                <w:color w:val="auto"/>
                <w:spacing w:val="1"/>
                <w:highlight w:val="none"/>
                <w:u w:val="single" w:color="auto"/>
              </w:rPr>
              <w:t>日</w:t>
            </w:r>
            <w:r>
              <w:rPr>
                <w:color w:val="auto"/>
                <w:highlight w:val="none"/>
              </w:rPr>
              <w:t xml:space="preserve"> </w:t>
            </w:r>
            <w:r>
              <w:rPr>
                <w:color w:val="auto"/>
                <w:spacing w:val="9"/>
                <w:highlight w:val="none"/>
                <w:u w:val="single" w:color="auto"/>
              </w:rPr>
              <w:t>内，中标人的现金投标保证金按原路径自动</w:t>
            </w:r>
            <w:r>
              <w:rPr>
                <w:color w:val="auto"/>
                <w:spacing w:val="7"/>
                <w:highlight w:val="none"/>
              </w:rPr>
              <w:t xml:space="preserve"> </w:t>
            </w:r>
            <w:r>
              <w:rPr>
                <w:color w:val="auto"/>
                <w:spacing w:val="-32"/>
                <w:highlight w:val="none"/>
                <w:u w:val="single" w:color="auto"/>
              </w:rPr>
              <w:t>退回。</w:t>
            </w:r>
            <w:r>
              <w:rPr>
                <w:color w:val="auto"/>
                <w:highlight w:val="none"/>
                <w:u w:val="single" w:color="auto"/>
              </w:rPr>
              <w:t xml:space="preserve"> </w:t>
            </w:r>
          </w:p>
        </w:tc>
      </w:tr>
      <w:tr w14:paraId="27675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42AFC03A">
            <w:pPr>
              <w:spacing w:before="277"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3.5.2</w:t>
            </w:r>
          </w:p>
        </w:tc>
        <w:tc>
          <w:tcPr>
            <w:tcW w:w="2121" w:type="dxa"/>
            <w:vAlign w:val="top"/>
          </w:tcPr>
          <w:p w14:paraId="0643B661">
            <w:pPr>
              <w:pStyle w:val="18"/>
              <w:spacing w:before="82" w:line="242" w:lineRule="auto"/>
              <w:ind w:left="647" w:right="108" w:hanging="525"/>
              <w:rPr>
                <w:color w:val="auto"/>
                <w:highlight w:val="none"/>
              </w:rPr>
            </w:pPr>
            <w:r>
              <w:rPr>
                <w:color w:val="auto"/>
                <w:spacing w:val="-1"/>
                <w:highlight w:val="none"/>
              </w:rPr>
              <w:t>企业近年财务状况的</w:t>
            </w:r>
            <w:r>
              <w:rPr>
                <w:color w:val="auto"/>
                <w:spacing w:val="2"/>
                <w:highlight w:val="none"/>
              </w:rPr>
              <w:t xml:space="preserve"> </w:t>
            </w:r>
            <w:r>
              <w:rPr>
                <w:color w:val="auto"/>
                <w:spacing w:val="-1"/>
                <w:highlight w:val="none"/>
              </w:rPr>
              <w:t>年份要求</w:t>
            </w:r>
          </w:p>
        </w:tc>
        <w:tc>
          <w:tcPr>
            <w:tcW w:w="5447" w:type="dxa"/>
            <w:vAlign w:val="top"/>
          </w:tcPr>
          <w:p w14:paraId="6A98C248">
            <w:pPr>
              <w:pStyle w:val="18"/>
              <w:spacing w:before="240" w:line="221" w:lineRule="auto"/>
              <w:ind w:left="110"/>
              <w:rPr>
                <w:color w:val="auto"/>
                <w:highlight w:val="none"/>
              </w:rPr>
            </w:pPr>
            <w:r>
              <w:rPr>
                <w:color w:val="auto"/>
                <w:spacing w:val="-4"/>
                <w:highlight w:val="none"/>
              </w:rPr>
              <w:t>近</w:t>
            </w:r>
            <w:r>
              <w:rPr>
                <w:color w:val="auto"/>
                <w:spacing w:val="22"/>
                <w:highlight w:val="none"/>
                <w:u w:val="single" w:color="auto"/>
              </w:rPr>
              <w:t xml:space="preserve">  </w:t>
            </w:r>
            <w:r>
              <w:rPr>
                <w:rFonts w:hint="eastAsia"/>
                <w:color w:val="auto"/>
                <w:spacing w:val="22"/>
                <w:highlight w:val="none"/>
                <w:u w:val="single" w:color="auto"/>
                <w:lang w:val="en-US" w:eastAsia="zh-CN"/>
              </w:rPr>
              <w:t>/</w:t>
            </w:r>
            <w:r>
              <w:rPr>
                <w:color w:val="auto"/>
                <w:spacing w:val="22"/>
                <w:highlight w:val="none"/>
                <w:u w:val="single" w:color="auto"/>
              </w:rPr>
              <w:t xml:space="preserve"> </w:t>
            </w:r>
            <w:r>
              <w:rPr>
                <w:color w:val="auto"/>
                <w:spacing w:val="-95"/>
                <w:highlight w:val="none"/>
              </w:rPr>
              <w:t xml:space="preserve"> </w:t>
            </w:r>
            <w:r>
              <w:rPr>
                <w:color w:val="auto"/>
                <w:spacing w:val="-4"/>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4"/>
                <w:highlight w:val="none"/>
              </w:rPr>
              <w:t>年度、</w:t>
            </w:r>
            <w:r>
              <w:rPr>
                <w:color w:val="auto"/>
                <w:spacing w:val="-4"/>
                <w:highlight w:val="none"/>
                <w:u w:val="single" w:color="auto"/>
              </w:rPr>
              <w:t xml:space="preserve">    </w:t>
            </w:r>
            <w:r>
              <w:rPr>
                <w:color w:val="auto"/>
                <w:spacing w:val="-95"/>
                <w:highlight w:val="none"/>
              </w:rPr>
              <w:t xml:space="preserve"> </w:t>
            </w:r>
            <w:r>
              <w:rPr>
                <w:color w:val="auto"/>
                <w:spacing w:val="-4"/>
                <w:highlight w:val="none"/>
              </w:rPr>
              <w:t>年度和</w:t>
            </w:r>
            <w:r>
              <w:rPr>
                <w:color w:val="auto"/>
                <w:spacing w:val="-105"/>
                <w:highlight w:val="none"/>
              </w:rPr>
              <w:t xml:space="preserve"> </w:t>
            </w:r>
            <w:r>
              <w:rPr>
                <w:color w:val="auto"/>
                <w:spacing w:val="16"/>
                <w:highlight w:val="none"/>
                <w:u w:val="single" w:color="auto"/>
              </w:rPr>
              <w:t xml:space="preserve">   </w:t>
            </w:r>
            <w:r>
              <w:rPr>
                <w:color w:val="auto"/>
                <w:spacing w:val="-94"/>
                <w:highlight w:val="none"/>
              </w:rPr>
              <w:t xml:space="preserve"> </w:t>
            </w:r>
            <w:r>
              <w:rPr>
                <w:color w:val="auto"/>
                <w:spacing w:val="-4"/>
                <w:highlight w:val="none"/>
              </w:rPr>
              <w:t>年度。</w:t>
            </w:r>
          </w:p>
        </w:tc>
      </w:tr>
      <w:tr w14:paraId="71307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4F480A47">
            <w:pPr>
              <w:spacing w:before="277"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3.5.3</w:t>
            </w:r>
          </w:p>
        </w:tc>
        <w:tc>
          <w:tcPr>
            <w:tcW w:w="2121" w:type="dxa"/>
            <w:vAlign w:val="top"/>
          </w:tcPr>
          <w:p w14:paraId="610771A0">
            <w:pPr>
              <w:pStyle w:val="18"/>
              <w:spacing w:before="82" w:line="244" w:lineRule="auto"/>
              <w:ind w:left="223" w:right="108" w:hanging="101"/>
              <w:rPr>
                <w:color w:val="auto"/>
                <w:highlight w:val="none"/>
              </w:rPr>
            </w:pPr>
            <w:r>
              <w:rPr>
                <w:color w:val="auto"/>
                <w:spacing w:val="-1"/>
                <w:highlight w:val="none"/>
              </w:rPr>
              <w:t>企业近年已完成的类</w:t>
            </w:r>
            <w:r>
              <w:rPr>
                <w:color w:val="auto"/>
                <w:spacing w:val="2"/>
                <w:highlight w:val="none"/>
              </w:rPr>
              <w:t xml:space="preserve"> </w:t>
            </w:r>
            <w:r>
              <w:rPr>
                <w:color w:val="auto"/>
                <w:spacing w:val="-1"/>
                <w:highlight w:val="none"/>
              </w:rPr>
              <w:t>似项目的年份要求</w:t>
            </w:r>
          </w:p>
        </w:tc>
        <w:tc>
          <w:tcPr>
            <w:tcW w:w="5447" w:type="dxa"/>
            <w:vAlign w:val="top"/>
          </w:tcPr>
          <w:p w14:paraId="3AE1D70B">
            <w:pPr>
              <w:pStyle w:val="18"/>
              <w:spacing w:before="240"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18"/>
                <w:highlight w:val="none"/>
                <w:u w:val="single" w:color="auto"/>
              </w:rPr>
              <w:t xml:space="preserve">  </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tc>
      </w:tr>
      <w:tr w14:paraId="74541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18B4D2EB">
            <w:pPr>
              <w:spacing w:line="346" w:lineRule="auto"/>
              <w:rPr>
                <w:rFonts w:ascii="Arial"/>
                <w:color w:val="auto"/>
                <w:sz w:val="21"/>
                <w:highlight w:val="none"/>
              </w:rPr>
            </w:pPr>
          </w:p>
          <w:p w14:paraId="1BAF5D77">
            <w:pPr>
              <w:spacing w:line="346" w:lineRule="auto"/>
              <w:rPr>
                <w:rFonts w:ascii="Arial"/>
                <w:color w:val="auto"/>
                <w:sz w:val="21"/>
                <w:highlight w:val="none"/>
              </w:rPr>
            </w:pPr>
          </w:p>
          <w:p w14:paraId="57B1E4D8">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3.5.5</w:t>
            </w:r>
          </w:p>
        </w:tc>
        <w:tc>
          <w:tcPr>
            <w:tcW w:w="2121" w:type="dxa"/>
            <w:vAlign w:val="top"/>
          </w:tcPr>
          <w:p w14:paraId="705A8A7F">
            <w:pPr>
              <w:spacing w:line="328" w:lineRule="auto"/>
              <w:rPr>
                <w:rFonts w:ascii="Arial"/>
                <w:color w:val="auto"/>
                <w:sz w:val="21"/>
                <w:highlight w:val="none"/>
              </w:rPr>
            </w:pPr>
          </w:p>
          <w:p w14:paraId="392FC384">
            <w:pPr>
              <w:pStyle w:val="18"/>
              <w:spacing w:before="68" w:line="221" w:lineRule="auto"/>
              <w:ind w:left="122"/>
              <w:rPr>
                <w:color w:val="auto"/>
                <w:highlight w:val="none"/>
              </w:rPr>
            </w:pPr>
            <w:r>
              <w:rPr>
                <w:color w:val="auto"/>
                <w:spacing w:val="-1"/>
                <w:highlight w:val="none"/>
              </w:rPr>
              <w:t>企业近年发生的诉讼</w:t>
            </w:r>
          </w:p>
          <w:p w14:paraId="27E79ADF">
            <w:pPr>
              <w:pStyle w:val="18"/>
              <w:spacing w:before="70" w:line="221" w:lineRule="auto"/>
              <w:ind w:left="118"/>
              <w:rPr>
                <w:color w:val="auto"/>
                <w:highlight w:val="none"/>
              </w:rPr>
            </w:pPr>
            <w:r>
              <w:rPr>
                <w:color w:val="auto"/>
                <w:spacing w:val="-1"/>
                <w:highlight w:val="none"/>
              </w:rPr>
              <w:t>及仲裁情况的年份要</w:t>
            </w:r>
          </w:p>
          <w:p w14:paraId="599C085C">
            <w:pPr>
              <w:pStyle w:val="18"/>
              <w:spacing w:before="65" w:line="222" w:lineRule="auto"/>
              <w:ind w:left="961"/>
              <w:rPr>
                <w:color w:val="auto"/>
                <w:highlight w:val="none"/>
              </w:rPr>
            </w:pPr>
            <w:r>
              <w:rPr>
                <w:color w:val="auto"/>
                <w:highlight w:val="none"/>
              </w:rPr>
              <w:t>求</w:t>
            </w:r>
          </w:p>
        </w:tc>
        <w:tc>
          <w:tcPr>
            <w:tcW w:w="5447" w:type="dxa"/>
            <w:vAlign w:val="top"/>
          </w:tcPr>
          <w:p w14:paraId="4F2CF8A9">
            <w:pPr>
              <w:pStyle w:val="18"/>
              <w:spacing w:before="77"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18"/>
                <w:highlight w:val="none"/>
                <w:u w:val="single" w:color="auto"/>
              </w:rPr>
              <w:t xml:space="preserve"> </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p w14:paraId="7415976F">
            <w:pPr>
              <w:pStyle w:val="18"/>
              <w:spacing w:before="72" w:line="263" w:lineRule="auto"/>
              <w:ind w:left="110" w:right="111"/>
              <w:rPr>
                <w:color w:val="auto"/>
                <w:highlight w:val="none"/>
              </w:rPr>
            </w:pPr>
            <w:r>
              <w:rPr>
                <w:color w:val="auto"/>
                <w:spacing w:val="7"/>
                <w:highlight w:val="none"/>
              </w:rPr>
              <w:t>特别说明：近年发生的诉讼和仲裁情况仅限于申请人败</w:t>
            </w:r>
            <w:r>
              <w:rPr>
                <w:color w:val="auto"/>
                <w:spacing w:val="6"/>
                <w:highlight w:val="none"/>
              </w:rPr>
              <w:t xml:space="preserve"> </w:t>
            </w:r>
            <w:r>
              <w:rPr>
                <w:color w:val="auto"/>
                <w:spacing w:val="7"/>
                <w:highlight w:val="none"/>
              </w:rPr>
              <w:t>诉的，且与签订或履行合同有关的案件，不包括调解结</w:t>
            </w:r>
            <w:r>
              <w:rPr>
                <w:color w:val="auto"/>
                <w:spacing w:val="5"/>
                <w:highlight w:val="none"/>
              </w:rPr>
              <w:t xml:space="preserve"> </w:t>
            </w:r>
            <w:r>
              <w:rPr>
                <w:color w:val="auto"/>
                <w:spacing w:val="7"/>
                <w:highlight w:val="none"/>
              </w:rPr>
              <w:t>案以及未终审判决的诉讼或未裁决的仲裁。投标人应如</w:t>
            </w:r>
            <w:r>
              <w:rPr>
                <w:color w:val="auto"/>
                <w:spacing w:val="11"/>
                <w:highlight w:val="none"/>
              </w:rPr>
              <w:t xml:space="preserve"> </w:t>
            </w:r>
            <w:r>
              <w:rPr>
                <w:color w:val="auto"/>
                <w:spacing w:val="7"/>
                <w:highlight w:val="none"/>
              </w:rPr>
              <w:t>实填写近年发生的诉讼及仲裁情况，否则视为不响应招</w:t>
            </w:r>
          </w:p>
        </w:tc>
      </w:tr>
    </w:tbl>
    <w:p w14:paraId="12BAC472">
      <w:pPr>
        <w:pStyle w:val="5"/>
        <w:rPr>
          <w:color w:val="auto"/>
          <w:highlight w:val="none"/>
        </w:rPr>
      </w:pPr>
    </w:p>
    <w:p w14:paraId="62ED96D6">
      <w:pPr>
        <w:spacing w:line="95" w:lineRule="auto"/>
        <w:rPr>
          <w:rFonts w:ascii="Arial"/>
          <w:color w:val="auto"/>
          <w:sz w:val="2"/>
          <w:highlight w:val="none"/>
        </w:rPr>
      </w:pPr>
    </w:p>
    <w:tbl>
      <w:tblPr>
        <w:tblStyle w:val="17"/>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A8EB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3B5EE43E">
            <w:pPr>
              <w:rPr>
                <w:rFonts w:ascii="Arial"/>
                <w:color w:val="auto"/>
                <w:sz w:val="21"/>
                <w:highlight w:val="none"/>
              </w:rPr>
            </w:pPr>
          </w:p>
        </w:tc>
        <w:tc>
          <w:tcPr>
            <w:tcW w:w="2121" w:type="dxa"/>
            <w:vAlign w:val="top"/>
          </w:tcPr>
          <w:p w14:paraId="64490455">
            <w:pPr>
              <w:rPr>
                <w:rFonts w:ascii="Arial"/>
                <w:color w:val="auto"/>
                <w:sz w:val="21"/>
                <w:highlight w:val="none"/>
              </w:rPr>
            </w:pPr>
          </w:p>
        </w:tc>
        <w:tc>
          <w:tcPr>
            <w:tcW w:w="5447" w:type="dxa"/>
            <w:vAlign w:val="top"/>
          </w:tcPr>
          <w:p w14:paraId="25A1BF66">
            <w:pPr>
              <w:pStyle w:val="18"/>
              <w:spacing w:before="84" w:line="263" w:lineRule="auto"/>
              <w:ind w:left="109" w:right="116" w:firstLine="2"/>
              <w:rPr>
                <w:color w:val="auto"/>
                <w:highlight w:val="none"/>
              </w:rPr>
            </w:pPr>
            <w:bookmarkStart w:id="39" w:name="bookmark60"/>
            <w:bookmarkEnd w:id="39"/>
            <w:bookmarkStart w:id="40" w:name="bookmark59"/>
            <w:bookmarkEnd w:id="40"/>
            <w:r>
              <w:rPr>
                <w:color w:val="auto"/>
                <w:spacing w:val="7"/>
                <w:highlight w:val="none"/>
              </w:rPr>
              <w:t>标文件实质性要求，其投标文件将被否决。如投标人因</w:t>
            </w:r>
            <w:r>
              <w:rPr>
                <w:color w:val="auto"/>
                <w:spacing w:val="4"/>
                <w:highlight w:val="none"/>
              </w:rPr>
              <w:t xml:space="preserve"> </w:t>
            </w:r>
            <w:r>
              <w:rPr>
                <w:color w:val="auto"/>
                <w:spacing w:val="7"/>
                <w:highlight w:val="none"/>
              </w:rPr>
              <w:t>故意隐瞒且查证属实存在影响履约的诉讼及仲</w:t>
            </w:r>
            <w:r>
              <w:rPr>
                <w:color w:val="auto"/>
                <w:spacing w:val="6"/>
                <w:highlight w:val="none"/>
              </w:rPr>
              <w:t>裁情况，</w:t>
            </w:r>
            <w:r>
              <w:rPr>
                <w:color w:val="auto"/>
                <w:highlight w:val="none"/>
              </w:rPr>
              <w:t xml:space="preserve"> </w:t>
            </w:r>
            <w:r>
              <w:rPr>
                <w:color w:val="auto"/>
                <w:spacing w:val="7"/>
                <w:highlight w:val="none"/>
              </w:rPr>
              <w:t>将视为弄虚作假或以不正当手段骗取中标的行为，将依</w:t>
            </w:r>
            <w:r>
              <w:rPr>
                <w:color w:val="auto"/>
                <w:spacing w:val="6"/>
                <w:highlight w:val="none"/>
              </w:rPr>
              <w:t xml:space="preserve"> </w:t>
            </w:r>
            <w:r>
              <w:rPr>
                <w:color w:val="auto"/>
                <w:spacing w:val="-6"/>
                <w:highlight w:val="none"/>
              </w:rPr>
              <w:t>法依规予以处理。 时间为判决或仲裁决定时间。</w:t>
            </w:r>
          </w:p>
        </w:tc>
      </w:tr>
      <w:tr w14:paraId="72049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54" w:type="dxa"/>
            <w:vAlign w:val="top"/>
          </w:tcPr>
          <w:p w14:paraId="00C66FD7">
            <w:pPr>
              <w:spacing w:line="368" w:lineRule="auto"/>
              <w:rPr>
                <w:rFonts w:ascii="Arial"/>
                <w:color w:val="auto"/>
                <w:sz w:val="21"/>
                <w:highlight w:val="none"/>
              </w:rPr>
            </w:pPr>
          </w:p>
          <w:p w14:paraId="6920345C">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3.5.9</w:t>
            </w:r>
          </w:p>
        </w:tc>
        <w:tc>
          <w:tcPr>
            <w:tcW w:w="2121" w:type="dxa"/>
            <w:vAlign w:val="top"/>
          </w:tcPr>
          <w:p w14:paraId="54319C50">
            <w:pPr>
              <w:pStyle w:val="18"/>
              <w:spacing w:before="77" w:line="221" w:lineRule="auto"/>
              <w:ind w:left="122"/>
              <w:rPr>
                <w:color w:val="auto"/>
                <w:highlight w:val="none"/>
              </w:rPr>
            </w:pPr>
            <w:r>
              <w:rPr>
                <w:color w:val="auto"/>
                <w:spacing w:val="-1"/>
                <w:highlight w:val="none"/>
              </w:rPr>
              <w:t>项目经理近年已完成</w:t>
            </w:r>
          </w:p>
          <w:p w14:paraId="08A1B04D">
            <w:pPr>
              <w:pStyle w:val="18"/>
              <w:spacing w:before="65" w:line="221" w:lineRule="auto"/>
              <w:ind w:left="136"/>
              <w:rPr>
                <w:color w:val="auto"/>
                <w:highlight w:val="none"/>
              </w:rPr>
            </w:pPr>
            <w:r>
              <w:rPr>
                <w:color w:val="auto"/>
                <w:spacing w:val="-3"/>
                <w:highlight w:val="none"/>
              </w:rPr>
              <w:t>的类似项目的年份要</w:t>
            </w:r>
          </w:p>
          <w:p w14:paraId="5ABB8E29">
            <w:pPr>
              <w:pStyle w:val="18"/>
              <w:spacing w:before="70" w:line="209" w:lineRule="auto"/>
              <w:ind w:left="961"/>
              <w:rPr>
                <w:color w:val="auto"/>
                <w:highlight w:val="none"/>
              </w:rPr>
            </w:pPr>
            <w:r>
              <w:rPr>
                <w:color w:val="auto"/>
                <w:highlight w:val="none"/>
              </w:rPr>
              <w:t>求</w:t>
            </w:r>
          </w:p>
        </w:tc>
        <w:tc>
          <w:tcPr>
            <w:tcW w:w="5447" w:type="dxa"/>
            <w:vAlign w:val="top"/>
          </w:tcPr>
          <w:p w14:paraId="7FFABE7F">
            <w:pPr>
              <w:spacing w:line="324" w:lineRule="auto"/>
              <w:rPr>
                <w:rFonts w:ascii="Arial"/>
                <w:color w:val="auto"/>
                <w:sz w:val="21"/>
                <w:highlight w:val="none"/>
              </w:rPr>
            </w:pPr>
          </w:p>
          <w:p w14:paraId="0100795C">
            <w:pPr>
              <w:pStyle w:val="18"/>
              <w:spacing w:before="68"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tc>
      </w:tr>
      <w:tr w14:paraId="7749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75221D60">
            <w:pPr>
              <w:spacing w:before="273"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3.6</w:t>
            </w:r>
          </w:p>
        </w:tc>
        <w:tc>
          <w:tcPr>
            <w:tcW w:w="2121" w:type="dxa"/>
            <w:vAlign w:val="top"/>
          </w:tcPr>
          <w:p w14:paraId="2B8392BA">
            <w:pPr>
              <w:pStyle w:val="18"/>
              <w:spacing w:before="77" w:line="244" w:lineRule="auto"/>
              <w:ind w:left="753" w:right="108" w:hanging="631"/>
              <w:rPr>
                <w:color w:val="auto"/>
                <w:highlight w:val="none"/>
              </w:rPr>
            </w:pPr>
            <w:r>
              <w:rPr>
                <w:color w:val="auto"/>
                <w:spacing w:val="-1"/>
                <w:highlight w:val="none"/>
              </w:rPr>
              <w:t>是否允许递交备选投</w:t>
            </w:r>
            <w:r>
              <w:rPr>
                <w:color w:val="auto"/>
                <w:spacing w:val="2"/>
                <w:highlight w:val="none"/>
              </w:rPr>
              <w:t xml:space="preserve"> </w:t>
            </w:r>
            <w:r>
              <w:rPr>
                <w:color w:val="auto"/>
                <w:spacing w:val="-2"/>
                <w:highlight w:val="none"/>
              </w:rPr>
              <w:t>标方案</w:t>
            </w:r>
          </w:p>
        </w:tc>
        <w:tc>
          <w:tcPr>
            <w:tcW w:w="5447" w:type="dxa"/>
            <w:vAlign w:val="top"/>
          </w:tcPr>
          <w:p w14:paraId="4C3DFD45">
            <w:pPr>
              <w:pStyle w:val="18"/>
              <w:spacing w:before="37" w:line="202" w:lineRule="auto"/>
              <w:ind w:left="125"/>
              <w:rPr>
                <w:color w:val="auto"/>
                <w:highlight w:val="none"/>
              </w:rPr>
            </w:pPr>
            <w:r>
              <w:rPr>
                <w:rFonts w:ascii="Times New Roman" w:hAnsi="Times New Roman" w:eastAsia="Times New Roman" w:cs="Times New Roman"/>
                <w:color w:val="auto"/>
                <w:spacing w:val="-6"/>
                <w:sz w:val="32"/>
                <w:szCs w:val="32"/>
                <w:highlight w:val="none"/>
              </w:rPr>
              <w:sym w:font="Wingdings 2" w:char="0052"/>
            </w:r>
            <w:r>
              <w:rPr>
                <w:color w:val="auto"/>
                <w:spacing w:val="-6"/>
                <w:highlight w:val="none"/>
              </w:rPr>
              <w:t>不允许</w:t>
            </w:r>
          </w:p>
          <w:p w14:paraId="20E021C7">
            <w:pPr>
              <w:pStyle w:val="18"/>
              <w:spacing w:line="186" w:lineRule="auto"/>
              <w:ind w:left="125"/>
              <w:rPr>
                <w:color w:val="auto"/>
                <w:highlight w:val="none"/>
              </w:rPr>
            </w:pPr>
            <w:r>
              <w:rPr>
                <w:rFonts w:ascii="Times New Roman" w:hAnsi="Times New Roman" w:eastAsia="Times New Roman" w:cs="Times New Roman"/>
                <w:color w:val="auto"/>
                <w:spacing w:val="-8"/>
                <w:sz w:val="32"/>
                <w:szCs w:val="32"/>
                <w:highlight w:val="none"/>
              </w:rPr>
              <w:t>□</w:t>
            </w:r>
            <w:r>
              <w:rPr>
                <w:color w:val="auto"/>
                <w:spacing w:val="-8"/>
                <w:highlight w:val="none"/>
              </w:rPr>
              <w:t>允许</w:t>
            </w:r>
          </w:p>
        </w:tc>
      </w:tr>
      <w:tr w14:paraId="52B86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14:paraId="30846905">
            <w:pPr>
              <w:spacing w:line="245" w:lineRule="auto"/>
              <w:rPr>
                <w:rFonts w:ascii="Arial"/>
                <w:color w:val="auto"/>
                <w:sz w:val="21"/>
                <w:highlight w:val="none"/>
              </w:rPr>
            </w:pPr>
          </w:p>
          <w:p w14:paraId="3F07EDD5">
            <w:pPr>
              <w:spacing w:line="245" w:lineRule="auto"/>
              <w:rPr>
                <w:rFonts w:ascii="Arial"/>
                <w:color w:val="auto"/>
                <w:sz w:val="21"/>
                <w:highlight w:val="none"/>
              </w:rPr>
            </w:pPr>
          </w:p>
          <w:p w14:paraId="23D22E71">
            <w:pPr>
              <w:spacing w:line="245" w:lineRule="auto"/>
              <w:rPr>
                <w:rFonts w:ascii="Arial"/>
                <w:color w:val="auto"/>
                <w:sz w:val="21"/>
                <w:highlight w:val="none"/>
              </w:rPr>
            </w:pPr>
          </w:p>
          <w:p w14:paraId="529EAC60">
            <w:pPr>
              <w:spacing w:line="245" w:lineRule="auto"/>
              <w:rPr>
                <w:rFonts w:ascii="Arial"/>
                <w:color w:val="auto"/>
                <w:sz w:val="21"/>
                <w:highlight w:val="none"/>
              </w:rPr>
            </w:pPr>
          </w:p>
          <w:p w14:paraId="159B2A13">
            <w:pPr>
              <w:spacing w:line="245" w:lineRule="auto"/>
              <w:rPr>
                <w:rFonts w:ascii="Arial"/>
                <w:color w:val="auto"/>
                <w:sz w:val="21"/>
                <w:highlight w:val="none"/>
              </w:rPr>
            </w:pPr>
          </w:p>
          <w:p w14:paraId="65A73AC2">
            <w:pPr>
              <w:spacing w:line="246" w:lineRule="auto"/>
              <w:rPr>
                <w:rFonts w:ascii="Arial"/>
                <w:color w:val="auto"/>
                <w:sz w:val="21"/>
                <w:highlight w:val="none"/>
              </w:rPr>
            </w:pPr>
          </w:p>
          <w:p w14:paraId="7367C96D">
            <w:pPr>
              <w:spacing w:line="246" w:lineRule="auto"/>
              <w:rPr>
                <w:rFonts w:ascii="Arial"/>
                <w:color w:val="auto"/>
                <w:sz w:val="21"/>
                <w:highlight w:val="none"/>
              </w:rPr>
            </w:pPr>
          </w:p>
          <w:p w14:paraId="514AE657">
            <w:pPr>
              <w:spacing w:line="246" w:lineRule="auto"/>
              <w:rPr>
                <w:rFonts w:ascii="Arial"/>
                <w:color w:val="auto"/>
                <w:sz w:val="21"/>
                <w:highlight w:val="none"/>
              </w:rPr>
            </w:pPr>
          </w:p>
          <w:p w14:paraId="7F62BCB1">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3.7.3</w:t>
            </w:r>
          </w:p>
        </w:tc>
        <w:tc>
          <w:tcPr>
            <w:tcW w:w="2121" w:type="dxa"/>
            <w:vAlign w:val="top"/>
          </w:tcPr>
          <w:p w14:paraId="0ABE17F0">
            <w:pPr>
              <w:spacing w:line="251" w:lineRule="auto"/>
              <w:rPr>
                <w:rFonts w:ascii="Arial"/>
                <w:color w:val="auto"/>
                <w:sz w:val="21"/>
                <w:highlight w:val="none"/>
              </w:rPr>
            </w:pPr>
          </w:p>
          <w:p w14:paraId="083B00EC">
            <w:pPr>
              <w:spacing w:line="251" w:lineRule="auto"/>
              <w:rPr>
                <w:rFonts w:ascii="Arial"/>
                <w:color w:val="auto"/>
                <w:sz w:val="21"/>
                <w:highlight w:val="none"/>
              </w:rPr>
            </w:pPr>
          </w:p>
          <w:p w14:paraId="78326038">
            <w:pPr>
              <w:spacing w:line="252" w:lineRule="auto"/>
              <w:rPr>
                <w:rFonts w:ascii="Arial"/>
                <w:color w:val="auto"/>
                <w:sz w:val="21"/>
                <w:highlight w:val="none"/>
              </w:rPr>
            </w:pPr>
          </w:p>
          <w:p w14:paraId="6BDBE914">
            <w:pPr>
              <w:spacing w:line="252" w:lineRule="auto"/>
              <w:rPr>
                <w:rFonts w:ascii="Arial"/>
                <w:color w:val="auto"/>
                <w:sz w:val="21"/>
                <w:highlight w:val="none"/>
              </w:rPr>
            </w:pPr>
          </w:p>
          <w:p w14:paraId="3E5F0276">
            <w:pPr>
              <w:spacing w:line="252" w:lineRule="auto"/>
              <w:rPr>
                <w:rFonts w:ascii="Arial"/>
                <w:color w:val="auto"/>
                <w:sz w:val="21"/>
                <w:highlight w:val="none"/>
              </w:rPr>
            </w:pPr>
          </w:p>
          <w:p w14:paraId="044D8BA4">
            <w:pPr>
              <w:spacing w:line="252" w:lineRule="auto"/>
              <w:rPr>
                <w:rFonts w:ascii="Arial"/>
                <w:color w:val="auto"/>
                <w:sz w:val="21"/>
                <w:highlight w:val="none"/>
              </w:rPr>
            </w:pPr>
          </w:p>
          <w:p w14:paraId="5D70AF8D">
            <w:pPr>
              <w:spacing w:line="252" w:lineRule="auto"/>
              <w:rPr>
                <w:rFonts w:ascii="Arial"/>
                <w:color w:val="auto"/>
                <w:sz w:val="21"/>
                <w:highlight w:val="none"/>
              </w:rPr>
            </w:pPr>
          </w:p>
          <w:p w14:paraId="5618F156">
            <w:pPr>
              <w:pStyle w:val="18"/>
              <w:spacing w:before="68" w:line="249" w:lineRule="auto"/>
              <w:ind w:left="647" w:right="108" w:hanging="528"/>
              <w:rPr>
                <w:color w:val="auto"/>
                <w:highlight w:val="none"/>
              </w:rPr>
            </w:pPr>
            <w:r>
              <w:rPr>
                <w:color w:val="auto"/>
                <w:spacing w:val="-1"/>
                <w:highlight w:val="none"/>
              </w:rPr>
              <w:t>应用于评审的佐证或</w:t>
            </w:r>
            <w:r>
              <w:rPr>
                <w:color w:val="auto"/>
                <w:spacing w:val="5"/>
                <w:highlight w:val="none"/>
              </w:rPr>
              <w:t xml:space="preserve"> </w:t>
            </w:r>
            <w:r>
              <w:rPr>
                <w:color w:val="auto"/>
                <w:spacing w:val="-1"/>
                <w:highlight w:val="none"/>
              </w:rPr>
              <w:t>证明材料</w:t>
            </w:r>
          </w:p>
        </w:tc>
        <w:tc>
          <w:tcPr>
            <w:tcW w:w="5447" w:type="dxa"/>
            <w:vAlign w:val="top"/>
          </w:tcPr>
          <w:p w14:paraId="17AE09A1">
            <w:pPr>
              <w:pStyle w:val="18"/>
              <w:spacing w:before="79" w:line="220" w:lineRule="auto"/>
              <w:ind w:left="111"/>
              <w:rPr>
                <w:color w:val="auto"/>
                <w:highlight w:val="none"/>
              </w:rPr>
            </w:pPr>
            <w:r>
              <w:rPr>
                <w:color w:val="auto"/>
                <w:spacing w:val="-3"/>
                <w:highlight w:val="none"/>
              </w:rPr>
              <w:t>应用数字证照评审的节点和材料内容：</w:t>
            </w:r>
          </w:p>
          <w:p w14:paraId="4E4C545A">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☑营业执照       ☑资质等级证书    ☑资格许可证书</w:t>
            </w:r>
          </w:p>
          <w:p w14:paraId="2B35327F">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☑安全生产许可证      ☑存款账户证明</w:t>
            </w:r>
          </w:p>
          <w:p w14:paraId="0A215089">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 xml:space="preserve"> ☑管理体系认证证书</w:t>
            </w:r>
            <w:r>
              <w:rPr>
                <w:rFonts w:hint="eastAsia" w:ascii="Segoe UI Symbol" w:hAnsi="Segoe UI Symbol" w:eastAsia="宋体" w:cs="Segoe UI Symbol"/>
                <w:color w:val="auto"/>
                <w:highlight w:val="none"/>
                <w:lang w:val="en-US" w:eastAsia="zh-CN"/>
              </w:rPr>
              <w:t xml:space="preserve">  </w:t>
            </w:r>
            <w:r>
              <w:rPr>
                <w:rFonts w:hint="default" w:ascii="Segoe UI Symbol" w:hAnsi="Segoe UI Symbol" w:cs="Segoe UI Symbol"/>
                <w:color w:val="auto"/>
                <w:highlight w:val="none"/>
              </w:rPr>
              <w:t xml:space="preserve">☑企业业绩           </w:t>
            </w:r>
          </w:p>
          <w:p w14:paraId="71137FA0">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☑注册执业人员证书   ☑专业技术职称证书  ☑安全生产考核合格证</w:t>
            </w:r>
            <w:r>
              <w:rPr>
                <w:rFonts w:hint="eastAsia" w:ascii="Segoe UI Symbol" w:hAnsi="Segoe UI Symbol" w:eastAsia="宋体" w:cs="Segoe UI Symbol"/>
                <w:color w:val="auto"/>
                <w:highlight w:val="none"/>
                <w:lang w:val="en-US" w:eastAsia="zh-CN"/>
              </w:rPr>
              <w:t xml:space="preserve">  </w:t>
            </w:r>
            <w:r>
              <w:rPr>
                <w:rFonts w:hint="default" w:ascii="Segoe UI Symbol" w:hAnsi="Segoe UI Symbol" w:cs="Segoe UI Symbol"/>
                <w:color w:val="auto"/>
                <w:highlight w:val="none"/>
              </w:rPr>
              <w:t>☑施工现场专业人员职业培训合格证</w:t>
            </w:r>
          </w:p>
          <w:p w14:paraId="3F497C89">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14:paraId="0DD2EEDC">
            <w:pPr>
              <w:pStyle w:val="18"/>
              <w:spacing w:before="65" w:line="267" w:lineRule="auto"/>
              <w:ind w:left="110" w:right="111" w:hanging="3"/>
              <w:jc w:val="both"/>
              <w:rPr>
                <w:color w:val="auto"/>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14:paraId="25607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475943EE">
            <w:pPr>
              <w:spacing w:before="184"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3.7.4</w:t>
            </w:r>
          </w:p>
        </w:tc>
        <w:tc>
          <w:tcPr>
            <w:tcW w:w="2121" w:type="dxa"/>
            <w:vAlign w:val="top"/>
          </w:tcPr>
          <w:p w14:paraId="192A1E2B">
            <w:pPr>
              <w:pStyle w:val="18"/>
              <w:spacing w:before="147" w:line="220" w:lineRule="auto"/>
              <w:ind w:left="120"/>
              <w:rPr>
                <w:color w:val="auto"/>
                <w:highlight w:val="none"/>
              </w:rPr>
            </w:pPr>
            <w:r>
              <w:rPr>
                <w:color w:val="auto"/>
                <w:spacing w:val="-1"/>
                <w:highlight w:val="none"/>
              </w:rPr>
              <w:t>技术标是否采用暗标</w:t>
            </w:r>
          </w:p>
        </w:tc>
        <w:tc>
          <w:tcPr>
            <w:tcW w:w="5447" w:type="dxa"/>
            <w:vAlign w:val="top"/>
          </w:tcPr>
          <w:p w14:paraId="1C338BDF">
            <w:pPr>
              <w:pStyle w:val="18"/>
              <w:spacing w:before="147" w:line="220" w:lineRule="auto"/>
              <w:ind w:left="110"/>
              <w:rPr>
                <w:color w:val="auto"/>
                <w:highlight w:val="none"/>
              </w:rPr>
            </w:pPr>
            <w:r>
              <w:rPr>
                <w:color w:val="auto"/>
                <w:spacing w:val="-1"/>
                <w:highlight w:val="none"/>
              </w:rPr>
              <w:t>采用模块化暗标评审</w:t>
            </w:r>
          </w:p>
        </w:tc>
      </w:tr>
      <w:tr w14:paraId="41DF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0EFCDC77">
            <w:pPr>
              <w:spacing w:before="285" w:line="189" w:lineRule="auto"/>
              <w:ind w:left="21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4.2.1</w:t>
            </w:r>
          </w:p>
        </w:tc>
        <w:tc>
          <w:tcPr>
            <w:tcW w:w="2121" w:type="dxa"/>
            <w:vAlign w:val="top"/>
          </w:tcPr>
          <w:p w14:paraId="733E3761">
            <w:pPr>
              <w:pStyle w:val="18"/>
              <w:spacing w:before="249" w:line="221" w:lineRule="auto"/>
              <w:ind w:left="438"/>
              <w:rPr>
                <w:color w:val="auto"/>
                <w:highlight w:val="none"/>
              </w:rPr>
            </w:pPr>
            <w:r>
              <w:rPr>
                <w:color w:val="auto"/>
                <w:spacing w:val="-1"/>
                <w:highlight w:val="none"/>
              </w:rPr>
              <w:t>投标截止时间</w:t>
            </w:r>
          </w:p>
        </w:tc>
        <w:tc>
          <w:tcPr>
            <w:tcW w:w="5447" w:type="dxa"/>
            <w:vAlign w:val="top"/>
          </w:tcPr>
          <w:p w14:paraId="030ED5D4">
            <w:pPr>
              <w:pStyle w:val="18"/>
              <w:tabs>
                <w:tab w:val="left" w:pos="735"/>
              </w:tabs>
              <w:spacing w:before="248" w:line="221" w:lineRule="auto"/>
              <w:ind w:left="103"/>
              <w:rPr>
                <w:color w:val="auto"/>
                <w:highlight w:val="none"/>
              </w:rPr>
            </w:pPr>
            <w:r>
              <w:rPr>
                <w:rFonts w:hint="eastAsia"/>
                <w:color w:val="auto"/>
                <w:highlight w:val="none"/>
                <w:u w:val="single" w:color="auto"/>
                <w:lang w:val="en-US" w:eastAsia="zh-CN"/>
              </w:rPr>
              <w:t>2026</w:t>
            </w:r>
            <w:r>
              <w:rPr>
                <w:color w:val="auto"/>
                <w:spacing w:val="-18"/>
                <w:highlight w:val="none"/>
              </w:rPr>
              <w:t>年</w:t>
            </w:r>
            <w:r>
              <w:rPr>
                <w:rFonts w:hint="eastAsia"/>
                <w:color w:val="auto"/>
                <w:spacing w:val="-18"/>
                <w:highlight w:val="none"/>
                <w:u w:val="single"/>
                <w:lang w:val="en-US" w:eastAsia="zh-CN"/>
              </w:rPr>
              <w:t xml:space="preserve"> 06 </w:t>
            </w:r>
            <w:r>
              <w:rPr>
                <w:color w:val="auto"/>
                <w:spacing w:val="-18"/>
                <w:highlight w:val="none"/>
              </w:rPr>
              <w:t>月</w:t>
            </w:r>
            <w:r>
              <w:rPr>
                <w:rFonts w:hint="eastAsia"/>
                <w:color w:val="auto"/>
                <w:spacing w:val="12"/>
                <w:highlight w:val="none"/>
                <w:u w:val="single" w:color="auto"/>
                <w:lang w:val="en-US" w:eastAsia="zh-CN"/>
              </w:rPr>
              <w:t>**</w:t>
            </w:r>
            <w:r>
              <w:rPr>
                <w:color w:val="auto"/>
                <w:spacing w:val="-18"/>
                <w:highlight w:val="none"/>
              </w:rPr>
              <w:t>日</w:t>
            </w:r>
            <w:r>
              <w:rPr>
                <w:color w:val="auto"/>
                <w:spacing w:val="12"/>
                <w:highlight w:val="none"/>
                <w:u w:val="single" w:color="auto"/>
              </w:rPr>
              <w:t xml:space="preserve"> </w:t>
            </w:r>
            <w:r>
              <w:rPr>
                <w:rFonts w:hint="eastAsia"/>
                <w:color w:val="auto"/>
                <w:spacing w:val="12"/>
                <w:highlight w:val="none"/>
                <w:u w:val="single" w:color="auto"/>
                <w:lang w:val="en-US" w:eastAsia="zh-CN"/>
              </w:rPr>
              <w:t>9</w:t>
            </w:r>
            <w:r>
              <w:rPr>
                <w:color w:val="auto"/>
                <w:spacing w:val="-84"/>
                <w:highlight w:val="none"/>
              </w:rPr>
              <w:t xml:space="preserve"> </w:t>
            </w:r>
            <w:r>
              <w:rPr>
                <w:color w:val="auto"/>
                <w:spacing w:val="-18"/>
                <w:highlight w:val="none"/>
              </w:rPr>
              <w:t>时</w:t>
            </w:r>
            <w:r>
              <w:rPr>
                <w:rFonts w:hint="eastAsia"/>
                <w:color w:val="auto"/>
                <w:highlight w:val="none"/>
                <w:u w:val="single" w:color="auto"/>
                <w:lang w:val="en-US" w:eastAsia="zh-CN"/>
              </w:rPr>
              <w:t>30</w:t>
            </w:r>
            <w:r>
              <w:rPr>
                <w:color w:val="auto"/>
                <w:highlight w:val="none"/>
                <w:u w:val="single" w:color="auto"/>
              </w:rPr>
              <w:t xml:space="preserve"> </w:t>
            </w:r>
            <w:r>
              <w:rPr>
                <w:color w:val="auto"/>
                <w:spacing w:val="-91"/>
                <w:highlight w:val="none"/>
              </w:rPr>
              <w:t xml:space="preserve"> </w:t>
            </w:r>
            <w:r>
              <w:rPr>
                <w:color w:val="auto"/>
                <w:spacing w:val="-18"/>
                <w:highlight w:val="none"/>
              </w:rPr>
              <w:t>分。</w:t>
            </w:r>
          </w:p>
        </w:tc>
      </w:tr>
      <w:tr w14:paraId="64FD4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1734E9F3">
            <w:pPr>
              <w:spacing w:line="257" w:lineRule="auto"/>
              <w:rPr>
                <w:rFonts w:ascii="Arial"/>
                <w:color w:val="auto"/>
                <w:sz w:val="21"/>
                <w:highlight w:val="none"/>
              </w:rPr>
            </w:pPr>
          </w:p>
          <w:p w14:paraId="79493060">
            <w:pPr>
              <w:spacing w:before="61" w:line="189" w:lineRule="auto"/>
              <w:ind w:left="21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4.2.3</w:t>
            </w:r>
          </w:p>
        </w:tc>
        <w:tc>
          <w:tcPr>
            <w:tcW w:w="2121" w:type="dxa"/>
            <w:vAlign w:val="top"/>
          </w:tcPr>
          <w:p w14:paraId="623F81EC">
            <w:pPr>
              <w:pStyle w:val="18"/>
              <w:spacing w:before="282" w:line="221" w:lineRule="auto"/>
              <w:ind w:left="228"/>
              <w:rPr>
                <w:color w:val="auto"/>
                <w:highlight w:val="none"/>
              </w:rPr>
            </w:pPr>
            <w:r>
              <w:rPr>
                <w:color w:val="auto"/>
                <w:spacing w:val="-1"/>
                <w:highlight w:val="none"/>
              </w:rPr>
              <w:t>是否退还投标文件</w:t>
            </w:r>
          </w:p>
        </w:tc>
        <w:tc>
          <w:tcPr>
            <w:tcW w:w="5447" w:type="dxa"/>
            <w:vAlign w:val="top"/>
          </w:tcPr>
          <w:p w14:paraId="3E94CA88">
            <w:pPr>
              <w:pStyle w:val="18"/>
              <w:spacing w:before="125" w:line="221" w:lineRule="auto"/>
              <w:ind w:left="132"/>
              <w:rPr>
                <w:color w:val="auto"/>
                <w:highlight w:val="none"/>
              </w:rPr>
            </w:pPr>
            <w:r>
              <w:rPr>
                <w:color w:val="auto"/>
                <w:spacing w:val="-7"/>
                <w:highlight w:val="none"/>
              </w:rPr>
              <w:sym w:font="Wingdings 2" w:char="0052"/>
            </w:r>
            <w:r>
              <w:rPr>
                <w:color w:val="auto"/>
                <w:spacing w:val="-7"/>
                <w:highlight w:val="none"/>
              </w:rPr>
              <w:t>否</w:t>
            </w:r>
          </w:p>
          <w:p w14:paraId="2D20FDCE">
            <w:pPr>
              <w:pStyle w:val="18"/>
              <w:spacing w:before="65" w:line="222" w:lineRule="auto"/>
              <w:ind w:left="132"/>
              <w:rPr>
                <w:color w:val="auto"/>
                <w:highlight w:val="none"/>
              </w:rPr>
            </w:pPr>
            <w:r>
              <w:rPr>
                <w:color w:val="auto"/>
                <w:spacing w:val="-3"/>
                <w:highlight w:val="none"/>
              </w:rPr>
              <w:t>□是，退还具体安排：</w:t>
            </w:r>
          </w:p>
        </w:tc>
      </w:tr>
      <w:tr w14:paraId="18356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03766117">
            <w:pPr>
              <w:spacing w:line="284" w:lineRule="auto"/>
              <w:rPr>
                <w:rFonts w:ascii="Arial"/>
                <w:color w:val="auto"/>
                <w:sz w:val="21"/>
                <w:highlight w:val="none"/>
              </w:rPr>
            </w:pPr>
          </w:p>
          <w:p w14:paraId="55351A50">
            <w:pPr>
              <w:spacing w:line="284" w:lineRule="auto"/>
              <w:rPr>
                <w:rFonts w:ascii="Arial"/>
                <w:color w:val="auto"/>
                <w:sz w:val="21"/>
                <w:highlight w:val="none"/>
              </w:rPr>
            </w:pPr>
          </w:p>
          <w:p w14:paraId="4B17FA65">
            <w:pPr>
              <w:spacing w:line="285" w:lineRule="auto"/>
              <w:rPr>
                <w:rFonts w:ascii="Arial"/>
                <w:color w:val="auto"/>
                <w:sz w:val="21"/>
                <w:highlight w:val="none"/>
              </w:rPr>
            </w:pPr>
          </w:p>
          <w:p w14:paraId="5AA2228D">
            <w:pPr>
              <w:spacing w:before="60" w:line="18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5.1.1</w:t>
            </w:r>
          </w:p>
        </w:tc>
        <w:tc>
          <w:tcPr>
            <w:tcW w:w="2121" w:type="dxa"/>
            <w:vAlign w:val="top"/>
          </w:tcPr>
          <w:p w14:paraId="6A008D55">
            <w:pPr>
              <w:spacing w:line="269" w:lineRule="auto"/>
              <w:rPr>
                <w:rFonts w:ascii="Arial"/>
                <w:color w:val="auto"/>
                <w:sz w:val="21"/>
                <w:highlight w:val="none"/>
              </w:rPr>
            </w:pPr>
          </w:p>
          <w:p w14:paraId="0202B084">
            <w:pPr>
              <w:spacing w:line="270" w:lineRule="auto"/>
              <w:rPr>
                <w:rFonts w:ascii="Arial"/>
                <w:color w:val="auto"/>
                <w:sz w:val="21"/>
                <w:highlight w:val="none"/>
              </w:rPr>
            </w:pPr>
          </w:p>
          <w:p w14:paraId="226F47AB">
            <w:pPr>
              <w:spacing w:line="270" w:lineRule="auto"/>
              <w:rPr>
                <w:rFonts w:ascii="Arial"/>
                <w:color w:val="auto"/>
                <w:sz w:val="21"/>
                <w:highlight w:val="none"/>
              </w:rPr>
            </w:pPr>
          </w:p>
          <w:p w14:paraId="7E51930F">
            <w:pPr>
              <w:pStyle w:val="18"/>
              <w:spacing w:before="68" w:line="221" w:lineRule="auto"/>
              <w:ind w:left="437"/>
              <w:rPr>
                <w:color w:val="auto"/>
                <w:highlight w:val="none"/>
              </w:rPr>
            </w:pPr>
            <w:r>
              <w:rPr>
                <w:color w:val="auto"/>
                <w:spacing w:val="-1"/>
                <w:highlight w:val="none"/>
              </w:rPr>
              <w:t>开标组织方式</w:t>
            </w:r>
          </w:p>
        </w:tc>
        <w:tc>
          <w:tcPr>
            <w:tcW w:w="5447" w:type="dxa"/>
            <w:vAlign w:val="top"/>
          </w:tcPr>
          <w:p w14:paraId="73195AA3">
            <w:pPr>
              <w:pStyle w:val="18"/>
              <w:spacing w:before="80" w:line="221" w:lineRule="auto"/>
              <w:ind w:left="132"/>
              <w:rPr>
                <w:color w:val="auto"/>
                <w:highlight w:val="none"/>
              </w:rPr>
            </w:pPr>
            <w:r>
              <w:rPr>
                <w:color w:val="auto"/>
                <w:spacing w:val="-4"/>
                <w:highlight w:val="none"/>
              </w:rPr>
              <w:t>□现场集中开标</w:t>
            </w:r>
          </w:p>
          <w:p w14:paraId="2B43F603">
            <w:pPr>
              <w:pStyle w:val="18"/>
              <w:spacing w:before="70" w:line="221" w:lineRule="auto"/>
              <w:ind w:left="132"/>
              <w:rPr>
                <w:color w:val="auto"/>
                <w:highlight w:val="none"/>
              </w:rPr>
            </w:pPr>
            <w:r>
              <w:rPr>
                <w:color w:val="auto"/>
                <w:spacing w:val="-4"/>
                <w:highlight w:val="none"/>
              </w:rPr>
              <w:sym w:font="Wingdings 2" w:char="0052"/>
            </w:r>
            <w:r>
              <w:rPr>
                <w:color w:val="auto"/>
                <w:spacing w:val="-4"/>
                <w:highlight w:val="none"/>
              </w:rPr>
              <w:t>远程不见面开标</w:t>
            </w:r>
          </w:p>
          <w:p w14:paraId="31CCE484">
            <w:pPr>
              <w:pStyle w:val="18"/>
              <w:spacing w:before="66" w:line="252" w:lineRule="auto"/>
              <w:ind w:left="113" w:right="116" w:firstLine="19"/>
              <w:rPr>
                <w:color w:val="auto"/>
                <w:highlight w:val="none"/>
              </w:rPr>
            </w:pPr>
            <w:r>
              <w:rPr>
                <w:color w:val="auto"/>
                <w:spacing w:val="6"/>
                <w:highlight w:val="none"/>
              </w:rPr>
              <w:t>□现场集中和远程不见面开标同时进行。投标人自行选</w:t>
            </w:r>
            <w:r>
              <w:rPr>
                <w:color w:val="auto"/>
                <w:spacing w:val="7"/>
                <w:highlight w:val="none"/>
              </w:rPr>
              <w:t xml:space="preserve"> </w:t>
            </w:r>
            <w:r>
              <w:rPr>
                <w:color w:val="auto"/>
                <w:spacing w:val="-4"/>
                <w:highlight w:val="none"/>
              </w:rPr>
              <w:t>择参与开标的方式。</w:t>
            </w:r>
          </w:p>
          <w:p w14:paraId="115917B1">
            <w:pPr>
              <w:pStyle w:val="18"/>
              <w:tabs>
                <w:tab w:val="left" w:pos="222"/>
              </w:tabs>
              <w:spacing w:before="68" w:line="243" w:lineRule="auto"/>
              <w:ind w:left="103" w:right="109" w:firstLine="9"/>
              <w:rPr>
                <w:color w:val="auto"/>
                <w:highlight w:val="none"/>
              </w:rPr>
            </w:pPr>
            <w:r>
              <w:rPr>
                <w:color w:val="auto"/>
                <w:spacing w:val="14"/>
                <w:highlight w:val="none"/>
              </w:rPr>
              <w:t>开标系统：</w:t>
            </w:r>
            <w:r>
              <w:rPr>
                <w:color w:val="auto"/>
                <w:spacing w:val="-39"/>
                <w:highlight w:val="none"/>
              </w:rPr>
              <w:t xml:space="preserve"> </w:t>
            </w:r>
            <w:r>
              <w:rPr>
                <w:color w:val="auto"/>
                <w:spacing w:val="14"/>
                <w:highlight w:val="none"/>
                <w:u w:val="single" w:color="auto"/>
              </w:rPr>
              <w:t>辽宁省工程建设项目数字化开标评标系统</w:t>
            </w:r>
            <w:r>
              <w:rPr>
                <w:color w:val="auto"/>
                <w:highlight w:val="none"/>
              </w:rPr>
              <w:t xml:space="preserve"> </w:t>
            </w:r>
            <w:r>
              <w:rPr>
                <w:color w:val="auto"/>
                <w:highlight w:val="none"/>
                <w:u w:val="single" w:color="auto"/>
              </w:rPr>
              <w:tab/>
            </w:r>
            <w:r>
              <w:rPr>
                <w:color w:val="auto"/>
                <w:spacing w:val="-5"/>
                <w:highlight w:val="none"/>
                <w:u w:val="single" w:color="auto"/>
              </w:rPr>
              <w:t>（</w:t>
            </w:r>
            <w:r>
              <w:rPr>
                <w:color w:val="auto"/>
                <w:highlight w:val="none"/>
              </w:rPr>
              <w:fldChar w:fldCharType="begin"/>
            </w:r>
            <w:r>
              <w:rPr>
                <w:color w:val="auto"/>
                <w:highlight w:val="none"/>
              </w:rPr>
              <w:instrText xml:space="preserve"> HYPERLINK "https://dts.lnzb.com:8888/zjt" </w:instrText>
            </w:r>
            <w:r>
              <w:rPr>
                <w:color w:val="auto"/>
                <w:highlight w:val="none"/>
              </w:rPr>
              <w:fldChar w:fldCharType="separate"/>
            </w:r>
            <w:r>
              <w:rPr>
                <w:rFonts w:ascii="Times New Roman" w:hAnsi="Times New Roman" w:eastAsia="Times New Roman" w:cs="Times New Roman"/>
                <w:color w:val="auto"/>
                <w:spacing w:val="-5"/>
                <w:highlight w:val="none"/>
                <w:u w:val="single" w:color="auto"/>
              </w:rPr>
              <w:t>https://dts.lnzb.com:8888/zjt</w:t>
            </w:r>
            <w:r>
              <w:rPr>
                <w:rFonts w:ascii="Times New Roman" w:hAnsi="Times New Roman" w:eastAsia="Times New Roman" w:cs="Times New Roman"/>
                <w:color w:val="auto"/>
                <w:spacing w:val="-5"/>
                <w:highlight w:val="none"/>
                <w:u w:val="single" w:color="auto"/>
              </w:rPr>
              <w:fldChar w:fldCharType="end"/>
            </w:r>
            <w:r>
              <w:rPr>
                <w:rFonts w:ascii="Times New Roman" w:hAnsi="Times New Roman" w:eastAsia="Times New Roman" w:cs="Times New Roman"/>
                <w:color w:val="auto"/>
                <w:spacing w:val="-5"/>
                <w:highlight w:val="none"/>
                <w:u w:val="single" w:color="auto"/>
              </w:rPr>
              <w:t>-b</w:t>
            </w:r>
            <w:r>
              <w:rPr>
                <w:rFonts w:ascii="Times New Roman" w:hAnsi="Times New Roman" w:eastAsia="Times New Roman" w:cs="Times New Roman"/>
                <w:color w:val="auto"/>
                <w:spacing w:val="-6"/>
                <w:highlight w:val="none"/>
                <w:u w:val="single" w:color="auto"/>
              </w:rPr>
              <w:t>id/</w:t>
            </w:r>
            <w:r>
              <w:rPr>
                <w:color w:val="auto"/>
                <w:spacing w:val="-6"/>
                <w:highlight w:val="none"/>
                <w:u w:val="single" w:color="auto"/>
              </w:rPr>
              <w:t>）。</w:t>
            </w:r>
          </w:p>
        </w:tc>
      </w:tr>
      <w:tr w14:paraId="0ED8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54" w:type="dxa"/>
            <w:vAlign w:val="top"/>
          </w:tcPr>
          <w:p w14:paraId="6C1C1724">
            <w:pPr>
              <w:spacing w:before="237" w:line="18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5.1.2</w:t>
            </w:r>
          </w:p>
        </w:tc>
        <w:tc>
          <w:tcPr>
            <w:tcW w:w="2121" w:type="dxa"/>
            <w:vAlign w:val="top"/>
          </w:tcPr>
          <w:p w14:paraId="69E1DF41">
            <w:pPr>
              <w:pStyle w:val="18"/>
              <w:spacing w:before="201" w:line="221" w:lineRule="auto"/>
              <w:ind w:left="648"/>
              <w:rPr>
                <w:color w:val="auto"/>
                <w:highlight w:val="none"/>
              </w:rPr>
            </w:pPr>
            <w:r>
              <w:rPr>
                <w:color w:val="auto"/>
                <w:spacing w:val="-1"/>
                <w:highlight w:val="none"/>
              </w:rPr>
              <w:t>开标地点</w:t>
            </w:r>
          </w:p>
        </w:tc>
        <w:tc>
          <w:tcPr>
            <w:tcW w:w="5447" w:type="dxa"/>
            <w:vAlign w:val="top"/>
          </w:tcPr>
          <w:p w14:paraId="2C62192B">
            <w:pPr>
              <w:rPr>
                <w:rFonts w:ascii="Arial"/>
                <w:color w:val="auto"/>
                <w:sz w:val="21"/>
                <w:highlight w:val="none"/>
              </w:rPr>
            </w:pPr>
            <w:r>
              <w:rPr>
                <w:rFonts w:hint="eastAsia"/>
                <w:color w:val="auto"/>
                <w:highlight w:val="none"/>
                <w:lang w:eastAsia="zh-CN"/>
              </w:rPr>
              <w:t>开标地点： 远程不见面(请按招标文件规定时间登录“辽宁省工程建设项目数字化开标评标系统(https://dts.lnzb.com:8888/zjt-bid/)” 进行解密)。</w:t>
            </w:r>
          </w:p>
        </w:tc>
      </w:tr>
      <w:tr w14:paraId="79141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54" w:type="dxa"/>
            <w:vAlign w:val="top"/>
          </w:tcPr>
          <w:p w14:paraId="40C1B7E2">
            <w:pPr>
              <w:spacing w:before="204" w:line="285" w:lineRule="exact"/>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position w:val="9"/>
                <w:sz w:val="21"/>
                <w:szCs w:val="21"/>
                <w:highlight w:val="none"/>
              </w:rPr>
              <w:t>5.2.1</w:t>
            </w:r>
          </w:p>
          <w:p w14:paraId="1FCBE78E">
            <w:pPr>
              <w:pStyle w:val="18"/>
              <w:spacing w:line="232" w:lineRule="auto"/>
              <w:ind w:left="173"/>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5</w:t>
            </w:r>
            <w:r>
              <w:rPr>
                <w:color w:val="auto"/>
                <w:spacing w:val="-5"/>
                <w:highlight w:val="none"/>
              </w:rPr>
              <w:t>）</w:t>
            </w:r>
          </w:p>
        </w:tc>
        <w:tc>
          <w:tcPr>
            <w:tcW w:w="2121" w:type="dxa"/>
            <w:vAlign w:val="top"/>
          </w:tcPr>
          <w:p w14:paraId="03D1F726">
            <w:pPr>
              <w:spacing w:line="261" w:lineRule="auto"/>
              <w:rPr>
                <w:rFonts w:ascii="Arial"/>
                <w:color w:val="auto"/>
                <w:sz w:val="21"/>
                <w:highlight w:val="none"/>
              </w:rPr>
            </w:pPr>
          </w:p>
          <w:p w14:paraId="38E7E626">
            <w:pPr>
              <w:pStyle w:val="18"/>
              <w:spacing w:before="69" w:line="221" w:lineRule="auto"/>
              <w:ind w:left="646"/>
              <w:rPr>
                <w:color w:val="auto"/>
                <w:highlight w:val="none"/>
              </w:rPr>
            </w:pPr>
            <w:r>
              <w:rPr>
                <w:color w:val="auto"/>
                <w:spacing w:val="-1"/>
                <w:highlight w:val="none"/>
              </w:rPr>
              <w:t>解密时间</w:t>
            </w:r>
          </w:p>
        </w:tc>
        <w:tc>
          <w:tcPr>
            <w:tcW w:w="5447" w:type="dxa"/>
            <w:vAlign w:val="top"/>
          </w:tcPr>
          <w:p w14:paraId="1A69FC3E">
            <w:pPr>
              <w:pStyle w:val="18"/>
              <w:spacing w:before="33" w:line="229" w:lineRule="auto"/>
              <w:ind w:left="112" w:right="111"/>
              <w:jc w:val="both"/>
              <w:rPr>
                <w:color w:val="auto"/>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2BC82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54" w:type="dxa"/>
            <w:vAlign w:val="top"/>
          </w:tcPr>
          <w:p w14:paraId="32858E14">
            <w:pPr>
              <w:spacing w:line="317" w:lineRule="auto"/>
              <w:rPr>
                <w:rFonts w:ascii="Arial"/>
                <w:color w:val="auto"/>
                <w:sz w:val="21"/>
                <w:highlight w:val="none"/>
              </w:rPr>
            </w:pPr>
          </w:p>
          <w:p w14:paraId="7BBE95C0">
            <w:pPr>
              <w:spacing w:line="318" w:lineRule="auto"/>
              <w:rPr>
                <w:rFonts w:ascii="Arial"/>
                <w:color w:val="auto"/>
                <w:sz w:val="21"/>
                <w:highlight w:val="none"/>
              </w:rPr>
            </w:pPr>
          </w:p>
          <w:p w14:paraId="432D6F45">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6.1.1</w:t>
            </w:r>
          </w:p>
        </w:tc>
        <w:tc>
          <w:tcPr>
            <w:tcW w:w="2121" w:type="dxa"/>
            <w:vAlign w:val="top"/>
          </w:tcPr>
          <w:p w14:paraId="7876FD66">
            <w:pPr>
              <w:spacing w:line="295" w:lineRule="auto"/>
              <w:rPr>
                <w:rFonts w:ascii="Arial"/>
                <w:color w:val="auto"/>
                <w:sz w:val="21"/>
                <w:highlight w:val="none"/>
              </w:rPr>
            </w:pPr>
          </w:p>
          <w:p w14:paraId="368EBC71">
            <w:pPr>
              <w:spacing w:line="295" w:lineRule="auto"/>
              <w:rPr>
                <w:rFonts w:ascii="Arial"/>
                <w:color w:val="auto"/>
                <w:sz w:val="21"/>
                <w:highlight w:val="none"/>
              </w:rPr>
            </w:pPr>
          </w:p>
          <w:p w14:paraId="3A1DE2FA">
            <w:pPr>
              <w:pStyle w:val="18"/>
              <w:spacing w:before="69" w:line="220" w:lineRule="auto"/>
              <w:ind w:left="224"/>
              <w:rPr>
                <w:color w:val="auto"/>
                <w:highlight w:val="none"/>
              </w:rPr>
            </w:pPr>
            <w:r>
              <w:rPr>
                <w:color w:val="auto"/>
                <w:spacing w:val="-1"/>
                <w:highlight w:val="none"/>
              </w:rPr>
              <w:t>评标委员会的组建</w:t>
            </w:r>
          </w:p>
        </w:tc>
        <w:tc>
          <w:tcPr>
            <w:tcW w:w="5447" w:type="dxa"/>
            <w:vAlign w:val="top"/>
          </w:tcPr>
          <w:p w14:paraId="09E7FFF6">
            <w:pPr>
              <w:spacing w:line="400" w:lineRule="exact"/>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评标委员会构成：</w:t>
            </w:r>
            <w:r>
              <w:rPr>
                <w:rFonts w:hint="eastAsia" w:ascii="宋体" w:hAnsi="宋体" w:eastAsia="宋体" w:cs="宋体"/>
                <w:snapToGrid w:val="0"/>
                <w:color w:val="auto"/>
                <w:kern w:val="0"/>
                <w:sz w:val="21"/>
                <w:szCs w:val="21"/>
                <w:highlight w:val="none"/>
                <w:u w:val="single"/>
                <w:lang w:val="en-US" w:eastAsia="zh-CN" w:bidi="ar-SA"/>
              </w:rPr>
              <w:t xml:space="preserve">  7 </w:t>
            </w:r>
            <w:r>
              <w:rPr>
                <w:rFonts w:hint="eastAsia" w:ascii="宋体" w:hAnsi="宋体" w:eastAsia="宋体" w:cs="宋体"/>
                <w:snapToGrid w:val="0"/>
                <w:color w:val="auto"/>
                <w:kern w:val="0"/>
                <w:sz w:val="21"/>
                <w:szCs w:val="21"/>
                <w:highlight w:val="none"/>
                <w:lang w:val="en-US" w:eastAsia="en-US" w:bidi="ar-SA"/>
              </w:rPr>
              <w:t>人，其中招标人代表</w:t>
            </w:r>
            <w:r>
              <w:rPr>
                <w:rFonts w:hint="eastAsia" w:ascii="宋体" w:hAnsi="宋体" w:eastAsia="宋体" w:cs="宋体"/>
                <w:snapToGrid w:val="0"/>
                <w:color w:val="auto"/>
                <w:kern w:val="0"/>
                <w:sz w:val="21"/>
                <w:szCs w:val="21"/>
                <w:highlight w:val="none"/>
                <w:u w:val="single"/>
                <w:lang w:val="en-US" w:eastAsia="zh-CN" w:bidi="ar-SA"/>
              </w:rPr>
              <w:t xml:space="preserve">  2 </w:t>
            </w:r>
            <w:r>
              <w:rPr>
                <w:rFonts w:hint="eastAsia" w:ascii="宋体" w:hAnsi="宋体" w:eastAsia="宋体" w:cs="宋体"/>
                <w:snapToGrid w:val="0"/>
                <w:color w:val="auto"/>
                <w:kern w:val="0"/>
                <w:sz w:val="21"/>
                <w:szCs w:val="21"/>
                <w:highlight w:val="none"/>
                <w:lang w:val="en-US" w:eastAsia="en-US" w:bidi="ar-SA"/>
              </w:rPr>
              <w:t>人，专家</w:t>
            </w:r>
            <w:r>
              <w:rPr>
                <w:rFonts w:hint="eastAsia" w:ascii="宋体" w:hAnsi="宋体" w:eastAsia="宋体" w:cs="宋体"/>
                <w:snapToGrid w:val="0"/>
                <w:color w:val="auto"/>
                <w:kern w:val="0"/>
                <w:sz w:val="21"/>
                <w:szCs w:val="21"/>
                <w:highlight w:val="none"/>
                <w:u w:val="single"/>
                <w:lang w:val="en-US" w:eastAsia="zh-CN" w:bidi="ar-SA"/>
              </w:rPr>
              <w:t xml:space="preserve"> 5  </w:t>
            </w:r>
            <w:r>
              <w:rPr>
                <w:rFonts w:hint="eastAsia" w:ascii="宋体" w:hAnsi="宋体" w:eastAsia="宋体" w:cs="宋体"/>
                <w:snapToGrid w:val="0"/>
                <w:color w:val="auto"/>
                <w:kern w:val="0"/>
                <w:sz w:val="21"/>
                <w:szCs w:val="21"/>
                <w:highlight w:val="none"/>
                <w:lang w:val="en-US" w:eastAsia="en-US" w:bidi="ar-SA"/>
              </w:rPr>
              <w:t>人</w:t>
            </w:r>
          </w:p>
          <w:p w14:paraId="3A7B8221">
            <w:pPr>
              <w:pStyle w:val="18"/>
              <w:spacing w:before="64" w:line="251" w:lineRule="auto"/>
              <w:ind w:left="130" w:right="113" w:hanging="20"/>
              <w:rPr>
                <w:color w:val="auto"/>
                <w:highlight w:val="none"/>
              </w:rPr>
            </w:pPr>
            <w:r>
              <w:rPr>
                <w:rFonts w:hint="eastAsia" w:ascii="宋体" w:hAnsi="宋体" w:eastAsia="宋体" w:cs="宋体"/>
                <w:snapToGrid w:val="0"/>
                <w:color w:val="auto"/>
                <w:kern w:val="0"/>
                <w:sz w:val="21"/>
                <w:szCs w:val="21"/>
                <w:highlight w:val="none"/>
                <w:lang w:val="en-US" w:eastAsia="en-US" w:bidi="ar-SA"/>
              </w:rPr>
              <w:t>评标专家确定方式：</w:t>
            </w:r>
            <w:bookmarkStart w:id="41" w:name="EBa1d104d5209f48c1b3f257aeb910318a"/>
            <w:r>
              <w:rPr>
                <w:rFonts w:hint="eastAsia" w:ascii="宋体" w:hAnsi="宋体" w:eastAsia="宋体" w:cs="宋体"/>
                <w:snapToGrid w:val="0"/>
                <w:color w:val="auto"/>
                <w:kern w:val="0"/>
                <w:sz w:val="21"/>
                <w:szCs w:val="21"/>
                <w:highlight w:val="none"/>
                <w:lang w:val="en-US" w:eastAsia="en-US" w:bidi="ar-SA"/>
              </w:rPr>
              <w:t>在辽宁省综合专家库中随机抽取</w:t>
            </w:r>
            <w:bookmarkEnd w:id="41"/>
          </w:p>
        </w:tc>
      </w:tr>
    </w:tbl>
    <w:p w14:paraId="2870EE3A">
      <w:pPr>
        <w:pStyle w:val="5"/>
        <w:rPr>
          <w:color w:val="auto"/>
          <w:highlight w:val="none"/>
        </w:rPr>
      </w:pPr>
    </w:p>
    <w:p w14:paraId="1C84631F">
      <w:pPr>
        <w:spacing w:line="95" w:lineRule="auto"/>
        <w:rPr>
          <w:rFonts w:ascii="Arial"/>
          <w:color w:val="auto"/>
          <w:sz w:val="2"/>
          <w:highlight w:val="none"/>
        </w:rPr>
      </w:pPr>
    </w:p>
    <w:tbl>
      <w:tblPr>
        <w:tblStyle w:val="17"/>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5259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1FD5BB4A">
            <w:pPr>
              <w:spacing w:before="277" w:line="189" w:lineRule="auto"/>
              <w:ind w:left="297"/>
              <w:rPr>
                <w:rFonts w:ascii="Times New Roman" w:hAnsi="Times New Roman" w:eastAsia="Times New Roman" w:cs="Times New Roman"/>
                <w:color w:val="auto"/>
                <w:sz w:val="21"/>
                <w:szCs w:val="21"/>
                <w:highlight w:val="none"/>
              </w:rPr>
            </w:pPr>
            <w:bookmarkStart w:id="42" w:name="bookmark66"/>
            <w:bookmarkEnd w:id="42"/>
            <w:bookmarkStart w:id="43" w:name="bookmark63"/>
            <w:bookmarkEnd w:id="43"/>
            <w:bookmarkStart w:id="44" w:name="bookmark68"/>
            <w:bookmarkEnd w:id="44"/>
            <w:bookmarkStart w:id="45" w:name="bookmark61"/>
            <w:bookmarkEnd w:id="45"/>
            <w:bookmarkStart w:id="46" w:name="bookmark62"/>
            <w:bookmarkEnd w:id="46"/>
            <w:bookmarkStart w:id="47" w:name="bookmark65"/>
            <w:bookmarkEnd w:id="47"/>
            <w:bookmarkStart w:id="48" w:name="bookmark64"/>
            <w:bookmarkEnd w:id="48"/>
            <w:bookmarkStart w:id="49" w:name="bookmark67"/>
            <w:bookmarkEnd w:id="49"/>
            <w:r>
              <w:rPr>
                <w:rFonts w:ascii="Times New Roman" w:hAnsi="Times New Roman" w:eastAsia="Times New Roman" w:cs="Times New Roman"/>
                <w:color w:val="auto"/>
                <w:spacing w:val="-3"/>
                <w:sz w:val="21"/>
                <w:szCs w:val="21"/>
                <w:highlight w:val="none"/>
              </w:rPr>
              <w:t>6.3</w:t>
            </w:r>
          </w:p>
        </w:tc>
        <w:tc>
          <w:tcPr>
            <w:tcW w:w="2121" w:type="dxa"/>
            <w:vAlign w:val="top"/>
          </w:tcPr>
          <w:p w14:paraId="66D23646">
            <w:pPr>
              <w:pStyle w:val="18"/>
              <w:spacing w:before="240" w:line="220" w:lineRule="auto"/>
              <w:ind w:left="435"/>
              <w:rPr>
                <w:color w:val="auto"/>
                <w:highlight w:val="none"/>
              </w:rPr>
            </w:pPr>
            <w:r>
              <w:rPr>
                <w:color w:val="auto"/>
                <w:spacing w:val="-1"/>
                <w:highlight w:val="none"/>
              </w:rPr>
              <w:t>评标采用方式</w:t>
            </w:r>
          </w:p>
        </w:tc>
        <w:tc>
          <w:tcPr>
            <w:tcW w:w="5447" w:type="dxa"/>
            <w:vAlign w:val="top"/>
          </w:tcPr>
          <w:p w14:paraId="38013E31">
            <w:pPr>
              <w:pStyle w:val="18"/>
              <w:spacing w:before="82" w:line="220" w:lineRule="auto"/>
              <w:ind w:left="132"/>
              <w:rPr>
                <w:color w:val="auto"/>
                <w:highlight w:val="none"/>
              </w:rPr>
            </w:pPr>
            <w:r>
              <w:rPr>
                <w:color w:val="auto"/>
                <w:spacing w:val="-3"/>
                <w:highlight w:val="none"/>
              </w:rPr>
              <w:sym w:font="Wingdings 2" w:char="0052"/>
            </w:r>
            <w:r>
              <w:rPr>
                <w:color w:val="auto"/>
                <w:spacing w:val="-3"/>
                <w:highlight w:val="none"/>
              </w:rPr>
              <w:t>本地集中评标方式</w:t>
            </w:r>
          </w:p>
          <w:p w14:paraId="07581E48">
            <w:pPr>
              <w:pStyle w:val="18"/>
              <w:spacing w:before="66" w:line="210" w:lineRule="auto"/>
              <w:ind w:left="132"/>
              <w:rPr>
                <w:color w:val="auto"/>
                <w:spacing w:val="-3"/>
                <w:highlight w:val="none"/>
              </w:rPr>
            </w:pPr>
            <w:r>
              <w:rPr>
                <w:color w:val="auto"/>
                <w:spacing w:val="-3"/>
                <w:highlight w:val="none"/>
              </w:rPr>
              <w:t>□远程异地评标方式</w:t>
            </w:r>
          </w:p>
          <w:p w14:paraId="1000281C">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14:paraId="391BBA7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14:paraId="188B0A57">
            <w:pPr>
              <w:pStyle w:val="18"/>
              <w:spacing w:before="66" w:line="210" w:lineRule="auto"/>
              <w:ind w:left="132"/>
              <w:rPr>
                <w:color w:val="auto"/>
                <w:spacing w:val="-3"/>
                <w:highlight w:val="none"/>
              </w:rPr>
            </w:pPr>
            <w:r>
              <w:rPr>
                <w:rFonts w:hint="eastAsia"/>
                <w:color w:val="auto"/>
                <w:highlight w:val="none"/>
                <w:lang w:eastAsia="zh-CN"/>
              </w:rPr>
              <w:t>☑否</w:t>
            </w:r>
          </w:p>
        </w:tc>
      </w:tr>
      <w:tr w14:paraId="5184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4" w:type="dxa"/>
            <w:vAlign w:val="top"/>
          </w:tcPr>
          <w:p w14:paraId="13D83225">
            <w:pPr>
              <w:spacing w:line="392" w:lineRule="auto"/>
              <w:rPr>
                <w:rFonts w:ascii="Arial"/>
                <w:color w:val="auto"/>
                <w:sz w:val="21"/>
                <w:highlight w:val="none"/>
              </w:rPr>
            </w:pPr>
          </w:p>
          <w:p w14:paraId="77AE6ED1">
            <w:pPr>
              <w:spacing w:before="60" w:line="189" w:lineRule="auto"/>
              <w:ind w:left="29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6.4</w:t>
            </w:r>
          </w:p>
        </w:tc>
        <w:tc>
          <w:tcPr>
            <w:tcW w:w="2121" w:type="dxa"/>
            <w:vAlign w:val="top"/>
          </w:tcPr>
          <w:p w14:paraId="6C857AAA">
            <w:pPr>
              <w:spacing w:line="348" w:lineRule="auto"/>
              <w:rPr>
                <w:rFonts w:ascii="Arial"/>
                <w:color w:val="auto"/>
                <w:sz w:val="21"/>
                <w:highlight w:val="none"/>
              </w:rPr>
            </w:pPr>
          </w:p>
          <w:p w14:paraId="6FC20695">
            <w:pPr>
              <w:pStyle w:val="18"/>
              <w:spacing w:before="68" w:line="220" w:lineRule="auto"/>
              <w:ind w:left="224"/>
              <w:rPr>
                <w:color w:val="auto"/>
                <w:highlight w:val="none"/>
              </w:rPr>
            </w:pPr>
            <w:r>
              <w:rPr>
                <w:color w:val="auto"/>
                <w:spacing w:val="-1"/>
                <w:highlight w:val="none"/>
              </w:rPr>
              <w:t>评标结果公示媒介</w:t>
            </w:r>
          </w:p>
        </w:tc>
        <w:tc>
          <w:tcPr>
            <w:tcW w:w="5447" w:type="dxa"/>
            <w:vAlign w:val="top"/>
          </w:tcPr>
          <w:p w14:paraId="148BCA9B">
            <w:pPr>
              <w:pStyle w:val="18"/>
              <w:spacing w:before="66" w:line="226" w:lineRule="auto"/>
              <w:ind w:left="132"/>
              <w:rPr>
                <w:color w:val="auto"/>
                <w:highlight w:val="none"/>
              </w:rPr>
            </w:pPr>
            <w:r>
              <w:rPr>
                <w:rFonts w:hint="eastAsia"/>
                <w:color w:val="auto"/>
                <w:highlight w:val="none"/>
                <w:lang w:eastAsia="zh-CN"/>
              </w:rPr>
              <w:t>辽宁建设工程信息网、辽宁省招标投标监管网</w:t>
            </w:r>
          </w:p>
        </w:tc>
      </w:tr>
      <w:tr w14:paraId="45930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top"/>
          </w:tcPr>
          <w:p w14:paraId="497F6000">
            <w:pPr>
              <w:spacing w:line="247" w:lineRule="auto"/>
              <w:rPr>
                <w:rFonts w:ascii="Arial"/>
                <w:color w:val="auto"/>
                <w:sz w:val="21"/>
                <w:highlight w:val="none"/>
              </w:rPr>
            </w:pPr>
          </w:p>
          <w:p w14:paraId="1779CCFE">
            <w:pPr>
              <w:spacing w:line="247" w:lineRule="auto"/>
              <w:rPr>
                <w:rFonts w:ascii="Arial"/>
                <w:color w:val="auto"/>
                <w:sz w:val="21"/>
                <w:highlight w:val="none"/>
              </w:rPr>
            </w:pPr>
          </w:p>
          <w:p w14:paraId="582F43AC">
            <w:pPr>
              <w:spacing w:line="247" w:lineRule="auto"/>
              <w:rPr>
                <w:rFonts w:ascii="Arial"/>
                <w:color w:val="auto"/>
                <w:sz w:val="21"/>
                <w:highlight w:val="none"/>
              </w:rPr>
            </w:pPr>
          </w:p>
          <w:p w14:paraId="102D25D3">
            <w:pPr>
              <w:spacing w:line="248" w:lineRule="auto"/>
              <w:rPr>
                <w:rFonts w:ascii="Arial"/>
                <w:color w:val="auto"/>
                <w:sz w:val="21"/>
                <w:highlight w:val="none"/>
              </w:rPr>
            </w:pPr>
          </w:p>
          <w:p w14:paraId="58493C2A">
            <w:pPr>
              <w:spacing w:line="248" w:lineRule="auto"/>
              <w:rPr>
                <w:rFonts w:ascii="Arial"/>
                <w:color w:val="auto"/>
                <w:sz w:val="21"/>
                <w:highlight w:val="none"/>
              </w:rPr>
            </w:pPr>
          </w:p>
          <w:p w14:paraId="3C998B3F">
            <w:pPr>
              <w:spacing w:line="248" w:lineRule="auto"/>
              <w:rPr>
                <w:rFonts w:ascii="Arial"/>
                <w:color w:val="auto"/>
                <w:sz w:val="21"/>
                <w:highlight w:val="none"/>
              </w:rPr>
            </w:pPr>
          </w:p>
          <w:p w14:paraId="618BEE8E">
            <w:pPr>
              <w:spacing w:before="60"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7.1</w:t>
            </w:r>
          </w:p>
        </w:tc>
        <w:tc>
          <w:tcPr>
            <w:tcW w:w="2121" w:type="dxa"/>
            <w:vAlign w:val="top"/>
          </w:tcPr>
          <w:p w14:paraId="036130A9">
            <w:pPr>
              <w:rPr>
                <w:rFonts w:ascii="Arial"/>
                <w:color w:val="auto"/>
                <w:sz w:val="21"/>
                <w:highlight w:val="none"/>
              </w:rPr>
            </w:pPr>
          </w:p>
          <w:p w14:paraId="137C2E3E">
            <w:pPr>
              <w:rPr>
                <w:rFonts w:ascii="Arial"/>
                <w:color w:val="auto"/>
                <w:sz w:val="21"/>
                <w:highlight w:val="none"/>
              </w:rPr>
            </w:pPr>
          </w:p>
          <w:p w14:paraId="2AB399AA">
            <w:pPr>
              <w:rPr>
                <w:rFonts w:ascii="Arial"/>
                <w:color w:val="auto"/>
                <w:sz w:val="21"/>
                <w:highlight w:val="none"/>
              </w:rPr>
            </w:pPr>
          </w:p>
          <w:p w14:paraId="35DAA550">
            <w:pPr>
              <w:rPr>
                <w:rFonts w:ascii="Arial"/>
                <w:color w:val="auto"/>
                <w:sz w:val="21"/>
                <w:highlight w:val="none"/>
              </w:rPr>
            </w:pPr>
          </w:p>
          <w:p w14:paraId="4BC60423">
            <w:pPr>
              <w:rPr>
                <w:rFonts w:ascii="Arial"/>
                <w:color w:val="auto"/>
                <w:sz w:val="21"/>
                <w:highlight w:val="none"/>
              </w:rPr>
            </w:pPr>
          </w:p>
          <w:p w14:paraId="47CC27FE">
            <w:pPr>
              <w:spacing w:line="241" w:lineRule="auto"/>
              <w:rPr>
                <w:rFonts w:ascii="Arial"/>
                <w:color w:val="auto"/>
                <w:sz w:val="21"/>
                <w:highlight w:val="none"/>
              </w:rPr>
            </w:pPr>
          </w:p>
          <w:p w14:paraId="0CA6415A">
            <w:pPr>
              <w:pStyle w:val="18"/>
              <w:spacing w:before="68" w:line="221" w:lineRule="auto"/>
              <w:ind w:left="652"/>
              <w:rPr>
                <w:color w:val="auto"/>
                <w:highlight w:val="none"/>
              </w:rPr>
            </w:pPr>
            <w:r>
              <w:rPr>
                <w:color w:val="auto"/>
                <w:spacing w:val="-2"/>
                <w:highlight w:val="none"/>
              </w:rPr>
              <w:t>定标方式</w:t>
            </w:r>
          </w:p>
        </w:tc>
        <w:tc>
          <w:tcPr>
            <w:tcW w:w="5447" w:type="dxa"/>
            <w:vAlign w:val="top"/>
          </w:tcPr>
          <w:p w14:paraId="7BAD399F">
            <w:pPr>
              <w:pStyle w:val="18"/>
              <w:spacing w:before="77" w:line="220" w:lineRule="auto"/>
              <w:ind w:left="111"/>
              <w:rPr>
                <w:color w:val="auto"/>
                <w:highlight w:val="none"/>
              </w:rPr>
            </w:pPr>
            <w:r>
              <w:rPr>
                <w:color w:val="auto"/>
                <w:spacing w:val="-1"/>
                <w:highlight w:val="none"/>
              </w:rPr>
              <w:t>推荐的中标候选人数：不超过</w:t>
            </w:r>
            <w:r>
              <w:rPr>
                <w:color w:val="auto"/>
                <w:spacing w:val="-94"/>
                <w:highlight w:val="none"/>
              </w:rPr>
              <w:t xml:space="preserve"> </w:t>
            </w:r>
            <w:r>
              <w:rPr>
                <w:rFonts w:hint="eastAsia"/>
                <w:color w:val="auto"/>
                <w:spacing w:val="34"/>
                <w:highlight w:val="none"/>
                <w:u w:val="single" w:color="auto"/>
                <w:lang w:val="en-US" w:eastAsia="zh-CN"/>
              </w:rPr>
              <w:t>3</w:t>
            </w:r>
            <w:r>
              <w:rPr>
                <w:color w:val="auto"/>
                <w:spacing w:val="-1"/>
                <w:highlight w:val="none"/>
              </w:rPr>
              <w:t>名</w:t>
            </w:r>
          </w:p>
          <w:p w14:paraId="29E5CA42">
            <w:pPr>
              <w:pStyle w:val="18"/>
              <w:spacing w:before="71" w:line="220" w:lineRule="auto"/>
              <w:ind w:left="132"/>
              <w:rPr>
                <w:color w:val="auto"/>
                <w:highlight w:val="none"/>
              </w:rPr>
            </w:pPr>
            <w:r>
              <w:rPr>
                <w:rFonts w:hint="eastAsia"/>
                <w:color w:val="auto"/>
                <w:spacing w:val="-2"/>
                <w:highlight w:val="none"/>
                <w:lang w:eastAsia="zh-CN"/>
              </w:rPr>
              <w:t>☑</w:t>
            </w:r>
            <w:r>
              <w:rPr>
                <w:color w:val="auto"/>
                <w:spacing w:val="-2"/>
                <w:highlight w:val="none"/>
              </w:rPr>
              <w:t>招标人授权评标委员会直接确定中标人</w:t>
            </w:r>
          </w:p>
          <w:p w14:paraId="6FDF3A7D">
            <w:pPr>
              <w:pStyle w:val="18"/>
              <w:spacing w:before="66" w:line="220" w:lineRule="auto"/>
              <w:ind w:left="132"/>
              <w:rPr>
                <w:color w:val="auto"/>
                <w:highlight w:val="none"/>
              </w:rPr>
            </w:pPr>
            <w:r>
              <w:rPr>
                <w:color w:val="auto"/>
                <w:spacing w:val="-1"/>
                <w:highlight w:val="none"/>
              </w:rPr>
              <w:sym w:font="Wingdings 2" w:char="00A3"/>
            </w:r>
            <w:r>
              <w:rPr>
                <w:color w:val="auto"/>
                <w:spacing w:val="-1"/>
                <w:highlight w:val="none"/>
              </w:rPr>
              <w:t>招标人依据评标委员会推荐的中标候选人确</w:t>
            </w:r>
            <w:r>
              <w:rPr>
                <w:color w:val="auto"/>
                <w:spacing w:val="-2"/>
                <w:highlight w:val="none"/>
              </w:rPr>
              <w:t>定中标人</w:t>
            </w:r>
          </w:p>
          <w:p w14:paraId="65D00269">
            <w:pPr>
              <w:pStyle w:val="18"/>
              <w:spacing w:before="72" w:line="251" w:lineRule="auto"/>
              <w:ind w:left="121" w:right="116" w:firstLine="11"/>
              <w:rPr>
                <w:color w:val="auto"/>
                <w:highlight w:val="none"/>
              </w:rPr>
            </w:pPr>
            <w:r>
              <w:rPr>
                <w:color w:val="auto"/>
                <w:spacing w:val="6"/>
                <w:highlight w:val="none"/>
              </w:rPr>
              <w:sym w:font="Wingdings 2" w:char="00A3"/>
            </w:r>
            <w:r>
              <w:rPr>
                <w:color w:val="auto"/>
                <w:spacing w:val="6"/>
                <w:highlight w:val="none"/>
              </w:rPr>
              <w:t>招标人从评标委员会推荐的中标候选人范围内自主研</w:t>
            </w:r>
            <w:r>
              <w:rPr>
                <w:color w:val="auto"/>
                <w:spacing w:val="7"/>
                <w:highlight w:val="none"/>
              </w:rPr>
              <w:t xml:space="preserve"> </w:t>
            </w:r>
            <w:r>
              <w:rPr>
                <w:color w:val="auto"/>
                <w:spacing w:val="-3"/>
                <w:highlight w:val="none"/>
              </w:rPr>
              <w:t>究确定中标人</w:t>
            </w:r>
          </w:p>
          <w:p w14:paraId="0E829F77">
            <w:pPr>
              <w:pStyle w:val="18"/>
              <w:spacing w:before="66" w:line="252" w:lineRule="auto"/>
              <w:ind w:left="112" w:right="205" w:hanging="1"/>
              <w:rPr>
                <w:color w:val="auto"/>
                <w:highlight w:val="none"/>
              </w:rPr>
            </w:pPr>
            <w:r>
              <w:rPr>
                <w:color w:val="auto"/>
                <w:spacing w:val="-1"/>
                <w:highlight w:val="none"/>
              </w:rPr>
              <w:t>通过初步评审投标人的数量少于或等于</w:t>
            </w:r>
            <w:r>
              <w:rPr>
                <w:color w:val="auto"/>
                <w:spacing w:val="-46"/>
                <w:highlight w:val="none"/>
              </w:rPr>
              <w:t xml:space="preserve"> </w:t>
            </w:r>
            <w:r>
              <w:rPr>
                <w:rFonts w:ascii="Times New Roman" w:hAnsi="Times New Roman" w:eastAsia="Times New Roman" w:cs="Times New Roman"/>
                <w:color w:val="auto"/>
                <w:spacing w:val="-1"/>
                <w:highlight w:val="none"/>
              </w:rPr>
              <w:t xml:space="preserve">20 </w:t>
            </w:r>
            <w:r>
              <w:rPr>
                <w:color w:val="auto"/>
                <w:spacing w:val="-1"/>
                <w:highlight w:val="none"/>
              </w:rPr>
              <w:t>家时，推荐</w:t>
            </w:r>
            <w:r>
              <w:rPr>
                <w:color w:val="auto"/>
                <w:spacing w:val="102"/>
                <w:highlight w:val="none"/>
                <w:u w:val="single" w:color="auto"/>
              </w:rPr>
              <w:t xml:space="preserve"> </w:t>
            </w:r>
            <w:r>
              <w:rPr>
                <w:color w:val="auto"/>
                <w:highlight w:val="none"/>
              </w:rPr>
              <w:t xml:space="preserve"> </w:t>
            </w:r>
            <w:r>
              <w:rPr>
                <w:color w:val="auto"/>
                <w:spacing w:val="-1"/>
                <w:highlight w:val="none"/>
              </w:rPr>
              <w:t>家中标候选人；通过初步评审投标人的数量大于</w:t>
            </w:r>
            <w:r>
              <w:rPr>
                <w:color w:val="auto"/>
                <w:spacing w:val="-39"/>
                <w:highlight w:val="none"/>
              </w:rPr>
              <w:t xml:space="preserve"> </w:t>
            </w:r>
            <w:r>
              <w:rPr>
                <w:rFonts w:ascii="Times New Roman" w:hAnsi="Times New Roman" w:eastAsia="Times New Roman" w:cs="Times New Roman"/>
                <w:color w:val="auto"/>
                <w:spacing w:val="-1"/>
                <w:highlight w:val="none"/>
              </w:rPr>
              <w:t xml:space="preserve">20 </w:t>
            </w:r>
            <w:r>
              <w:rPr>
                <w:color w:val="auto"/>
                <w:spacing w:val="-1"/>
                <w:highlight w:val="none"/>
              </w:rPr>
              <w:t>家</w:t>
            </w:r>
          </w:p>
          <w:p w14:paraId="006FDB8C">
            <w:pPr>
              <w:pStyle w:val="18"/>
              <w:spacing w:before="70" w:line="220" w:lineRule="auto"/>
              <w:ind w:left="121"/>
              <w:rPr>
                <w:color w:val="auto"/>
                <w:highlight w:val="none"/>
              </w:rPr>
            </w:pPr>
            <w:r>
              <w:rPr>
                <w:color w:val="auto"/>
                <w:spacing w:val="-4"/>
                <w:highlight w:val="none"/>
              </w:rPr>
              <w:t>时，推荐</w:t>
            </w:r>
            <w:r>
              <w:rPr>
                <w:color w:val="auto"/>
                <w:spacing w:val="-102"/>
                <w:highlight w:val="none"/>
              </w:rPr>
              <w:t xml:space="preserve"> </w:t>
            </w:r>
            <w:r>
              <w:rPr>
                <w:color w:val="auto"/>
                <w:spacing w:val="51"/>
                <w:highlight w:val="none"/>
                <w:u w:val="single" w:color="auto"/>
              </w:rPr>
              <w:t xml:space="preserve">  </w:t>
            </w:r>
            <w:r>
              <w:rPr>
                <w:color w:val="auto"/>
                <w:spacing w:val="-95"/>
                <w:highlight w:val="none"/>
              </w:rPr>
              <w:t xml:space="preserve"> </w:t>
            </w:r>
            <w:r>
              <w:rPr>
                <w:color w:val="auto"/>
                <w:spacing w:val="-4"/>
                <w:highlight w:val="none"/>
              </w:rPr>
              <w:t>家中标候选人。</w:t>
            </w:r>
          </w:p>
          <w:p w14:paraId="5D10841B">
            <w:pPr>
              <w:pStyle w:val="18"/>
              <w:spacing w:before="67" w:line="246" w:lineRule="auto"/>
              <w:ind w:left="114" w:right="112" w:firstLine="419"/>
              <w:rPr>
                <w:color w:val="auto"/>
                <w:highlight w:val="none"/>
              </w:rPr>
            </w:pPr>
            <w:r>
              <w:rPr>
                <w:color w:val="auto"/>
                <w:spacing w:val="8"/>
                <w:highlight w:val="none"/>
              </w:rPr>
              <w:t>招标人组建定标委员会按照定标办法要求进行</w:t>
            </w:r>
            <w:r>
              <w:rPr>
                <w:color w:val="auto"/>
                <w:spacing w:val="7"/>
                <w:highlight w:val="none"/>
              </w:rPr>
              <w:t>，关</w:t>
            </w:r>
            <w:r>
              <w:rPr>
                <w:color w:val="auto"/>
                <w:highlight w:val="none"/>
              </w:rPr>
              <w:t xml:space="preserve"> </w:t>
            </w:r>
            <w:r>
              <w:rPr>
                <w:color w:val="auto"/>
                <w:spacing w:val="-1"/>
                <w:highlight w:val="none"/>
              </w:rPr>
              <w:t>于定标办法和规则的详细说明见第三章“定标办法”。</w:t>
            </w:r>
          </w:p>
        </w:tc>
      </w:tr>
      <w:tr w14:paraId="6DD82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6DDE6AAC">
            <w:pPr>
              <w:spacing w:line="294" w:lineRule="auto"/>
              <w:rPr>
                <w:rFonts w:ascii="Arial"/>
                <w:color w:val="auto"/>
                <w:sz w:val="21"/>
                <w:highlight w:val="none"/>
              </w:rPr>
            </w:pPr>
          </w:p>
          <w:p w14:paraId="3EE1D35D">
            <w:pPr>
              <w:spacing w:line="295" w:lineRule="auto"/>
              <w:rPr>
                <w:rFonts w:ascii="Arial"/>
                <w:color w:val="auto"/>
                <w:sz w:val="21"/>
                <w:highlight w:val="none"/>
              </w:rPr>
            </w:pPr>
          </w:p>
          <w:p w14:paraId="29667F8C">
            <w:pPr>
              <w:spacing w:before="60" w:line="189" w:lineRule="auto"/>
              <w:ind w:left="21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7.3.1</w:t>
            </w:r>
          </w:p>
        </w:tc>
        <w:tc>
          <w:tcPr>
            <w:tcW w:w="2121" w:type="dxa"/>
            <w:vAlign w:val="top"/>
          </w:tcPr>
          <w:p w14:paraId="7A9FF52C">
            <w:pPr>
              <w:spacing w:line="272" w:lineRule="auto"/>
              <w:rPr>
                <w:rFonts w:ascii="Arial"/>
                <w:color w:val="auto"/>
                <w:sz w:val="21"/>
                <w:highlight w:val="none"/>
              </w:rPr>
            </w:pPr>
          </w:p>
          <w:p w14:paraId="2927472F">
            <w:pPr>
              <w:spacing w:line="273" w:lineRule="auto"/>
              <w:rPr>
                <w:rFonts w:ascii="Arial"/>
                <w:color w:val="auto"/>
                <w:sz w:val="21"/>
                <w:highlight w:val="none"/>
              </w:rPr>
            </w:pPr>
          </w:p>
          <w:p w14:paraId="5212B22A">
            <w:pPr>
              <w:pStyle w:val="18"/>
              <w:spacing w:before="68" w:line="221" w:lineRule="auto"/>
              <w:ind w:left="545"/>
              <w:rPr>
                <w:color w:val="auto"/>
                <w:highlight w:val="none"/>
              </w:rPr>
            </w:pPr>
            <w:r>
              <w:rPr>
                <w:color w:val="auto"/>
                <w:spacing w:val="-2"/>
                <w:highlight w:val="none"/>
              </w:rPr>
              <w:t>履约保证金</w:t>
            </w:r>
          </w:p>
        </w:tc>
        <w:tc>
          <w:tcPr>
            <w:tcW w:w="5447" w:type="dxa"/>
            <w:vAlign w:val="top"/>
          </w:tcPr>
          <w:p w14:paraId="2BB0290A">
            <w:pPr>
              <w:pStyle w:val="18"/>
              <w:spacing w:before="137" w:line="221" w:lineRule="auto"/>
              <w:ind w:left="132"/>
              <w:rPr>
                <w:color w:val="auto"/>
                <w:highlight w:val="none"/>
              </w:rPr>
            </w:pPr>
            <w:r>
              <w:rPr>
                <w:color w:val="auto"/>
                <w:spacing w:val="-5"/>
                <w:highlight w:val="none"/>
              </w:rPr>
              <w:sym w:font="Wingdings 2" w:char="0052"/>
            </w:r>
            <w:r>
              <w:rPr>
                <w:color w:val="auto"/>
                <w:spacing w:val="-5"/>
                <w:highlight w:val="none"/>
              </w:rPr>
              <w:t>不提交</w:t>
            </w:r>
          </w:p>
          <w:p w14:paraId="7CB1CC56">
            <w:pPr>
              <w:pStyle w:val="18"/>
              <w:spacing w:before="65" w:line="221" w:lineRule="auto"/>
              <w:ind w:left="132"/>
              <w:rPr>
                <w:color w:val="auto"/>
                <w:highlight w:val="none"/>
              </w:rPr>
            </w:pPr>
            <w:r>
              <w:rPr>
                <w:color w:val="auto"/>
                <w:spacing w:val="-5"/>
                <w:highlight w:val="none"/>
              </w:rPr>
              <w:t>□提交，履约保证金的形式：</w:t>
            </w:r>
          </w:p>
          <w:p w14:paraId="5E95BA5C">
            <w:pPr>
              <w:pStyle w:val="18"/>
              <w:spacing w:before="69" w:line="258" w:lineRule="auto"/>
              <w:ind w:left="114" w:right="109" w:firstLine="858"/>
              <w:rPr>
                <w:rFonts w:ascii="Times New Roman" w:hAnsi="Times New Roman" w:eastAsia="Times New Roman" w:cs="Times New Roman"/>
                <w:color w:val="auto"/>
                <w:highlight w:val="none"/>
              </w:rPr>
            </w:pPr>
            <w:r>
              <w:rPr>
                <w:color w:val="auto"/>
                <w:spacing w:val="-10"/>
                <w:highlight w:val="none"/>
              </w:rPr>
              <w:t>□现金</w:t>
            </w:r>
            <w:r>
              <w:rPr>
                <w:color w:val="auto"/>
                <w:spacing w:val="12"/>
                <w:highlight w:val="none"/>
              </w:rPr>
              <w:t xml:space="preserve">   </w:t>
            </w:r>
            <w:r>
              <w:rPr>
                <w:color w:val="auto"/>
                <w:spacing w:val="-10"/>
                <w:highlight w:val="none"/>
              </w:rPr>
              <w:t>□保函（保险）</w:t>
            </w:r>
            <w:r>
              <w:rPr>
                <w:color w:val="auto"/>
                <w:spacing w:val="37"/>
                <w:highlight w:val="none"/>
              </w:rPr>
              <w:t xml:space="preserve"> </w:t>
            </w:r>
            <w:r>
              <w:rPr>
                <w:rFonts w:hint="eastAsia"/>
                <w:color w:val="auto"/>
                <w:spacing w:val="-10"/>
                <w:highlight w:val="none"/>
                <w:lang w:eastAsia="zh-CN"/>
              </w:rPr>
              <w:t>□</w:t>
            </w:r>
            <w:r>
              <w:rPr>
                <w:color w:val="auto"/>
                <w:spacing w:val="-10"/>
                <w:highlight w:val="none"/>
              </w:rPr>
              <w:t>其他形式</w:t>
            </w:r>
            <w:r>
              <w:rPr>
                <w:color w:val="auto"/>
                <w:spacing w:val="-52"/>
                <w:highlight w:val="none"/>
              </w:rPr>
              <w:t xml:space="preserve"> </w:t>
            </w:r>
            <w:r>
              <w:rPr>
                <w:color w:val="auto"/>
                <w:spacing w:val="10"/>
                <w:highlight w:val="none"/>
                <w:u w:val="single" w:color="auto"/>
              </w:rPr>
              <w:t xml:space="preserve">       </w:t>
            </w:r>
            <w:r>
              <w:rPr>
                <w:color w:val="auto"/>
                <w:spacing w:val="6"/>
                <w:highlight w:val="none"/>
              </w:rPr>
              <w:t xml:space="preserve"> </w:t>
            </w:r>
            <w:r>
              <w:rPr>
                <w:color w:val="auto"/>
                <w:spacing w:val="-8"/>
                <w:highlight w:val="none"/>
              </w:rPr>
              <w:t>履约保证金的金额： 合同总价的</w:t>
            </w:r>
            <w:r>
              <w:rPr>
                <w:color w:val="auto"/>
                <w:spacing w:val="-92"/>
                <w:highlight w:val="none"/>
              </w:rPr>
              <w:t xml:space="preserve"> </w:t>
            </w:r>
            <w:r>
              <w:rPr>
                <w:color w:val="auto"/>
                <w:highlight w:val="none"/>
                <w:u w:val="single" w:color="auto"/>
              </w:rPr>
              <w:t xml:space="preserve">     </w:t>
            </w:r>
            <w:r>
              <w:rPr>
                <w:color w:val="auto"/>
                <w:spacing w:val="-46"/>
                <w:highlight w:val="none"/>
              </w:rPr>
              <w:t xml:space="preserve"> </w:t>
            </w:r>
            <w:r>
              <w:rPr>
                <w:rFonts w:ascii="Times New Roman" w:hAnsi="Times New Roman" w:eastAsia="Times New Roman" w:cs="Times New Roman"/>
                <w:color w:val="auto"/>
                <w:spacing w:val="-8"/>
                <w:highlight w:val="none"/>
              </w:rPr>
              <w:t>%</w:t>
            </w:r>
          </w:p>
        </w:tc>
      </w:tr>
      <w:tr w14:paraId="6D775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14AB490F">
            <w:pPr>
              <w:spacing w:line="251" w:lineRule="auto"/>
              <w:rPr>
                <w:rFonts w:ascii="Arial"/>
                <w:color w:val="auto"/>
                <w:sz w:val="21"/>
                <w:highlight w:val="none"/>
              </w:rPr>
            </w:pPr>
          </w:p>
          <w:p w14:paraId="0B8D1105">
            <w:pPr>
              <w:spacing w:line="251" w:lineRule="auto"/>
              <w:rPr>
                <w:rFonts w:ascii="Arial"/>
                <w:color w:val="auto"/>
                <w:sz w:val="21"/>
                <w:highlight w:val="none"/>
              </w:rPr>
            </w:pPr>
          </w:p>
          <w:p w14:paraId="20B2058E">
            <w:pPr>
              <w:spacing w:line="251" w:lineRule="auto"/>
              <w:rPr>
                <w:rFonts w:ascii="Arial"/>
                <w:color w:val="auto"/>
                <w:sz w:val="21"/>
                <w:highlight w:val="none"/>
              </w:rPr>
            </w:pPr>
          </w:p>
          <w:p w14:paraId="0BA88A2A">
            <w:pPr>
              <w:spacing w:line="252" w:lineRule="auto"/>
              <w:rPr>
                <w:rFonts w:ascii="Arial"/>
                <w:color w:val="auto"/>
                <w:sz w:val="21"/>
                <w:highlight w:val="none"/>
              </w:rPr>
            </w:pPr>
          </w:p>
          <w:p w14:paraId="5477AF91">
            <w:pPr>
              <w:spacing w:before="60"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9.5</w:t>
            </w:r>
          </w:p>
        </w:tc>
        <w:tc>
          <w:tcPr>
            <w:tcW w:w="2121" w:type="dxa"/>
            <w:vAlign w:val="top"/>
          </w:tcPr>
          <w:p w14:paraId="3C8A7AE1">
            <w:pPr>
              <w:rPr>
                <w:rFonts w:ascii="Arial"/>
                <w:color w:val="auto"/>
                <w:sz w:val="21"/>
                <w:highlight w:val="none"/>
              </w:rPr>
            </w:pPr>
          </w:p>
          <w:p w14:paraId="7A013DFC">
            <w:pPr>
              <w:rPr>
                <w:rFonts w:ascii="Arial"/>
                <w:color w:val="auto"/>
                <w:sz w:val="21"/>
                <w:highlight w:val="none"/>
              </w:rPr>
            </w:pPr>
          </w:p>
          <w:p w14:paraId="39CB3549">
            <w:pPr>
              <w:rPr>
                <w:rFonts w:ascii="Arial"/>
                <w:color w:val="auto"/>
                <w:sz w:val="21"/>
                <w:highlight w:val="none"/>
              </w:rPr>
            </w:pPr>
          </w:p>
          <w:p w14:paraId="1C539451">
            <w:pPr>
              <w:rPr>
                <w:rFonts w:ascii="Arial"/>
                <w:color w:val="auto"/>
                <w:sz w:val="21"/>
                <w:highlight w:val="none"/>
              </w:rPr>
            </w:pPr>
          </w:p>
          <w:p w14:paraId="6214E4FD">
            <w:pPr>
              <w:pStyle w:val="18"/>
              <w:spacing w:before="68" w:line="221" w:lineRule="auto"/>
              <w:ind w:left="439"/>
              <w:rPr>
                <w:color w:val="auto"/>
                <w:highlight w:val="none"/>
              </w:rPr>
            </w:pPr>
            <w:r>
              <w:rPr>
                <w:color w:val="auto"/>
                <w:spacing w:val="-1"/>
                <w:highlight w:val="none"/>
              </w:rPr>
              <w:t>行政监督部门</w:t>
            </w:r>
          </w:p>
        </w:tc>
        <w:tc>
          <w:tcPr>
            <w:tcW w:w="5447" w:type="dxa"/>
            <w:vAlign w:val="top"/>
          </w:tcPr>
          <w:p w14:paraId="7BF423AD">
            <w:pPr>
              <w:pStyle w:val="18"/>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名    称： 营口市鲅鱼圈区城乡建设和公用事业中心 地    址： 辽宁省营口市</w:t>
            </w:r>
            <w:r>
              <w:rPr>
                <w:rFonts w:hint="eastAsia" w:cs="宋体"/>
                <w:color w:val="auto"/>
                <w:spacing w:val="3"/>
                <w:highlight w:val="none"/>
                <w:lang w:val="en-US" w:eastAsia="zh-CN"/>
              </w:rPr>
              <w:t>鲅鱼圈区</w:t>
            </w:r>
            <w:r>
              <w:rPr>
                <w:rFonts w:ascii="宋体" w:hAnsi="宋体" w:eastAsia="宋体" w:cs="宋体"/>
                <w:color w:val="auto"/>
                <w:spacing w:val="3"/>
                <w:highlight w:val="none"/>
              </w:rPr>
              <w:t xml:space="preserve">          </w:t>
            </w:r>
          </w:p>
          <w:p w14:paraId="362E7F88">
            <w:pPr>
              <w:pStyle w:val="18"/>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电    话： </w:t>
            </w:r>
            <w:r>
              <w:rPr>
                <w:rFonts w:hint="eastAsia" w:cs="宋体"/>
                <w:color w:val="auto"/>
                <w:spacing w:val="3"/>
                <w:highlight w:val="none"/>
                <w:lang w:eastAsia="zh-CN"/>
              </w:rPr>
              <w:t>0417-8225249</w:t>
            </w:r>
            <w:r>
              <w:rPr>
                <w:rFonts w:ascii="宋体" w:hAnsi="宋体" w:eastAsia="宋体" w:cs="宋体"/>
                <w:color w:val="auto"/>
                <w:spacing w:val="3"/>
                <w:highlight w:val="none"/>
              </w:rPr>
              <w:t xml:space="preserve">          </w:t>
            </w:r>
          </w:p>
          <w:p w14:paraId="07384DEB">
            <w:pPr>
              <w:pStyle w:val="18"/>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传    真：           </w:t>
            </w:r>
          </w:p>
          <w:p w14:paraId="4CFDA745">
            <w:pPr>
              <w:pStyle w:val="18"/>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邮政编码：           </w:t>
            </w:r>
          </w:p>
          <w:p w14:paraId="36583766">
            <w:pPr>
              <w:pStyle w:val="18"/>
              <w:spacing w:before="71" w:line="243" w:lineRule="auto"/>
              <w:ind w:left="114" w:right="116" w:hanging="1"/>
              <w:rPr>
                <w:color w:val="auto"/>
                <w:highlight w:val="none"/>
              </w:rPr>
            </w:pPr>
            <w:r>
              <w:rPr>
                <w:color w:val="auto"/>
                <w:spacing w:val="7"/>
                <w:highlight w:val="none"/>
              </w:rPr>
              <w:t>异议投诉渠道：辽宁省工程建设项目招标投标异议投诉</w:t>
            </w:r>
            <w:r>
              <w:rPr>
                <w:color w:val="auto"/>
                <w:spacing w:val="2"/>
                <w:highlight w:val="none"/>
              </w:rPr>
              <w:t xml:space="preserve"> </w:t>
            </w:r>
            <w:r>
              <w:rPr>
                <w:color w:val="auto"/>
                <w:spacing w:val="-2"/>
                <w:highlight w:val="none"/>
              </w:rPr>
              <w:t>处理系统</w:t>
            </w:r>
          </w:p>
        </w:tc>
      </w:tr>
      <w:tr w14:paraId="661DE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2B173075">
            <w:pPr>
              <w:spacing w:before="270" w:line="189" w:lineRule="auto"/>
              <w:ind w:left="34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sz w:val="21"/>
                <w:szCs w:val="21"/>
                <w:highlight w:val="none"/>
              </w:rPr>
              <w:t>10</w:t>
            </w:r>
          </w:p>
        </w:tc>
        <w:tc>
          <w:tcPr>
            <w:tcW w:w="7568" w:type="dxa"/>
            <w:gridSpan w:val="2"/>
            <w:vAlign w:val="top"/>
          </w:tcPr>
          <w:p w14:paraId="51AE22BF">
            <w:pPr>
              <w:pStyle w:val="18"/>
              <w:spacing w:before="233" w:line="221" w:lineRule="auto"/>
              <w:ind w:left="126"/>
              <w:rPr>
                <w:color w:val="auto"/>
                <w:highlight w:val="none"/>
              </w:rPr>
            </w:pPr>
            <w:r>
              <w:rPr>
                <w:color w:val="auto"/>
                <w:spacing w:val="-1"/>
                <w:highlight w:val="none"/>
                <w14:textOutline w14:w="3831" w14:cap="flat" w14:cmpd="sng">
                  <w14:solidFill>
                    <w14:srgbClr w14:val="000000"/>
                  </w14:solidFill>
                  <w14:prstDash w14:val="solid"/>
                  <w14:miter w14:val="0"/>
                </w14:textOutline>
              </w:rPr>
              <w:t>需要补充的其他内容</w:t>
            </w:r>
          </w:p>
        </w:tc>
      </w:tr>
      <w:tr w14:paraId="46276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14:paraId="5D9E8E3F">
            <w:pPr>
              <w:spacing w:before="117"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10.1</w:t>
            </w:r>
          </w:p>
        </w:tc>
        <w:tc>
          <w:tcPr>
            <w:tcW w:w="7568" w:type="dxa"/>
            <w:gridSpan w:val="2"/>
            <w:vAlign w:val="top"/>
          </w:tcPr>
          <w:p w14:paraId="265B9D24">
            <w:pPr>
              <w:pStyle w:val="18"/>
              <w:spacing w:before="81" w:line="206" w:lineRule="auto"/>
              <w:ind w:left="116"/>
              <w:rPr>
                <w:color w:val="auto"/>
                <w:highlight w:val="none"/>
              </w:rPr>
            </w:pPr>
            <w:r>
              <w:rPr>
                <w:color w:val="auto"/>
                <w:spacing w:val="-1"/>
                <w:highlight w:val="none"/>
                <w14:textOutline w14:w="3831" w14:cap="flat" w14:cmpd="sng">
                  <w14:solidFill>
                    <w14:srgbClr w14:val="000000"/>
                  </w14:solidFill>
                  <w14:prstDash w14:val="solid"/>
                  <w14:miter w14:val="0"/>
                </w14:textOutline>
              </w:rPr>
              <w:t>词语定义</w:t>
            </w:r>
          </w:p>
        </w:tc>
      </w:tr>
      <w:tr w14:paraId="3F80F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14:paraId="6CF13C5D">
            <w:pPr>
              <w:spacing w:line="265" w:lineRule="auto"/>
              <w:rPr>
                <w:rFonts w:ascii="Arial"/>
                <w:color w:val="auto"/>
                <w:sz w:val="21"/>
                <w:highlight w:val="none"/>
              </w:rPr>
            </w:pPr>
          </w:p>
          <w:p w14:paraId="64F36A28">
            <w:pPr>
              <w:spacing w:line="265" w:lineRule="auto"/>
              <w:rPr>
                <w:rFonts w:ascii="Arial"/>
                <w:color w:val="auto"/>
                <w:sz w:val="21"/>
                <w:highlight w:val="none"/>
              </w:rPr>
            </w:pPr>
          </w:p>
          <w:p w14:paraId="679064B6">
            <w:pPr>
              <w:spacing w:line="265" w:lineRule="auto"/>
              <w:rPr>
                <w:rFonts w:ascii="Arial"/>
                <w:color w:val="auto"/>
                <w:sz w:val="21"/>
                <w:highlight w:val="none"/>
              </w:rPr>
            </w:pPr>
          </w:p>
          <w:p w14:paraId="18777C7E">
            <w:pPr>
              <w:spacing w:line="265" w:lineRule="auto"/>
              <w:rPr>
                <w:rFonts w:ascii="Arial"/>
                <w:color w:val="auto"/>
                <w:sz w:val="21"/>
                <w:highlight w:val="none"/>
              </w:rPr>
            </w:pPr>
          </w:p>
          <w:p w14:paraId="170CCCD2">
            <w:pPr>
              <w:spacing w:line="266" w:lineRule="auto"/>
              <w:rPr>
                <w:rFonts w:ascii="Arial"/>
                <w:color w:val="auto"/>
                <w:sz w:val="21"/>
                <w:highlight w:val="none"/>
              </w:rPr>
            </w:pPr>
          </w:p>
          <w:p w14:paraId="5099AF49">
            <w:pPr>
              <w:spacing w:before="61"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10.1.1</w:t>
            </w:r>
          </w:p>
        </w:tc>
        <w:tc>
          <w:tcPr>
            <w:tcW w:w="2121" w:type="dxa"/>
            <w:vAlign w:val="top"/>
          </w:tcPr>
          <w:p w14:paraId="14417640">
            <w:pPr>
              <w:spacing w:line="256" w:lineRule="auto"/>
              <w:rPr>
                <w:rFonts w:ascii="Arial"/>
                <w:color w:val="auto"/>
                <w:sz w:val="21"/>
                <w:highlight w:val="none"/>
              </w:rPr>
            </w:pPr>
          </w:p>
          <w:p w14:paraId="73DA5CF8">
            <w:pPr>
              <w:spacing w:line="256" w:lineRule="auto"/>
              <w:rPr>
                <w:rFonts w:ascii="Arial"/>
                <w:color w:val="auto"/>
                <w:sz w:val="21"/>
                <w:highlight w:val="none"/>
              </w:rPr>
            </w:pPr>
          </w:p>
          <w:p w14:paraId="553C30B1">
            <w:pPr>
              <w:spacing w:line="256" w:lineRule="auto"/>
              <w:rPr>
                <w:rFonts w:ascii="Arial"/>
                <w:color w:val="auto"/>
                <w:sz w:val="21"/>
                <w:highlight w:val="none"/>
              </w:rPr>
            </w:pPr>
          </w:p>
          <w:p w14:paraId="0DB59369">
            <w:pPr>
              <w:spacing w:line="257" w:lineRule="auto"/>
              <w:rPr>
                <w:rFonts w:ascii="Arial"/>
                <w:color w:val="auto"/>
                <w:sz w:val="21"/>
                <w:highlight w:val="none"/>
              </w:rPr>
            </w:pPr>
          </w:p>
          <w:p w14:paraId="7009A212">
            <w:pPr>
              <w:spacing w:line="257" w:lineRule="auto"/>
              <w:rPr>
                <w:rFonts w:ascii="Arial"/>
                <w:color w:val="auto"/>
                <w:sz w:val="21"/>
                <w:highlight w:val="none"/>
              </w:rPr>
            </w:pPr>
          </w:p>
          <w:p w14:paraId="6417489F">
            <w:pPr>
              <w:pStyle w:val="18"/>
              <w:spacing w:before="68" w:line="221" w:lineRule="auto"/>
              <w:ind w:left="647"/>
              <w:rPr>
                <w:color w:val="auto"/>
                <w:highlight w:val="none"/>
              </w:rPr>
            </w:pPr>
            <w:r>
              <w:rPr>
                <w:color w:val="auto"/>
                <w:spacing w:val="-1"/>
                <w:highlight w:val="none"/>
              </w:rPr>
              <w:t>类似项目</w:t>
            </w:r>
          </w:p>
        </w:tc>
        <w:tc>
          <w:tcPr>
            <w:tcW w:w="5447" w:type="dxa"/>
            <w:vAlign w:val="top"/>
          </w:tcPr>
          <w:p w14:paraId="2747AEE8">
            <w:pPr>
              <w:pStyle w:val="18"/>
              <w:spacing w:before="75" w:line="252" w:lineRule="auto"/>
              <w:ind w:left="114" w:right="110" w:firstLine="2"/>
              <w:rPr>
                <w:color w:val="auto"/>
                <w:highlight w:val="none"/>
              </w:rPr>
            </w:pPr>
            <w:r>
              <w:rPr>
                <w:color w:val="auto"/>
                <w:spacing w:val="-2"/>
                <w:highlight w:val="none"/>
              </w:rPr>
              <w:t>（</w:t>
            </w:r>
            <w:r>
              <w:rPr>
                <w:rFonts w:ascii="Times New Roman" w:hAnsi="Times New Roman" w:eastAsia="Times New Roman" w:cs="Times New Roman"/>
                <w:color w:val="auto"/>
                <w:spacing w:val="-2"/>
                <w:highlight w:val="none"/>
              </w:rPr>
              <w:t>1</w:t>
            </w:r>
            <w:r>
              <w:rPr>
                <w:color w:val="auto"/>
                <w:spacing w:val="-2"/>
                <w:highlight w:val="none"/>
              </w:rPr>
              <w:t>）类似项目指</w:t>
            </w:r>
            <w:r>
              <w:rPr>
                <w:rFonts w:hint="eastAsia"/>
                <w:color w:val="auto"/>
                <w:spacing w:val="2"/>
                <w:highlight w:val="none"/>
                <w:u w:val="none" w:color="auto"/>
                <w:lang w:val="en-US" w:eastAsia="zh-CN"/>
              </w:rPr>
              <w:t>建筑</w:t>
            </w:r>
            <w:r>
              <w:rPr>
                <w:color w:val="auto"/>
                <w:spacing w:val="-2"/>
                <w:highlight w:val="none"/>
              </w:rPr>
              <w:t>工程，且</w:t>
            </w:r>
            <w:r>
              <w:rPr>
                <w:color w:val="auto"/>
                <w:spacing w:val="-3"/>
                <w:highlight w:val="none"/>
              </w:rPr>
              <w:t>项目已完成工程竣工验收。</w:t>
            </w:r>
          </w:p>
          <w:p w14:paraId="4393E42D">
            <w:pPr>
              <w:pStyle w:val="18"/>
              <w:spacing w:before="70" w:line="221" w:lineRule="auto"/>
              <w:ind w:left="117"/>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2</w:t>
            </w:r>
            <w:r>
              <w:rPr>
                <w:color w:val="auto"/>
                <w:spacing w:val="-5"/>
                <w:highlight w:val="none"/>
              </w:rPr>
              <w:t>）类似项目时间：</w:t>
            </w:r>
          </w:p>
          <w:p w14:paraId="5D394571">
            <w:pPr>
              <w:pStyle w:val="18"/>
              <w:spacing w:before="24" w:line="210" w:lineRule="auto"/>
              <w:ind w:left="764"/>
              <w:rPr>
                <w:color w:val="auto"/>
                <w:highlight w:val="none"/>
              </w:rPr>
            </w:pPr>
            <w:r>
              <w:rPr>
                <w:rFonts w:ascii="Times New Roman" w:hAnsi="Times New Roman" w:eastAsia="Times New Roman" w:cs="Times New Roman"/>
                <w:color w:val="auto"/>
                <w:spacing w:val="-2"/>
                <w:sz w:val="32"/>
                <w:szCs w:val="32"/>
                <w:highlight w:val="none"/>
              </w:rPr>
              <w:t>□</w:t>
            </w:r>
            <w:r>
              <w:rPr>
                <w:color w:val="auto"/>
                <w:spacing w:val="-2"/>
                <w:highlight w:val="none"/>
              </w:rPr>
              <w:t>合同签订时间为准</w:t>
            </w:r>
          </w:p>
          <w:p w14:paraId="14E9BF41">
            <w:pPr>
              <w:pStyle w:val="18"/>
              <w:spacing w:before="1" w:line="221" w:lineRule="auto"/>
              <w:ind w:left="764"/>
              <w:rPr>
                <w:color w:val="auto"/>
                <w:highlight w:val="none"/>
              </w:rPr>
            </w:pPr>
            <w:r>
              <w:rPr>
                <w:rFonts w:ascii="Times New Roman" w:hAnsi="Times New Roman" w:eastAsia="Times New Roman" w:cs="Times New Roman"/>
                <w:color w:val="auto"/>
                <w:spacing w:val="-2"/>
                <w:sz w:val="32"/>
                <w:szCs w:val="32"/>
                <w:highlight w:val="none"/>
              </w:rPr>
              <w:sym w:font="Wingdings 2" w:char="0052"/>
            </w:r>
            <w:r>
              <w:rPr>
                <w:color w:val="auto"/>
                <w:spacing w:val="-2"/>
                <w:highlight w:val="none"/>
              </w:rPr>
              <w:t>竣工验收时间为准</w:t>
            </w:r>
          </w:p>
          <w:p w14:paraId="2F1443AD">
            <w:pPr>
              <w:pStyle w:val="18"/>
              <w:spacing w:before="22" w:line="242" w:lineRule="auto"/>
              <w:ind w:left="117"/>
              <w:rPr>
                <w:color w:val="auto"/>
                <w:highlight w:val="none"/>
              </w:rPr>
            </w:pPr>
            <w:r>
              <w:rPr>
                <w:color w:val="auto"/>
                <w:spacing w:val="-3"/>
                <w:highlight w:val="none"/>
              </w:rPr>
              <w:t>（</w:t>
            </w:r>
            <w:r>
              <w:rPr>
                <w:rFonts w:ascii="Times New Roman" w:hAnsi="Times New Roman" w:eastAsia="Times New Roman" w:cs="Times New Roman"/>
                <w:color w:val="auto"/>
                <w:spacing w:val="-3"/>
                <w:highlight w:val="none"/>
              </w:rPr>
              <w:t>3</w:t>
            </w:r>
            <w:r>
              <w:rPr>
                <w:color w:val="auto"/>
                <w:spacing w:val="-3"/>
                <w:highlight w:val="none"/>
              </w:rPr>
              <w:t>）类似项目类型</w:t>
            </w:r>
          </w:p>
          <w:p w14:paraId="3CB3DE9E">
            <w:pPr>
              <w:pStyle w:val="18"/>
              <w:spacing w:line="210" w:lineRule="auto"/>
              <w:ind w:left="764"/>
              <w:rPr>
                <w:color w:val="auto"/>
                <w:highlight w:val="none"/>
              </w:rPr>
            </w:pPr>
            <w:r>
              <w:rPr>
                <w:rFonts w:ascii="Times New Roman" w:hAnsi="Times New Roman" w:eastAsia="Times New Roman" w:cs="Times New Roman"/>
                <w:color w:val="auto"/>
                <w:spacing w:val="-22"/>
                <w:sz w:val="32"/>
                <w:szCs w:val="32"/>
                <w:highlight w:val="none"/>
              </w:rPr>
              <w:sym w:font="Wingdings 2" w:char="0052"/>
            </w:r>
            <w:r>
              <w:rPr>
                <w:rFonts w:ascii="Times New Roman" w:hAnsi="Times New Roman" w:eastAsia="Times New Roman" w:cs="Times New Roman"/>
                <w:color w:val="auto"/>
                <w:spacing w:val="-1"/>
                <w:highlight w:val="none"/>
              </w:rPr>
              <w:t xml:space="preserve">A </w:t>
            </w:r>
            <w:r>
              <w:rPr>
                <w:color w:val="auto"/>
                <w:spacing w:val="-1"/>
                <w:highlight w:val="none"/>
              </w:rPr>
              <w:t>类</w:t>
            </w:r>
          </w:p>
          <w:p w14:paraId="072B4966">
            <w:pPr>
              <w:pStyle w:val="18"/>
              <w:spacing w:before="2" w:line="221" w:lineRule="auto"/>
              <w:ind w:left="764"/>
              <w:rPr>
                <w:color w:val="auto"/>
                <w:highlight w:val="none"/>
              </w:rPr>
            </w:pPr>
            <w:r>
              <w:rPr>
                <w:rFonts w:hint="eastAsia" w:ascii="Times New Roman" w:hAnsi="Times New Roman" w:cs="Times New Roman"/>
                <w:color w:val="auto"/>
                <w:spacing w:val="-4"/>
                <w:sz w:val="32"/>
                <w:szCs w:val="32"/>
                <w:highlight w:val="none"/>
                <w:lang w:eastAsia="zh-CN"/>
              </w:rPr>
              <w:t>□</w:t>
            </w:r>
            <w:r>
              <w:rPr>
                <w:rFonts w:ascii="Times New Roman" w:hAnsi="Times New Roman" w:eastAsia="Times New Roman" w:cs="Times New Roman"/>
                <w:color w:val="auto"/>
                <w:spacing w:val="-4"/>
                <w:highlight w:val="none"/>
              </w:rPr>
              <w:t xml:space="preserve">A+B </w:t>
            </w:r>
            <w:r>
              <w:rPr>
                <w:color w:val="auto"/>
                <w:spacing w:val="-4"/>
                <w:highlight w:val="none"/>
              </w:rPr>
              <w:t>类</w:t>
            </w:r>
          </w:p>
          <w:p w14:paraId="6E543496">
            <w:pPr>
              <w:pStyle w:val="18"/>
              <w:spacing w:before="23" w:line="205" w:lineRule="auto"/>
              <w:ind w:left="117"/>
              <w:rPr>
                <w:color w:val="auto"/>
                <w:highlight w:val="none"/>
              </w:rPr>
            </w:pPr>
            <w:r>
              <w:rPr>
                <w:color w:val="auto"/>
                <w:spacing w:val="-21"/>
                <w:highlight w:val="none"/>
              </w:rPr>
              <w:t>（</w:t>
            </w:r>
            <w:r>
              <w:rPr>
                <w:rFonts w:ascii="Times New Roman" w:hAnsi="Times New Roman" w:eastAsia="Times New Roman" w:cs="Times New Roman"/>
                <w:color w:val="auto"/>
                <w:spacing w:val="-21"/>
                <w:highlight w:val="none"/>
              </w:rPr>
              <w:t>4</w:t>
            </w:r>
            <w:r>
              <w:rPr>
                <w:color w:val="auto"/>
                <w:spacing w:val="-21"/>
                <w:highlight w:val="none"/>
              </w:rPr>
              <w:t>）其他：</w:t>
            </w:r>
            <w:r>
              <w:rPr>
                <w:color w:val="auto"/>
                <w:spacing w:val="12"/>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tc>
      </w:tr>
      <w:tr w14:paraId="4BF75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3D24B354">
            <w:pPr>
              <w:spacing w:line="265" w:lineRule="auto"/>
              <w:rPr>
                <w:rFonts w:ascii="Arial"/>
                <w:color w:val="auto"/>
                <w:sz w:val="21"/>
                <w:highlight w:val="none"/>
              </w:rPr>
            </w:pPr>
          </w:p>
          <w:p w14:paraId="22B35809">
            <w:pPr>
              <w:spacing w:line="266" w:lineRule="auto"/>
              <w:rPr>
                <w:rFonts w:ascii="Arial"/>
                <w:color w:val="auto"/>
                <w:sz w:val="21"/>
                <w:highlight w:val="none"/>
              </w:rPr>
            </w:pPr>
          </w:p>
          <w:p w14:paraId="64B02571">
            <w:pPr>
              <w:spacing w:before="6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10.1.2</w:t>
            </w:r>
          </w:p>
        </w:tc>
        <w:tc>
          <w:tcPr>
            <w:tcW w:w="2121" w:type="dxa"/>
            <w:vAlign w:val="top"/>
          </w:tcPr>
          <w:p w14:paraId="39542666">
            <w:pPr>
              <w:spacing w:line="243" w:lineRule="auto"/>
              <w:rPr>
                <w:rFonts w:ascii="Arial"/>
                <w:color w:val="auto"/>
                <w:sz w:val="21"/>
                <w:highlight w:val="none"/>
              </w:rPr>
            </w:pPr>
          </w:p>
          <w:p w14:paraId="625D64BD">
            <w:pPr>
              <w:spacing w:line="243" w:lineRule="auto"/>
              <w:rPr>
                <w:rFonts w:ascii="Arial"/>
                <w:color w:val="auto"/>
                <w:sz w:val="21"/>
                <w:highlight w:val="none"/>
              </w:rPr>
            </w:pPr>
          </w:p>
          <w:p w14:paraId="23D67D69">
            <w:pPr>
              <w:pStyle w:val="18"/>
              <w:spacing w:before="69" w:line="220" w:lineRule="auto"/>
              <w:ind w:left="859"/>
              <w:rPr>
                <w:color w:val="auto"/>
                <w:highlight w:val="none"/>
              </w:rPr>
            </w:pPr>
            <w:r>
              <w:rPr>
                <w:color w:val="auto"/>
                <w:spacing w:val="-2"/>
                <w:highlight w:val="none"/>
              </w:rPr>
              <w:t>盖章</w:t>
            </w:r>
          </w:p>
        </w:tc>
        <w:tc>
          <w:tcPr>
            <w:tcW w:w="5447" w:type="dxa"/>
            <w:vAlign w:val="top"/>
          </w:tcPr>
          <w:p w14:paraId="6B408FA2">
            <w:pPr>
              <w:pStyle w:val="18"/>
              <w:spacing w:before="79" w:line="264" w:lineRule="auto"/>
              <w:ind w:left="111" w:right="116"/>
              <w:jc w:val="both"/>
              <w:rPr>
                <w:color w:val="auto"/>
                <w:highlight w:val="none"/>
              </w:rPr>
            </w:pPr>
            <w:r>
              <w:rPr>
                <w:color w:val="auto"/>
                <w:spacing w:val="7"/>
                <w:highlight w:val="none"/>
              </w:rPr>
              <w:t>盖单位章及签章（个人）均为电子签名法所指的电子签</w:t>
            </w:r>
            <w:r>
              <w:rPr>
                <w:color w:val="auto"/>
                <w:spacing w:val="4"/>
                <w:highlight w:val="none"/>
              </w:rPr>
              <w:t xml:space="preserve"> </w:t>
            </w:r>
            <w:r>
              <w:rPr>
                <w:color w:val="auto"/>
                <w:spacing w:val="7"/>
                <w:highlight w:val="none"/>
              </w:rPr>
              <w:t>名，即表示数据电文中以电子形式所含、所附用于识别</w:t>
            </w:r>
            <w:r>
              <w:rPr>
                <w:color w:val="auto"/>
                <w:spacing w:val="4"/>
                <w:highlight w:val="none"/>
              </w:rPr>
              <w:t xml:space="preserve"> </w:t>
            </w:r>
            <w:r>
              <w:rPr>
                <w:color w:val="auto"/>
                <w:spacing w:val="7"/>
                <w:highlight w:val="none"/>
              </w:rPr>
              <w:t>签名单位和签名人身份并表明签名单位和签名人认可其</w:t>
            </w:r>
            <w:r>
              <w:rPr>
                <w:color w:val="auto"/>
                <w:spacing w:val="4"/>
                <w:highlight w:val="none"/>
              </w:rPr>
              <w:t xml:space="preserve"> </w:t>
            </w:r>
            <w:r>
              <w:rPr>
                <w:color w:val="auto"/>
                <w:spacing w:val="-3"/>
                <w:highlight w:val="none"/>
              </w:rPr>
              <w:t>中内容的数据。</w:t>
            </w:r>
          </w:p>
        </w:tc>
      </w:tr>
    </w:tbl>
    <w:p w14:paraId="0D035FE1">
      <w:pPr>
        <w:spacing w:line="95" w:lineRule="auto"/>
        <w:rPr>
          <w:rFonts w:ascii="Arial"/>
          <w:color w:val="auto"/>
          <w:sz w:val="2"/>
          <w:highlight w:val="none"/>
        </w:rPr>
      </w:pPr>
    </w:p>
    <w:tbl>
      <w:tblPr>
        <w:tblStyle w:val="17"/>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0E1D1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854" w:type="dxa"/>
            <w:vAlign w:val="top"/>
          </w:tcPr>
          <w:p w14:paraId="65B64C62">
            <w:pPr>
              <w:spacing w:before="186" w:line="189" w:lineRule="auto"/>
              <w:ind w:left="183"/>
              <w:rPr>
                <w:rFonts w:ascii="Times New Roman" w:hAnsi="Times New Roman" w:eastAsia="Times New Roman" w:cs="Times New Roman"/>
                <w:color w:val="auto"/>
                <w:sz w:val="21"/>
                <w:szCs w:val="21"/>
                <w:highlight w:val="none"/>
              </w:rPr>
            </w:pPr>
            <w:bookmarkStart w:id="50" w:name="bookmark71"/>
            <w:bookmarkEnd w:id="50"/>
            <w:bookmarkStart w:id="51" w:name="bookmark73"/>
            <w:bookmarkEnd w:id="51"/>
            <w:bookmarkStart w:id="52" w:name="bookmark72"/>
            <w:bookmarkEnd w:id="52"/>
            <w:bookmarkStart w:id="53" w:name="bookmark70"/>
            <w:bookmarkEnd w:id="53"/>
            <w:bookmarkStart w:id="54" w:name="bookmark69"/>
            <w:bookmarkEnd w:id="54"/>
            <w:r>
              <w:rPr>
                <w:rFonts w:ascii="Times New Roman" w:hAnsi="Times New Roman" w:eastAsia="Times New Roman" w:cs="Times New Roman"/>
                <w:color w:val="auto"/>
                <w:spacing w:val="-4"/>
                <w:sz w:val="21"/>
                <w:szCs w:val="21"/>
                <w:highlight w:val="none"/>
              </w:rPr>
              <w:t>10.1.3</w:t>
            </w:r>
          </w:p>
        </w:tc>
        <w:tc>
          <w:tcPr>
            <w:tcW w:w="2121" w:type="dxa"/>
            <w:vAlign w:val="top"/>
          </w:tcPr>
          <w:p w14:paraId="5F40EBF5">
            <w:pPr>
              <w:pStyle w:val="18"/>
              <w:spacing w:before="149" w:line="221" w:lineRule="auto"/>
              <w:ind w:left="439"/>
              <w:rPr>
                <w:color w:val="auto"/>
                <w:highlight w:val="none"/>
              </w:rPr>
            </w:pPr>
            <w:r>
              <w:rPr>
                <w:color w:val="auto"/>
                <w:spacing w:val="-1"/>
                <w:highlight w:val="none"/>
              </w:rPr>
              <w:t>获奖表彰时间</w:t>
            </w:r>
          </w:p>
        </w:tc>
        <w:tc>
          <w:tcPr>
            <w:tcW w:w="5447" w:type="dxa"/>
            <w:vAlign w:val="top"/>
          </w:tcPr>
          <w:p w14:paraId="0E5CE7C6">
            <w:pPr>
              <w:pStyle w:val="18"/>
              <w:spacing w:before="149" w:line="220" w:lineRule="auto"/>
              <w:ind w:left="135"/>
              <w:rPr>
                <w:color w:val="auto"/>
                <w:highlight w:val="none"/>
              </w:rPr>
            </w:pPr>
            <w:r>
              <w:rPr>
                <w:color w:val="auto"/>
                <w:spacing w:val="-2"/>
                <w:highlight w:val="none"/>
              </w:rPr>
              <w:t>以表彰文件、获奖证书的颁发时间为准。</w:t>
            </w:r>
          </w:p>
        </w:tc>
      </w:tr>
      <w:tr w14:paraId="2EC93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14:paraId="3ADC3813">
            <w:pPr>
              <w:spacing w:line="291" w:lineRule="auto"/>
              <w:rPr>
                <w:rFonts w:ascii="Arial"/>
                <w:color w:val="auto"/>
                <w:sz w:val="21"/>
                <w:highlight w:val="none"/>
              </w:rPr>
            </w:pPr>
          </w:p>
          <w:p w14:paraId="582062C0">
            <w:pPr>
              <w:spacing w:line="291" w:lineRule="auto"/>
              <w:rPr>
                <w:rFonts w:ascii="Arial"/>
                <w:color w:val="auto"/>
                <w:sz w:val="21"/>
                <w:highlight w:val="none"/>
              </w:rPr>
            </w:pPr>
          </w:p>
          <w:p w14:paraId="1F2AE4F8">
            <w:pPr>
              <w:spacing w:line="291" w:lineRule="auto"/>
              <w:rPr>
                <w:rFonts w:ascii="Arial"/>
                <w:color w:val="auto"/>
                <w:sz w:val="21"/>
                <w:highlight w:val="none"/>
              </w:rPr>
            </w:pPr>
          </w:p>
          <w:p w14:paraId="6A6848FC">
            <w:pPr>
              <w:spacing w:line="292" w:lineRule="auto"/>
              <w:rPr>
                <w:rFonts w:ascii="Arial"/>
                <w:color w:val="auto"/>
                <w:sz w:val="21"/>
                <w:highlight w:val="none"/>
              </w:rPr>
            </w:pPr>
          </w:p>
          <w:p w14:paraId="40CA8419">
            <w:pPr>
              <w:spacing w:before="61"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10.1.4</w:t>
            </w:r>
          </w:p>
        </w:tc>
        <w:tc>
          <w:tcPr>
            <w:tcW w:w="2121" w:type="dxa"/>
            <w:vAlign w:val="top"/>
          </w:tcPr>
          <w:p w14:paraId="1C82F9FE">
            <w:pPr>
              <w:spacing w:line="280" w:lineRule="auto"/>
              <w:rPr>
                <w:rFonts w:ascii="Arial"/>
                <w:color w:val="auto"/>
                <w:sz w:val="21"/>
                <w:highlight w:val="none"/>
              </w:rPr>
            </w:pPr>
          </w:p>
          <w:p w14:paraId="406C26C0">
            <w:pPr>
              <w:spacing w:line="280" w:lineRule="auto"/>
              <w:rPr>
                <w:rFonts w:ascii="Arial"/>
                <w:color w:val="auto"/>
                <w:sz w:val="21"/>
                <w:highlight w:val="none"/>
              </w:rPr>
            </w:pPr>
          </w:p>
          <w:p w14:paraId="361BF345">
            <w:pPr>
              <w:spacing w:line="280" w:lineRule="auto"/>
              <w:rPr>
                <w:rFonts w:ascii="Arial"/>
                <w:color w:val="auto"/>
                <w:sz w:val="21"/>
                <w:highlight w:val="none"/>
              </w:rPr>
            </w:pPr>
          </w:p>
          <w:p w14:paraId="402DF606">
            <w:pPr>
              <w:spacing w:line="281" w:lineRule="auto"/>
              <w:rPr>
                <w:rFonts w:ascii="Arial"/>
                <w:color w:val="auto"/>
                <w:sz w:val="21"/>
                <w:highlight w:val="none"/>
              </w:rPr>
            </w:pPr>
          </w:p>
          <w:p w14:paraId="18F424CC">
            <w:pPr>
              <w:pStyle w:val="18"/>
              <w:spacing w:before="69" w:line="221" w:lineRule="auto"/>
              <w:ind w:left="651"/>
              <w:rPr>
                <w:color w:val="auto"/>
                <w:highlight w:val="none"/>
              </w:rPr>
            </w:pPr>
            <w:r>
              <w:rPr>
                <w:color w:val="auto"/>
                <w:spacing w:val="-2"/>
                <w:highlight w:val="none"/>
              </w:rPr>
              <w:t>不良行为</w:t>
            </w:r>
          </w:p>
        </w:tc>
        <w:tc>
          <w:tcPr>
            <w:tcW w:w="5447" w:type="dxa"/>
            <w:vAlign w:val="top"/>
          </w:tcPr>
          <w:p w14:paraId="54B66F2A">
            <w:pPr>
              <w:pStyle w:val="18"/>
              <w:spacing w:before="72" w:line="253" w:lineRule="auto"/>
              <w:ind w:left="113" w:right="139" w:firstLine="3"/>
              <w:rPr>
                <w:color w:val="auto"/>
                <w:highlight w:val="none"/>
              </w:rPr>
            </w:pPr>
            <w:r>
              <w:rPr>
                <w:color w:val="auto"/>
                <w:spacing w:val="-1"/>
                <w:highlight w:val="none"/>
              </w:rPr>
              <w:t>（</w:t>
            </w:r>
            <w:r>
              <w:rPr>
                <w:rFonts w:ascii="Times New Roman" w:hAnsi="Times New Roman" w:eastAsia="Times New Roman" w:cs="Times New Roman"/>
                <w:color w:val="auto"/>
                <w:spacing w:val="-1"/>
                <w:highlight w:val="none"/>
              </w:rPr>
              <w:t>1</w:t>
            </w:r>
            <w:r>
              <w:rPr>
                <w:color w:val="auto"/>
                <w:spacing w:val="-1"/>
                <w:highlight w:val="none"/>
              </w:rPr>
              <w:t>）指投标人须知第</w:t>
            </w:r>
            <w:r>
              <w:rPr>
                <w:color w:val="auto"/>
                <w:spacing w:val="-26"/>
                <w:highlight w:val="none"/>
              </w:rPr>
              <w:t xml:space="preserve"> </w:t>
            </w:r>
            <w:r>
              <w:rPr>
                <w:rFonts w:ascii="Times New Roman" w:hAnsi="Times New Roman" w:eastAsia="Times New Roman" w:cs="Times New Roman"/>
                <w:color w:val="auto"/>
                <w:spacing w:val="-1"/>
                <w:highlight w:val="none"/>
              </w:rPr>
              <w:t>1.4.3</w:t>
            </w:r>
            <w:r>
              <w:rPr>
                <w:color w:val="auto"/>
                <w:spacing w:val="-1"/>
                <w:highlight w:val="none"/>
              </w:rPr>
              <w:t>（</w:t>
            </w:r>
            <w:r>
              <w:rPr>
                <w:rFonts w:ascii="Times New Roman" w:hAnsi="Times New Roman" w:eastAsia="Times New Roman" w:cs="Times New Roman"/>
                <w:color w:val="auto"/>
                <w:spacing w:val="-1"/>
                <w:highlight w:val="none"/>
              </w:rPr>
              <w:t>10</w:t>
            </w:r>
            <w:r>
              <w:rPr>
                <w:color w:val="auto"/>
                <w:spacing w:val="-1"/>
                <w:highlight w:val="none"/>
              </w:rPr>
              <w:t>）至</w:t>
            </w:r>
            <w:r>
              <w:rPr>
                <w:color w:val="auto"/>
                <w:spacing w:val="-2"/>
                <w:highlight w:val="none"/>
              </w:rPr>
              <w:t>（</w:t>
            </w:r>
            <w:r>
              <w:rPr>
                <w:rFonts w:ascii="Times New Roman" w:hAnsi="Times New Roman" w:eastAsia="Times New Roman" w:cs="Times New Roman"/>
                <w:color w:val="auto"/>
                <w:spacing w:val="-2"/>
                <w:highlight w:val="none"/>
              </w:rPr>
              <w:t>17</w:t>
            </w:r>
            <w:r>
              <w:rPr>
                <w:color w:val="auto"/>
                <w:spacing w:val="-2"/>
                <w:highlight w:val="none"/>
              </w:rPr>
              <w:t>）条目规定的情</w:t>
            </w:r>
            <w:r>
              <w:rPr>
                <w:color w:val="auto"/>
                <w:highlight w:val="none"/>
              </w:rPr>
              <w:t xml:space="preserve"> </w:t>
            </w:r>
            <w:r>
              <w:rPr>
                <w:color w:val="auto"/>
                <w:spacing w:val="-10"/>
                <w:highlight w:val="none"/>
              </w:rPr>
              <w:t>形。</w:t>
            </w:r>
          </w:p>
          <w:p w14:paraId="4FD7F5D1">
            <w:pPr>
              <w:pStyle w:val="18"/>
              <w:spacing w:before="68" w:line="266" w:lineRule="auto"/>
              <w:ind w:left="111" w:right="139" w:firstLine="6"/>
              <w:rPr>
                <w:color w:val="auto"/>
                <w:highlight w:val="none"/>
              </w:rPr>
            </w:pPr>
            <w:r>
              <w:rPr>
                <w:color w:val="auto"/>
                <w:spacing w:val="-2"/>
                <w:highlight w:val="none"/>
              </w:rPr>
              <w:t>（</w:t>
            </w:r>
            <w:r>
              <w:rPr>
                <w:rFonts w:ascii="Times New Roman" w:hAnsi="Times New Roman" w:eastAsia="Times New Roman" w:cs="Times New Roman"/>
                <w:color w:val="auto"/>
                <w:spacing w:val="-2"/>
                <w:highlight w:val="none"/>
              </w:rPr>
              <w:t>2</w:t>
            </w:r>
            <w:r>
              <w:rPr>
                <w:color w:val="auto"/>
                <w:spacing w:val="-2"/>
                <w:highlight w:val="none"/>
              </w:rPr>
              <w:t>）投标人须知第</w:t>
            </w:r>
            <w:r>
              <w:rPr>
                <w:color w:val="auto"/>
                <w:spacing w:val="-9"/>
                <w:highlight w:val="none"/>
              </w:rPr>
              <w:t xml:space="preserve"> </w:t>
            </w:r>
            <w:r>
              <w:rPr>
                <w:rFonts w:ascii="Times New Roman" w:hAnsi="Times New Roman" w:eastAsia="Times New Roman" w:cs="Times New Roman"/>
                <w:color w:val="auto"/>
                <w:spacing w:val="-2"/>
                <w:highlight w:val="none"/>
              </w:rPr>
              <w:t>1.4.3</w:t>
            </w:r>
            <w:r>
              <w:rPr>
                <w:color w:val="auto"/>
                <w:spacing w:val="-2"/>
                <w:highlight w:val="none"/>
              </w:rPr>
              <w:t>（</w:t>
            </w:r>
            <w:r>
              <w:rPr>
                <w:rFonts w:ascii="Times New Roman" w:hAnsi="Times New Roman" w:eastAsia="Times New Roman" w:cs="Times New Roman"/>
                <w:color w:val="auto"/>
                <w:spacing w:val="-2"/>
                <w:highlight w:val="none"/>
              </w:rPr>
              <w:t>13</w:t>
            </w:r>
            <w:r>
              <w:rPr>
                <w:color w:val="auto"/>
                <w:spacing w:val="-2"/>
                <w:highlight w:val="none"/>
              </w:rPr>
              <w:t>）条目规定的在最近三年内</w:t>
            </w:r>
            <w:r>
              <w:rPr>
                <w:color w:val="auto"/>
                <w:highlight w:val="none"/>
              </w:rPr>
              <w:t xml:space="preserve"> </w:t>
            </w:r>
            <w:r>
              <w:rPr>
                <w:color w:val="auto"/>
                <w:spacing w:val="-2"/>
                <w:highlight w:val="none"/>
              </w:rPr>
              <w:t xml:space="preserve">有骗取中标或严重违约或重大工程质量问题的时间以相  关行业主管部门行政处罚决定时间或司法机关出具的法  </w:t>
            </w:r>
            <w:r>
              <w:rPr>
                <w:color w:val="auto"/>
                <w:spacing w:val="-3"/>
                <w:highlight w:val="none"/>
              </w:rPr>
              <w:t>律文书时间为准。</w:t>
            </w:r>
          </w:p>
          <w:p w14:paraId="7A97B40B">
            <w:pPr>
              <w:pStyle w:val="18"/>
              <w:spacing w:before="67" w:line="245" w:lineRule="auto"/>
              <w:ind w:left="120" w:right="299" w:hanging="9"/>
              <w:rPr>
                <w:color w:val="auto"/>
                <w:highlight w:val="none"/>
              </w:rPr>
            </w:pPr>
            <w:r>
              <w:rPr>
                <w:color w:val="auto"/>
                <w:spacing w:val="-5"/>
                <w:highlight w:val="none"/>
              </w:rPr>
              <w:t>特别说明： 同一标段项目出现两个（含）以上不同处罚</w:t>
            </w:r>
            <w:r>
              <w:rPr>
                <w:color w:val="auto"/>
                <w:spacing w:val="10"/>
                <w:highlight w:val="none"/>
              </w:rPr>
              <w:t xml:space="preserve"> </w:t>
            </w:r>
            <w:r>
              <w:rPr>
                <w:color w:val="auto"/>
                <w:spacing w:val="-2"/>
                <w:highlight w:val="none"/>
              </w:rPr>
              <w:t>时间（或法律文书时间）均应满足时间要求。</w:t>
            </w:r>
          </w:p>
        </w:tc>
      </w:tr>
      <w:tr w14:paraId="7F5C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14:paraId="0B3A0927">
            <w:pPr>
              <w:spacing w:before="274"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10.1.5</w:t>
            </w:r>
          </w:p>
        </w:tc>
        <w:tc>
          <w:tcPr>
            <w:tcW w:w="2121" w:type="dxa"/>
            <w:vAlign w:val="top"/>
          </w:tcPr>
          <w:p w14:paraId="56911191">
            <w:pPr>
              <w:pStyle w:val="18"/>
              <w:spacing w:before="238" w:line="221" w:lineRule="auto"/>
              <w:ind w:left="860"/>
              <w:rPr>
                <w:color w:val="auto"/>
                <w:highlight w:val="none"/>
              </w:rPr>
            </w:pPr>
            <w:r>
              <w:rPr>
                <w:color w:val="auto"/>
                <w:spacing w:val="-2"/>
                <w:highlight w:val="none"/>
              </w:rPr>
              <w:t>现金</w:t>
            </w:r>
          </w:p>
        </w:tc>
        <w:tc>
          <w:tcPr>
            <w:tcW w:w="5447" w:type="dxa"/>
            <w:vAlign w:val="top"/>
          </w:tcPr>
          <w:p w14:paraId="5660137C">
            <w:pPr>
              <w:pStyle w:val="18"/>
              <w:spacing w:before="79" w:line="245" w:lineRule="auto"/>
              <w:ind w:left="113" w:right="298"/>
              <w:rPr>
                <w:color w:val="auto"/>
                <w:highlight w:val="none"/>
              </w:rPr>
            </w:pPr>
            <w:r>
              <w:rPr>
                <w:color w:val="auto"/>
                <w:spacing w:val="-1"/>
                <w:highlight w:val="none"/>
              </w:rPr>
              <w:t>投标保证金、履约保证金现金缴纳方式指通过电汇、支</w:t>
            </w:r>
            <w:r>
              <w:rPr>
                <w:color w:val="auto"/>
                <w:spacing w:val="12"/>
                <w:highlight w:val="none"/>
              </w:rPr>
              <w:t xml:space="preserve"> </w:t>
            </w:r>
            <w:r>
              <w:rPr>
                <w:color w:val="auto"/>
                <w:spacing w:val="-2"/>
                <w:highlight w:val="none"/>
              </w:rPr>
              <w:t>票等广义现金方式缴纳而非现金钞票。</w:t>
            </w:r>
          </w:p>
        </w:tc>
      </w:tr>
      <w:tr w14:paraId="1A30D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14:paraId="05B07480">
            <w:pPr>
              <w:spacing w:line="414" w:lineRule="auto"/>
              <w:rPr>
                <w:rFonts w:ascii="Arial"/>
                <w:color w:val="auto"/>
                <w:sz w:val="21"/>
                <w:highlight w:val="none"/>
              </w:rPr>
            </w:pPr>
          </w:p>
          <w:p w14:paraId="3F7D2C35">
            <w:pPr>
              <w:spacing w:before="60"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10.2</w:t>
            </w:r>
          </w:p>
        </w:tc>
        <w:tc>
          <w:tcPr>
            <w:tcW w:w="2121" w:type="dxa"/>
            <w:vAlign w:val="top"/>
          </w:tcPr>
          <w:p w14:paraId="3AE74EA0">
            <w:pPr>
              <w:pStyle w:val="18"/>
              <w:spacing w:before="281" w:line="252" w:lineRule="auto"/>
              <w:ind w:left="437" w:right="320" w:hanging="87"/>
              <w:rPr>
                <w:color w:val="auto"/>
                <w:highlight w:val="none"/>
              </w:rPr>
            </w:pPr>
            <w:r>
              <w:rPr>
                <w:color w:val="auto"/>
                <w:spacing w:val="-4"/>
                <w:highlight w:val="none"/>
              </w:rPr>
              <w:t>中标后须提交的</w:t>
            </w:r>
            <w:r>
              <w:rPr>
                <w:color w:val="auto"/>
                <w:spacing w:val="2"/>
                <w:highlight w:val="none"/>
              </w:rPr>
              <w:t xml:space="preserve"> </w:t>
            </w:r>
            <w:r>
              <w:rPr>
                <w:color w:val="auto"/>
                <w:spacing w:val="-2"/>
                <w:highlight w:val="none"/>
              </w:rPr>
              <w:t>纸质投标文件</w:t>
            </w:r>
          </w:p>
        </w:tc>
        <w:tc>
          <w:tcPr>
            <w:tcW w:w="5447" w:type="dxa"/>
            <w:vAlign w:val="top"/>
          </w:tcPr>
          <w:p w14:paraId="28AE553D">
            <w:pPr>
              <w:pStyle w:val="18"/>
              <w:spacing w:before="281" w:line="252" w:lineRule="auto"/>
              <w:ind w:left="111" w:right="298"/>
              <w:rPr>
                <w:color w:val="auto"/>
                <w:highlight w:val="none"/>
              </w:rPr>
            </w:pPr>
            <w:r>
              <w:rPr>
                <w:color w:val="auto"/>
                <w:spacing w:val="-5"/>
                <w:highlight w:val="none"/>
              </w:rPr>
              <w:t xml:space="preserve">份数： </w:t>
            </w:r>
            <w:r>
              <w:rPr>
                <w:rFonts w:hint="eastAsia"/>
                <w:color w:val="auto"/>
                <w:spacing w:val="-5"/>
                <w:highlight w:val="none"/>
                <w:u w:val="single" w:color="auto"/>
                <w:lang w:val="en-US" w:eastAsia="zh-CN"/>
              </w:rPr>
              <w:t>3</w:t>
            </w:r>
            <w:r>
              <w:rPr>
                <w:color w:val="auto"/>
                <w:spacing w:val="-5"/>
                <w:highlight w:val="none"/>
                <w:u w:val="single" w:color="auto"/>
              </w:rPr>
              <w:t xml:space="preserve"> </w:t>
            </w:r>
            <w:r>
              <w:rPr>
                <w:color w:val="auto"/>
                <w:spacing w:val="-80"/>
                <w:highlight w:val="none"/>
              </w:rPr>
              <w:t xml:space="preserve"> </w:t>
            </w:r>
            <w:r>
              <w:rPr>
                <w:color w:val="auto"/>
                <w:spacing w:val="-5"/>
                <w:highlight w:val="none"/>
              </w:rPr>
              <w:t>份，中标人提交的纸质投标文件应当与投</w:t>
            </w:r>
            <w:r>
              <w:rPr>
                <w:color w:val="auto"/>
                <w:highlight w:val="none"/>
              </w:rPr>
              <w:t xml:space="preserve"> </w:t>
            </w:r>
            <w:r>
              <w:rPr>
                <w:color w:val="auto"/>
                <w:spacing w:val="-1"/>
                <w:highlight w:val="none"/>
              </w:rPr>
              <w:t>标时的电子投标文件内容一致。</w:t>
            </w:r>
          </w:p>
        </w:tc>
      </w:tr>
      <w:tr w14:paraId="76351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06F38D4A">
            <w:pPr>
              <w:spacing w:before="277"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10.6</w:t>
            </w:r>
          </w:p>
        </w:tc>
        <w:tc>
          <w:tcPr>
            <w:tcW w:w="2121" w:type="dxa"/>
            <w:vAlign w:val="top"/>
          </w:tcPr>
          <w:p w14:paraId="5960EA0E">
            <w:pPr>
              <w:pStyle w:val="18"/>
              <w:spacing w:before="82" w:line="246" w:lineRule="auto"/>
              <w:ind w:left="883" w:right="214" w:hanging="658"/>
              <w:rPr>
                <w:color w:val="auto"/>
                <w:highlight w:val="none"/>
              </w:rPr>
            </w:pPr>
            <w:r>
              <w:rPr>
                <w:color w:val="auto"/>
                <w:spacing w:val="-1"/>
                <w:highlight w:val="none"/>
              </w:rPr>
              <w:t>招标人补充的其他</w:t>
            </w:r>
            <w:r>
              <w:rPr>
                <w:color w:val="auto"/>
                <w:spacing w:val="2"/>
                <w:highlight w:val="none"/>
              </w:rPr>
              <w:t xml:space="preserve"> </w:t>
            </w:r>
            <w:r>
              <w:rPr>
                <w:color w:val="auto"/>
                <w:spacing w:val="-8"/>
                <w:highlight w:val="none"/>
              </w:rPr>
              <w:t>内容</w:t>
            </w:r>
          </w:p>
        </w:tc>
        <w:tc>
          <w:tcPr>
            <w:tcW w:w="5447" w:type="dxa"/>
            <w:vAlign w:val="top"/>
          </w:tcPr>
          <w:p w14:paraId="1D5FFEAA">
            <w:pPr>
              <w:spacing w:line="400" w:lineRule="exact"/>
              <w:rPr>
                <w:rFonts w:ascii="宋体" w:hAnsi="宋体" w:eastAsia="宋体" w:cs="宋体"/>
                <w:snapToGrid w:val="0"/>
                <w:color w:val="auto"/>
                <w:spacing w:val="-5"/>
                <w:kern w:val="0"/>
                <w:sz w:val="21"/>
                <w:szCs w:val="21"/>
                <w:highlight w:val="none"/>
                <w:lang w:val="en-US" w:eastAsia="en-US" w:bidi="ar-SA"/>
              </w:rPr>
            </w:pPr>
            <w:bookmarkStart w:id="55" w:name="EBf460ad02438e49be941e01ee0eb064fb"/>
            <w:r>
              <w:rPr>
                <w:rFonts w:hint="eastAsia" w:ascii="宋体" w:hAnsi="宋体" w:eastAsia="宋体" w:cs="宋体"/>
                <w:snapToGrid w:val="0"/>
                <w:color w:val="auto"/>
                <w:spacing w:val="-5"/>
                <w:kern w:val="0"/>
                <w:sz w:val="21"/>
                <w:szCs w:val="21"/>
                <w:highlight w:val="none"/>
                <w:lang w:val="en-US" w:eastAsia="zh-CN" w:bidi="ar-SA"/>
              </w:rPr>
              <w:t>10.6.1</w:t>
            </w:r>
            <w:r>
              <w:rPr>
                <w:rFonts w:hint="eastAsia" w:ascii="宋体" w:hAnsi="宋体" w:eastAsia="宋体" w:cs="宋体"/>
                <w:snapToGrid w:val="0"/>
                <w:color w:val="auto"/>
                <w:spacing w:val="-5"/>
                <w:kern w:val="0"/>
                <w:sz w:val="21"/>
                <w:szCs w:val="21"/>
                <w:highlight w:val="none"/>
                <w:lang w:val="en-US" w:eastAsia="en-US" w:bidi="ar-SA"/>
              </w:rPr>
              <w:t xml:space="preserve">在招投标过程中，发现下列情形之一的，招投标监管机构和评标委员会将认定为围标串标行为，投标按作废标处理，并按相关规定予以处罚：              </w:t>
            </w:r>
          </w:p>
          <w:p w14:paraId="72D9EE7B">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1、投标人同属于一个母公司或者一个母公司和他所属的子公司同时参加投标；              </w:t>
            </w:r>
          </w:p>
          <w:p w14:paraId="6699B583">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2、投标人以两家及以上企业的名义参与投标报名的；              </w:t>
            </w:r>
          </w:p>
          <w:p w14:paraId="7316D6D1">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3、投标人的投标文件相互混装的；              </w:t>
            </w:r>
          </w:p>
          <w:p w14:paraId="06BC6104">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4、投标人的投标文件错、漏之处一致的；              </w:t>
            </w:r>
          </w:p>
          <w:p w14:paraId="3A486064">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5、投标人的投标报价或报价组成异常一致或呈规律性变化的；              </w:t>
            </w:r>
          </w:p>
          <w:p w14:paraId="6F5ACFD6">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6、投标人的投标文件由同一单位或同一个人编制的；              </w:t>
            </w:r>
          </w:p>
          <w:p w14:paraId="241680B6">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7、投标人的投标文件授权代表人为同一人或同一单位人员的；              </w:t>
            </w:r>
          </w:p>
          <w:p w14:paraId="3394909E">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8、投标人的相关人员有在同一个单位缴纳社会保险的；              </w:t>
            </w:r>
          </w:p>
          <w:p w14:paraId="3D0E75ED">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9、投标人的投标保证金由同一企业或同一账户资金缴纳的；              </w:t>
            </w:r>
          </w:p>
          <w:p w14:paraId="13F5340E">
            <w:pPr>
              <w:pStyle w:val="18"/>
              <w:spacing w:before="240" w:line="332" w:lineRule="exact"/>
              <w:ind w:left="124"/>
              <w:rPr>
                <w:color w:val="auto"/>
                <w:highlight w:val="none"/>
              </w:rPr>
            </w:pPr>
            <w:r>
              <w:rPr>
                <w:rFonts w:hint="eastAsia" w:ascii="宋体" w:hAnsi="宋体" w:eastAsia="宋体" w:cs="宋体"/>
                <w:snapToGrid w:val="0"/>
                <w:color w:val="auto"/>
                <w:spacing w:val="-5"/>
                <w:kern w:val="0"/>
                <w:sz w:val="21"/>
                <w:szCs w:val="21"/>
                <w:highlight w:val="none"/>
                <w:lang w:val="en-US" w:eastAsia="en-US" w:bidi="ar-SA"/>
              </w:rPr>
              <w:t>10、证明投标人与招标人、招标代理机构或其他投标人串通的其他情形及其他不符合法律、法规规定情形的。</w:t>
            </w:r>
            <w:bookmarkEnd w:id="55"/>
          </w:p>
        </w:tc>
      </w:tr>
      <w:tr w14:paraId="1EB78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0C14FD4C">
            <w:pPr>
              <w:spacing w:before="277" w:line="189" w:lineRule="auto"/>
              <w:ind w:left="260"/>
              <w:rPr>
                <w:rFonts w:ascii="Times New Roman" w:hAnsi="Times New Roman" w:eastAsia="Times New Roman" w:cs="Times New Roman"/>
                <w:color w:val="auto"/>
                <w:spacing w:val="-5"/>
                <w:sz w:val="21"/>
                <w:szCs w:val="21"/>
                <w:highlight w:val="none"/>
              </w:rPr>
            </w:pPr>
          </w:p>
        </w:tc>
        <w:tc>
          <w:tcPr>
            <w:tcW w:w="2121" w:type="dxa"/>
            <w:vAlign w:val="top"/>
          </w:tcPr>
          <w:p w14:paraId="6A737350">
            <w:pPr>
              <w:pStyle w:val="18"/>
              <w:spacing w:before="82" w:line="246" w:lineRule="auto"/>
              <w:ind w:left="883" w:right="214" w:hanging="658"/>
              <w:rPr>
                <w:color w:val="auto"/>
                <w:spacing w:val="-1"/>
                <w:highlight w:val="none"/>
              </w:rPr>
            </w:pPr>
          </w:p>
        </w:tc>
        <w:tc>
          <w:tcPr>
            <w:tcW w:w="5447" w:type="dxa"/>
            <w:vAlign w:val="top"/>
          </w:tcPr>
          <w:p w14:paraId="1D4C15B9">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10.</w:t>
            </w:r>
            <w:r>
              <w:rPr>
                <w:rFonts w:hint="eastAsia" w:ascii="宋体" w:hAnsi="宋体" w:eastAsia="宋体" w:cs="宋体"/>
                <w:snapToGrid w:val="0"/>
                <w:color w:val="auto"/>
                <w:spacing w:val="-5"/>
                <w:kern w:val="0"/>
                <w:sz w:val="21"/>
                <w:szCs w:val="21"/>
                <w:highlight w:val="none"/>
                <w:lang w:val="en-US" w:eastAsia="zh-CN" w:bidi="ar-SA"/>
              </w:rPr>
              <w:t>6.2</w:t>
            </w:r>
            <w:r>
              <w:rPr>
                <w:rFonts w:hint="eastAsia" w:ascii="宋体" w:hAnsi="宋体" w:eastAsia="宋体" w:cs="宋体"/>
                <w:snapToGrid w:val="0"/>
                <w:color w:val="auto"/>
                <w:spacing w:val="-5"/>
                <w:kern w:val="0"/>
                <w:sz w:val="21"/>
                <w:szCs w:val="21"/>
                <w:highlight w:val="none"/>
                <w:lang w:val="en-US" w:eastAsia="en-US" w:bidi="ar-SA"/>
              </w:rPr>
              <w:t xml:space="preserve"> 招标人认为需要补充的其他内容</w:t>
            </w:r>
          </w:p>
          <w:p w14:paraId="6224FBDD">
            <w:pPr>
              <w:spacing w:line="400" w:lineRule="exact"/>
              <w:rPr>
                <w:rFonts w:hint="eastAsia" w:ascii="宋体" w:hAnsi="宋体" w:eastAsia="宋体" w:cs="宋体"/>
                <w:snapToGrid w:val="0"/>
                <w:color w:val="auto"/>
                <w:spacing w:val="-5"/>
                <w:kern w:val="0"/>
                <w:sz w:val="21"/>
                <w:szCs w:val="21"/>
                <w:highlight w:val="none"/>
                <w:lang w:val="en-US" w:eastAsia="en-US" w:bidi="ar-SA"/>
              </w:rPr>
            </w:pPr>
            <w:bookmarkStart w:id="56" w:name="EBf22f82123e6e4bd699547b1001c550b1"/>
            <w:r>
              <w:rPr>
                <w:rFonts w:hint="eastAsia" w:ascii="宋体" w:hAnsi="宋体" w:eastAsia="宋体" w:cs="宋体"/>
                <w:snapToGrid w:val="0"/>
                <w:color w:val="auto"/>
                <w:spacing w:val="-5"/>
                <w:kern w:val="0"/>
                <w:sz w:val="21"/>
                <w:szCs w:val="21"/>
                <w:highlight w:val="none"/>
                <w:lang w:val="en-US" w:eastAsia="en-US" w:bidi="ar-SA"/>
              </w:rPr>
              <w:t xml:space="preserve">1、投标报价要求：     </w:t>
            </w:r>
          </w:p>
          <w:p w14:paraId="59A71CB5">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（1）本工程采用工程量清单报价，“执行《工程量清单计价规范（GB/T50500-2024）》 和 20</w:t>
            </w:r>
            <w:r>
              <w:rPr>
                <w:rFonts w:hint="eastAsia" w:ascii="宋体" w:hAnsi="宋体" w:eastAsia="宋体" w:cs="宋体"/>
                <w:snapToGrid w:val="0"/>
                <w:color w:val="auto"/>
                <w:spacing w:val="-5"/>
                <w:kern w:val="0"/>
                <w:sz w:val="21"/>
                <w:szCs w:val="21"/>
                <w:highlight w:val="none"/>
                <w:lang w:val="en-US" w:eastAsia="zh-CN" w:bidi="ar-SA"/>
              </w:rPr>
              <w:t>24</w:t>
            </w:r>
            <w:r>
              <w:rPr>
                <w:rFonts w:hint="eastAsia" w:ascii="宋体" w:hAnsi="宋体" w:eastAsia="宋体" w:cs="宋体"/>
                <w:snapToGrid w:val="0"/>
                <w:color w:val="auto"/>
                <w:spacing w:val="-5"/>
                <w:kern w:val="0"/>
                <w:sz w:val="21"/>
                <w:szCs w:val="21"/>
                <w:highlight w:val="none"/>
                <w:lang w:val="en-US" w:eastAsia="en-US" w:bidi="ar-SA"/>
              </w:rPr>
              <w:t xml:space="preserve">年《辽宁省建设工程计价依据》，各投标人应结合企业自身实力自主报价。     </w:t>
            </w:r>
          </w:p>
          <w:p w14:paraId="4678C460">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（2）合同方式：采用固定综合单价方式。     </w:t>
            </w:r>
          </w:p>
          <w:p w14:paraId="05C190A3">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14:paraId="1C96119C">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w:t>
            </w:r>
            <w:r>
              <w:rPr>
                <w:rFonts w:hint="eastAsia" w:ascii="宋体" w:hAnsi="宋体" w:eastAsia="宋体" w:cs="宋体"/>
                <w:snapToGrid w:val="0"/>
                <w:color w:val="auto"/>
                <w:spacing w:val="-5"/>
                <w:kern w:val="0"/>
                <w:sz w:val="21"/>
                <w:szCs w:val="21"/>
                <w:highlight w:val="none"/>
                <w:lang w:val="en-US" w:eastAsia="zh-CN" w:bidi="ar-SA"/>
              </w:rPr>
              <w:t>jy2829979@163.com</w:t>
            </w:r>
            <w:r>
              <w:rPr>
                <w:rFonts w:hint="eastAsia" w:ascii="宋体" w:hAnsi="宋体" w:eastAsia="宋体" w:cs="宋体"/>
                <w:snapToGrid w:val="0"/>
                <w:color w:val="auto"/>
                <w:spacing w:val="-5"/>
                <w:kern w:val="0"/>
                <w:sz w:val="21"/>
                <w:szCs w:val="21"/>
                <w:highlight w:val="none"/>
                <w:lang w:val="en-US" w:eastAsia="en-US" w:bidi="ar-SA"/>
              </w:rPr>
              <w:t xml:space="preserve"> 后，请务必立即电话告知投标人须知中载明的招标代理机构联系人），招标代理机构将收到的问题汇总后提交给招标人，经招标人复核后如确实存在招标清单计算错误，则做出相应调整；     </w:t>
            </w:r>
          </w:p>
          <w:p w14:paraId="537B2E02">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14:paraId="4425E9CE">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3、实名认证：     </w:t>
            </w:r>
          </w:p>
          <w:p w14:paraId="7716F327">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14:paraId="5D226A6A">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3.1.1 实名认证可采用身份证阅读机器进行身份证实体刷卡认证（PC 端），也可采用移动端 APP软件进行远程实名认证（APP 端 ）。     </w:t>
            </w:r>
          </w:p>
          <w:p w14:paraId="1F2AF193">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3.1.2 授权委托人实名认证：     </w:t>
            </w:r>
          </w:p>
          <w:p w14:paraId="52DB8B58">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（1）在“项目委托人授权”步骤可以点选或跳过此步骤直接进入“招标文件领取”步骤，     </w:t>
            </w:r>
          </w:p>
          <w:p w14:paraId="4B8814F9">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但在上传投标文件前（电子开标项目）/中标候选人公示前（纸质开标项目），【授权委托人】必须进行实名认证，否则无法上传投标文件（电子开标项目）/无法在候选人公示选取到单位信息（纸质开标项目）。     </w:t>
            </w:r>
          </w:p>
          <w:p w14:paraId="3E61D0B8">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（2）在“项目委托人授权”步骤直接刷其身份证带出【授权委托人】信息，视为【授权委     </w:t>
            </w:r>
          </w:p>
          <w:p w14:paraId="158CF0DD">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托人】已做实名认证。     </w:t>
            </w:r>
          </w:p>
          <w:p w14:paraId="10AC06A1">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3.1.3 项目负责人实名认证：     </w:t>
            </w:r>
          </w:p>
          <w:p w14:paraId="55470369">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14:paraId="25E172C0">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（2）【授权委托人】未进行实名认证的：在“招标文件领取”步骤，仅可刷【项目负责人】     </w:t>
            </w:r>
          </w:p>
          <w:p w14:paraId="7ECC07FD">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IC 卡或其身份证领取招标文件，刷【项目负责人】IC 卡领取文件的需要在“项目负责人实名认证”步骤或在二次刷卡时刷其身份证进行实名认证。     </w:t>
            </w:r>
          </w:p>
          <w:p w14:paraId="64975C25">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3.1.4 二次刷卡     </w:t>
            </w:r>
          </w:p>
          <w:p w14:paraId="6A5D6281">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（1）【项目负责人】已进行实名认证的，二次刷卡可以刷【项目负责人】或【授权委托人】身份证带出【项目负责人】“在建项目信息”及“不良行为信息”。     </w:t>
            </w:r>
          </w:p>
          <w:p w14:paraId="63A9C809">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（2）【项目负责人】未进行实名认证的，二次刷卡只能刷其本人身份证带出【项目负责人】“在建项目信息”及“不良行为信息”。     </w:t>
            </w:r>
          </w:p>
          <w:p w14:paraId="3947F5B9">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3.1.5 当【授权委托人】与【项目负责人】为同一人时，在以上任一环节进行过实名认证的，其另一身份也视为已实名认证。     </w:t>
            </w:r>
          </w:p>
          <w:p w14:paraId="5E43ABB6">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3.1.6【授权委托人】及【项目负责人】未进行实名认证或认证人员与投标文件中人员不一致的做废标处理。     </w:t>
            </w:r>
          </w:p>
          <w:p w14:paraId="74E2F597">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14:paraId="0CCFDD40">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14:paraId="7D1EE6BA">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（2）投标人开标结束后需要在规定时间内完成对开标记录表的电子签章操作，否则视为认同开标情况，后续不予受理对开标情况的投诉。     </w:t>
            </w:r>
          </w:p>
          <w:p w14:paraId="49E7EB7A">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5、 费用承担方式（按要求含在投标报价中，注:如果项目允许联合体投标，则其费用由牵头人递交）：     </w:t>
            </w:r>
          </w:p>
          <w:p w14:paraId="66C5A36D">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（1）投标人准备和参加投标活动所发生的费用自理。     </w:t>
            </w:r>
          </w:p>
          <w:p w14:paraId="7DF4A3E8">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（2）招标人不提供任何临时设施（包括施工人员的食宿、办公地点等）。投标人如需要     </w:t>
            </w:r>
          </w:p>
          <w:p w14:paraId="28B17A24">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搭建或租用临时设施的费用含在报价中，地点的选择应在招标人指定的范围内。投标人不得将费用转嫁给与本项目相关的施工单位和材料供应单位。     </w:t>
            </w:r>
          </w:p>
          <w:p w14:paraId="56449251">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 6、外埠（外省）企业投标备案     </w:t>
            </w:r>
          </w:p>
          <w:p w14:paraId="18EF502C">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外埠（外省）企业投标时应按照辽宁省建设厅《关于加强省外施工企业入辽承揽业务监管工作的通知》（辽住建【2016】1号）文件执行。     </w:t>
            </w:r>
          </w:p>
          <w:p w14:paraId="61B4BC04">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7、电子化招投标要求：     </w:t>
            </w:r>
          </w:p>
          <w:p w14:paraId="4D7D1B57">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14:paraId="09DB9934">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（2）电子化招投标以信息库中投标人信息为准。     </w:t>
            </w:r>
          </w:p>
          <w:p w14:paraId="72D96CE6">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8、如果有2个或2个以上投标人的最终评审得分相同，以投标报价低的优先排在前面，如果投标报价也相同，以施工组织设计得分高的排在前面。     </w:t>
            </w:r>
          </w:p>
          <w:p w14:paraId="6C3975C6">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9、投标人评标办法中企业类似业绩以本单位在辽宁建设工程信息网诚信库中备案的为准。     </w:t>
            </w:r>
          </w:p>
          <w:p w14:paraId="638177D1">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10、本项目“技术标”为暗标。投标人须按暗标要求编制电子投标文件，否则，按废标处理。     </w:t>
            </w:r>
          </w:p>
          <w:p w14:paraId="736CE405">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14:paraId="2DCCB265">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12、招标代理服务费要求     </w:t>
            </w:r>
          </w:p>
          <w:p w14:paraId="417900EA">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 xml:space="preserve">（1）招标代理服务费根据国家发改委“计价格[2002]1980号”和“发改办价格[2003]857号”文件规定，招标代理机构将向中标单位收取服务费；招标代理服务费不得在投标报价中单列；招标代理服务费在中标通知书核准后一次性向招标代理机构付清。  </w:t>
            </w:r>
          </w:p>
          <w:p w14:paraId="04CCBE4E">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13、本项目行政监督部门为“</w:t>
            </w:r>
            <w:r>
              <w:rPr>
                <w:rFonts w:hint="eastAsia" w:ascii="宋体" w:hAnsi="宋体" w:eastAsia="宋体" w:cs="宋体"/>
                <w:snapToGrid w:val="0"/>
                <w:color w:val="auto"/>
                <w:spacing w:val="-5"/>
                <w:kern w:val="0"/>
                <w:sz w:val="21"/>
                <w:szCs w:val="21"/>
                <w:highlight w:val="none"/>
                <w:lang w:val="en-US" w:eastAsia="zh-CN" w:bidi="ar-SA"/>
              </w:rPr>
              <w:t>营口市鲅鱼圈区城乡建设和公用事业中心</w:t>
            </w:r>
            <w:r>
              <w:rPr>
                <w:rFonts w:hint="eastAsia" w:ascii="宋体" w:hAnsi="宋体" w:eastAsia="宋体" w:cs="宋体"/>
                <w:snapToGrid w:val="0"/>
                <w:color w:val="auto"/>
                <w:spacing w:val="-5"/>
                <w:kern w:val="0"/>
                <w:sz w:val="21"/>
                <w:szCs w:val="21"/>
                <w:highlight w:val="none"/>
                <w:lang w:val="en-US" w:eastAsia="en-US" w:bidi="ar-SA"/>
              </w:rPr>
              <w:t xml:space="preserve">”     </w:t>
            </w:r>
          </w:p>
          <w:p w14:paraId="1BA01CFE">
            <w:pPr>
              <w:spacing w:line="400" w:lineRule="exact"/>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14、未尽事宜将依照《中华人民共和国招标投标法》及相关法规执行。</w:t>
            </w:r>
            <w:bookmarkEnd w:id="56"/>
          </w:p>
          <w:p w14:paraId="44DDAE01">
            <w:pPr>
              <w:spacing w:line="400" w:lineRule="exact"/>
              <w:rPr>
                <w:rFonts w:hint="eastAsia" w:ascii="宋体" w:hAnsi="宋体" w:eastAsia="宋体" w:cs="宋体"/>
                <w:snapToGrid w:val="0"/>
                <w:color w:val="auto"/>
                <w:spacing w:val="-5"/>
                <w:kern w:val="0"/>
                <w:sz w:val="21"/>
                <w:szCs w:val="21"/>
                <w:highlight w:val="none"/>
                <w:lang w:val="en-US" w:eastAsia="en-US" w:bidi="ar-SA"/>
              </w:rPr>
            </w:pPr>
            <w:bookmarkStart w:id="57" w:name="EB941e643d7ee341f88f0f1eaefb572edc"/>
            <w:r>
              <w:rPr>
                <w:rFonts w:hint="eastAsia" w:ascii="宋体" w:hAnsi="宋体" w:eastAsia="宋体" w:cs="宋体"/>
                <w:snapToGrid w:val="0"/>
                <w:color w:val="auto"/>
                <w:spacing w:val="-5"/>
                <w:kern w:val="0"/>
                <w:sz w:val="21"/>
                <w:szCs w:val="21"/>
                <w:highlight w:val="none"/>
                <w:lang w:val="en-US" w:eastAsia="en-US" w:bidi="ar-SA"/>
              </w:rPr>
              <w:t xml:space="preserve"> </w:t>
            </w:r>
            <w:bookmarkEnd w:id="57"/>
            <w:r>
              <w:rPr>
                <w:rFonts w:hint="eastAsia" w:ascii="宋体" w:hAnsi="宋体" w:eastAsia="宋体" w:cs="宋体"/>
                <w:snapToGrid w:val="0"/>
                <w:color w:val="auto"/>
                <w:spacing w:val="-5"/>
                <w:kern w:val="0"/>
                <w:sz w:val="21"/>
                <w:szCs w:val="21"/>
                <w:highlight w:val="none"/>
                <w:lang w:val="en-US" w:eastAsia="zh-CN" w:bidi="ar-SA"/>
              </w:rPr>
              <w:t>15、</w:t>
            </w:r>
            <w:r>
              <w:rPr>
                <w:rFonts w:hint="eastAsia" w:ascii="宋体" w:hAnsi="宋体" w:eastAsia="宋体" w:cs="宋体"/>
                <w:snapToGrid w:val="0"/>
                <w:color w:val="auto"/>
                <w:spacing w:val="-5"/>
                <w:kern w:val="0"/>
                <w:sz w:val="21"/>
                <w:szCs w:val="21"/>
                <w:highlight w:val="none"/>
                <w:lang w:val="en-US" w:eastAsia="en-US" w:bidi="ar-SA"/>
              </w:rPr>
              <w:t xml:space="preserve"> 工程进度款支付</w:t>
            </w:r>
          </w:p>
          <w:p w14:paraId="37578483">
            <w:pPr>
              <w:spacing w:line="400" w:lineRule="exact"/>
              <w:ind w:firstLine="400" w:firstLineChars="200"/>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1)</w:t>
            </w:r>
            <w:r>
              <w:rPr>
                <w:rFonts w:hint="eastAsia" w:ascii="宋体" w:hAnsi="宋体" w:eastAsia="宋体" w:cs="宋体"/>
                <w:snapToGrid w:val="0"/>
                <w:color w:val="auto"/>
                <w:spacing w:val="-5"/>
                <w:kern w:val="0"/>
                <w:sz w:val="21"/>
                <w:szCs w:val="21"/>
                <w:highlight w:val="none"/>
                <w:lang w:val="en-US" w:eastAsia="zh-CN" w:bidi="ar-SA"/>
              </w:rPr>
              <w:t>按照工程形象进度支付已完工程额的80%。项目结算后支付至合同金额的97%，3%为质量保证金</w:t>
            </w:r>
            <w:r>
              <w:rPr>
                <w:rFonts w:hint="eastAsia" w:ascii="宋体" w:hAnsi="宋体" w:eastAsia="宋体" w:cs="宋体"/>
                <w:snapToGrid w:val="0"/>
                <w:color w:val="auto"/>
                <w:spacing w:val="-5"/>
                <w:kern w:val="0"/>
                <w:sz w:val="21"/>
                <w:szCs w:val="21"/>
                <w:highlight w:val="none"/>
                <w:lang w:val="en-US" w:eastAsia="en-US" w:bidi="ar-SA"/>
              </w:rPr>
              <w:t>；</w:t>
            </w:r>
            <w:r>
              <w:rPr>
                <w:rFonts w:hint="eastAsia" w:ascii="宋体" w:hAnsi="宋体" w:eastAsia="宋体" w:cs="宋体"/>
                <w:snapToGrid w:val="0"/>
                <w:color w:val="auto"/>
                <w:spacing w:val="-5"/>
                <w:kern w:val="0"/>
                <w:sz w:val="21"/>
                <w:szCs w:val="21"/>
                <w:highlight w:val="none"/>
                <w:lang w:val="en-US" w:eastAsia="en-US" w:bidi="ar-SA"/>
              </w:rPr>
              <w:cr/>
            </w:r>
            <w:r>
              <w:rPr>
                <w:rFonts w:hint="eastAsia" w:ascii="宋体" w:hAnsi="宋体" w:eastAsia="宋体" w:cs="宋体"/>
                <w:snapToGrid w:val="0"/>
                <w:color w:val="auto"/>
                <w:spacing w:val="-5"/>
                <w:kern w:val="0"/>
                <w:sz w:val="21"/>
                <w:szCs w:val="21"/>
                <w:highlight w:val="none"/>
                <w:lang w:val="en-US" w:eastAsia="en-US" w:bidi="ar-SA"/>
              </w:rPr>
              <w:t xml:space="preserve">   2)承包人向监理人报送已完成的工程量报告，并附具进度付款申请单、已完成工程量报表和有关资料。 </w:t>
            </w:r>
            <w:r>
              <w:rPr>
                <w:rFonts w:hint="eastAsia" w:ascii="宋体" w:hAnsi="宋体" w:eastAsia="宋体" w:cs="宋体"/>
                <w:snapToGrid w:val="0"/>
                <w:color w:val="auto"/>
                <w:spacing w:val="-5"/>
                <w:kern w:val="0"/>
                <w:sz w:val="21"/>
                <w:szCs w:val="21"/>
                <w:highlight w:val="none"/>
                <w:lang w:val="en-US" w:eastAsia="en-US" w:bidi="ar-SA"/>
              </w:rPr>
              <w:cr/>
            </w:r>
            <w:r>
              <w:rPr>
                <w:rFonts w:hint="eastAsia" w:ascii="宋体" w:hAnsi="宋体" w:eastAsia="宋体" w:cs="宋体"/>
                <w:snapToGrid w:val="0"/>
                <w:color w:val="auto"/>
                <w:spacing w:val="-5"/>
                <w:kern w:val="0"/>
                <w:sz w:val="21"/>
                <w:szCs w:val="21"/>
                <w:highlight w:val="none"/>
                <w:lang w:val="en-US" w:eastAsia="en-US" w:bidi="ar-SA"/>
              </w:rPr>
              <w:t xml:space="preserve">   3)监理人应在收到承包人提交的工程量报告后 7 天内完成对承包人提交的工程量报表的审核并报送发包人，以确定当月实际完成的工程量。</w:t>
            </w:r>
          </w:p>
          <w:p w14:paraId="03BBEB5A">
            <w:pPr>
              <w:spacing w:line="400" w:lineRule="exact"/>
              <w:ind w:firstLine="400" w:firstLineChars="200"/>
              <w:rPr>
                <w:rFonts w:hint="eastAsia" w:ascii="宋体" w:hAnsi="宋体" w:eastAsia="宋体" w:cs="宋体"/>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zh-CN" w:bidi="ar-SA"/>
              </w:rPr>
              <w:t>4）</w:t>
            </w:r>
            <w:r>
              <w:rPr>
                <w:rFonts w:hint="eastAsia" w:ascii="宋体" w:hAnsi="宋体" w:eastAsia="宋体" w:cs="宋体"/>
                <w:snapToGrid w:val="0"/>
                <w:color w:val="auto"/>
                <w:spacing w:val="-5"/>
                <w:kern w:val="0"/>
                <w:sz w:val="21"/>
                <w:szCs w:val="21"/>
                <w:highlight w:val="none"/>
                <w:lang w:val="en-US" w:eastAsia="en-US" w:bidi="ar-SA"/>
              </w:rPr>
              <w:t>结算款：竣工资料经甲方或审计部门完成最终结算审计后7个工作日内，甲方向乙方支付至结算审定总价</w:t>
            </w:r>
            <w:r>
              <w:rPr>
                <w:rFonts w:hint="eastAsia" w:ascii="宋体" w:hAnsi="宋体" w:eastAsia="宋体" w:cs="宋体"/>
                <w:snapToGrid w:val="0"/>
                <w:color w:val="auto"/>
                <w:spacing w:val="-5"/>
                <w:kern w:val="0"/>
                <w:sz w:val="21"/>
                <w:szCs w:val="21"/>
                <w:highlight w:val="none"/>
                <w:lang w:val="en-US" w:eastAsia="zh-CN" w:bidi="ar-SA"/>
              </w:rPr>
              <w:t>的</w:t>
            </w:r>
            <w:r>
              <w:rPr>
                <w:rFonts w:hint="eastAsia" w:ascii="宋体" w:hAnsi="宋体" w:eastAsia="宋体" w:cs="宋体"/>
                <w:snapToGrid w:val="0"/>
                <w:color w:val="auto"/>
                <w:spacing w:val="-5"/>
                <w:kern w:val="0"/>
                <w:sz w:val="21"/>
                <w:szCs w:val="21"/>
                <w:highlight w:val="none"/>
                <w:lang w:val="en-US" w:eastAsia="en-US" w:bidi="ar-SA"/>
              </w:rPr>
              <w:t>97%。</w:t>
            </w:r>
          </w:p>
          <w:p w14:paraId="75DD3559">
            <w:pPr>
              <w:spacing w:line="400" w:lineRule="exact"/>
              <w:ind w:firstLine="400" w:firstLineChars="200"/>
              <w:rPr>
                <w:rFonts w:hint="eastAsia" w:ascii="仿宋_GB2312" w:eastAsia="仿宋_GB2312"/>
                <w:color w:val="auto"/>
                <w:sz w:val="24"/>
                <w:szCs w:val="24"/>
                <w:highlight w:val="none"/>
              </w:rPr>
            </w:pPr>
            <w:r>
              <w:rPr>
                <w:rFonts w:hint="eastAsia" w:ascii="宋体" w:hAnsi="宋体" w:eastAsia="宋体" w:cs="宋体"/>
                <w:snapToGrid w:val="0"/>
                <w:color w:val="auto"/>
                <w:spacing w:val="-5"/>
                <w:kern w:val="0"/>
                <w:sz w:val="21"/>
                <w:szCs w:val="21"/>
                <w:highlight w:val="none"/>
                <w:lang w:val="en-US" w:eastAsia="zh-CN" w:bidi="ar-SA"/>
              </w:rPr>
              <w:t>5</w:t>
            </w:r>
            <w:r>
              <w:rPr>
                <w:rFonts w:hint="eastAsia" w:ascii="宋体" w:hAnsi="宋体" w:eastAsia="宋体" w:cs="宋体"/>
                <w:snapToGrid w:val="0"/>
                <w:color w:val="auto"/>
                <w:spacing w:val="-5"/>
                <w:kern w:val="0"/>
                <w:sz w:val="21"/>
                <w:szCs w:val="21"/>
                <w:highlight w:val="none"/>
                <w:lang w:val="en-US" w:eastAsia="en-US" w:bidi="ar-SA"/>
              </w:rPr>
              <w:t>)质保金：剩余结算总价的 3%作为质量保证金</w:t>
            </w:r>
            <w:r>
              <w:rPr>
                <w:rFonts w:hint="eastAsia" w:ascii="宋体" w:hAnsi="宋体" w:eastAsia="宋体" w:cs="宋体"/>
                <w:snapToGrid w:val="0"/>
                <w:color w:val="auto"/>
                <w:spacing w:val="-5"/>
                <w:kern w:val="0"/>
                <w:sz w:val="21"/>
                <w:szCs w:val="21"/>
                <w:highlight w:val="none"/>
                <w:lang w:val="en-US" w:eastAsia="zh-CN" w:bidi="ar-SA"/>
              </w:rPr>
              <w:t>，</w:t>
            </w:r>
            <w:r>
              <w:rPr>
                <w:rFonts w:hint="eastAsia" w:ascii="宋体" w:hAnsi="宋体" w:eastAsia="宋体" w:cs="宋体"/>
                <w:snapToGrid w:val="0"/>
                <w:color w:val="auto"/>
                <w:spacing w:val="-5"/>
                <w:kern w:val="0"/>
                <w:sz w:val="21"/>
                <w:szCs w:val="21"/>
                <w:highlight w:val="none"/>
                <w:lang w:val="en-US" w:eastAsia="en-US" w:bidi="ar-SA"/>
              </w:rPr>
              <w:t>待 </w:t>
            </w:r>
            <w:r>
              <w:rPr>
                <w:rFonts w:hint="eastAsia" w:ascii="宋体" w:hAnsi="宋体" w:eastAsia="宋体" w:cs="宋体"/>
                <w:snapToGrid w:val="0"/>
                <w:color w:val="auto"/>
                <w:spacing w:val="-5"/>
                <w:kern w:val="0"/>
                <w:sz w:val="21"/>
                <w:szCs w:val="21"/>
                <w:highlight w:val="none"/>
                <w:lang w:val="en-US" w:eastAsia="zh-CN" w:bidi="ar-SA"/>
              </w:rPr>
              <w:t>2</w:t>
            </w:r>
            <w:r>
              <w:rPr>
                <w:rFonts w:hint="eastAsia" w:ascii="宋体" w:hAnsi="宋体" w:eastAsia="宋体" w:cs="宋体"/>
                <w:snapToGrid w:val="0"/>
                <w:color w:val="auto"/>
                <w:spacing w:val="-5"/>
                <w:kern w:val="0"/>
                <w:sz w:val="21"/>
                <w:szCs w:val="21"/>
                <w:highlight w:val="none"/>
                <w:lang w:val="en-US" w:eastAsia="en-US" w:bidi="ar-SA"/>
              </w:rPr>
              <w:t>年质保期届满且无质量问题后 7个工作日内无息付清。</w:t>
            </w:r>
            <w:r>
              <w:rPr>
                <w:rFonts w:hint="eastAsia" w:ascii="仿宋_GB2312" w:eastAsia="仿宋_GB2312"/>
                <w:color w:val="auto"/>
                <w:sz w:val="24"/>
                <w:szCs w:val="24"/>
                <w:highlight w:val="none"/>
                <w:lang w:val="en-US" w:eastAsia="en-US"/>
              </w:rPr>
              <w:t xml:space="preserve"> </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w:t>
            </w:r>
          </w:p>
        </w:tc>
      </w:tr>
    </w:tbl>
    <w:p w14:paraId="09D49BAC">
      <w:pPr>
        <w:pStyle w:val="5"/>
        <w:rPr>
          <w:color w:val="auto"/>
          <w:highlight w:val="none"/>
        </w:rPr>
      </w:pPr>
    </w:p>
    <w:p w14:paraId="3634F38C">
      <w:pPr>
        <w:pStyle w:val="5"/>
        <w:spacing w:line="308" w:lineRule="auto"/>
        <w:rPr>
          <w:color w:val="auto"/>
          <w:highlight w:val="none"/>
        </w:rPr>
      </w:pPr>
    </w:p>
    <w:p w14:paraId="0AF628F8">
      <w:pPr>
        <w:spacing w:before="88" w:line="224" w:lineRule="auto"/>
        <w:ind w:left="18"/>
        <w:outlineLvl w:val="1"/>
        <w:rPr>
          <w:rFonts w:ascii="黑体" w:hAnsi="黑体" w:eastAsia="黑体" w:cs="黑体"/>
          <w:color w:val="auto"/>
          <w:sz w:val="27"/>
          <w:szCs w:val="27"/>
          <w:highlight w:val="none"/>
        </w:rPr>
      </w:pPr>
      <w:bookmarkStart w:id="58" w:name="bookmark80"/>
      <w:bookmarkEnd w:id="58"/>
      <w:bookmarkStart w:id="59" w:name="bookmark77"/>
      <w:bookmarkEnd w:id="59"/>
      <w:bookmarkStart w:id="60" w:name="bookmark78"/>
      <w:bookmarkEnd w:id="60"/>
      <w:bookmarkStart w:id="61" w:name="bookmark75"/>
      <w:bookmarkEnd w:id="61"/>
      <w:bookmarkStart w:id="62" w:name="bookmark74"/>
      <w:bookmarkEnd w:id="62"/>
      <w:bookmarkStart w:id="63" w:name="bookmark81"/>
      <w:bookmarkEnd w:id="63"/>
      <w:bookmarkStart w:id="64" w:name="bookmark76"/>
      <w:bookmarkEnd w:id="64"/>
      <w:bookmarkStart w:id="65" w:name="bookmark79"/>
      <w:bookmarkEnd w:id="65"/>
      <w:bookmarkStart w:id="66" w:name="_Toc31280"/>
      <w:bookmarkStart w:id="67" w:name="_Toc19076"/>
      <w:bookmarkStart w:id="68" w:name="_Toc14068"/>
      <w:bookmarkStart w:id="69" w:name="_Toc15603"/>
      <w:r>
        <w:rPr>
          <w:rFonts w:ascii="黑体" w:hAnsi="黑体" w:eastAsia="黑体" w:cs="黑体"/>
          <w:color w:val="auto"/>
          <w:spacing w:val="8"/>
          <w:sz w:val="27"/>
          <w:szCs w:val="27"/>
          <w:highlight w:val="none"/>
        </w:rPr>
        <w:t>投标人须知正文部分</w:t>
      </w:r>
      <w:bookmarkEnd w:id="66"/>
      <w:bookmarkEnd w:id="67"/>
      <w:bookmarkEnd w:id="68"/>
      <w:bookmarkEnd w:id="69"/>
    </w:p>
    <w:p w14:paraId="1BD19E48">
      <w:pPr>
        <w:spacing w:before="132" w:line="225"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1.</w:t>
      </w:r>
      <w:r>
        <w:rPr>
          <w:rFonts w:ascii="Times New Roman" w:hAnsi="Times New Roman" w:eastAsia="Times New Roman" w:cs="Times New Roman"/>
          <w:color w:val="auto"/>
          <w:spacing w:val="24"/>
          <w:w w:val="101"/>
          <w:sz w:val="27"/>
          <w:szCs w:val="27"/>
          <w:highlight w:val="none"/>
        </w:rPr>
        <w:t xml:space="preserve"> </w:t>
      </w:r>
      <w:r>
        <w:rPr>
          <w:rFonts w:ascii="黑体" w:hAnsi="黑体" w:eastAsia="黑体" w:cs="黑体"/>
          <w:color w:val="auto"/>
          <w:spacing w:val="-7"/>
          <w:sz w:val="27"/>
          <w:szCs w:val="27"/>
          <w:highlight w:val="none"/>
        </w:rPr>
        <w:t>总则</w:t>
      </w:r>
    </w:p>
    <w:p w14:paraId="1C22EE43">
      <w:pPr>
        <w:spacing w:before="65"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1.1</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项目概况</w:t>
      </w:r>
    </w:p>
    <w:p w14:paraId="43FCFEB8">
      <w:pPr>
        <w:spacing w:before="101" w:line="268" w:lineRule="auto"/>
        <w:ind w:left="58" w:right="3" w:firstLine="39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1.1.1</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z w:val="21"/>
          <w:szCs w:val="21"/>
          <w:highlight w:val="none"/>
        </w:rPr>
        <w:t xml:space="preserve">根据《中华人民共和国招标投标法》等有关法律、法规和规章的规定，本招标项 </w:t>
      </w:r>
      <w:r>
        <w:rPr>
          <w:rFonts w:ascii="宋体" w:hAnsi="宋体" w:eastAsia="宋体" w:cs="宋体"/>
          <w:color w:val="auto"/>
          <w:spacing w:val="-8"/>
          <w:sz w:val="21"/>
          <w:szCs w:val="21"/>
          <w:highlight w:val="none"/>
        </w:rPr>
        <w:t>目已具备招标条件， 现对本标段施工进行招标。</w:t>
      </w:r>
    </w:p>
    <w:p w14:paraId="5E62525E">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本招标项目招标人：见投标人须知前附表。</w:t>
      </w:r>
    </w:p>
    <w:p w14:paraId="6FFC9907">
      <w:pPr>
        <w:spacing w:before="10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1.1.3 </w:t>
      </w:r>
      <w:r>
        <w:rPr>
          <w:rFonts w:ascii="宋体" w:hAnsi="宋体" w:eastAsia="宋体" w:cs="宋体"/>
          <w:color w:val="auto"/>
          <w:spacing w:val="-1"/>
          <w:sz w:val="21"/>
          <w:szCs w:val="21"/>
          <w:highlight w:val="none"/>
        </w:rPr>
        <w:t>本标段招标代理机构：见投标人须知前附表。</w:t>
      </w:r>
    </w:p>
    <w:p w14:paraId="263E9AA3">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1.1.4 </w:t>
      </w:r>
      <w:r>
        <w:rPr>
          <w:rFonts w:ascii="宋体" w:hAnsi="宋体" w:eastAsia="宋体" w:cs="宋体"/>
          <w:color w:val="auto"/>
          <w:spacing w:val="-2"/>
          <w:sz w:val="21"/>
          <w:szCs w:val="21"/>
          <w:highlight w:val="none"/>
        </w:rPr>
        <w:t>本标段项目名称：见投标人须知前附表。</w:t>
      </w:r>
    </w:p>
    <w:p w14:paraId="23EE8DE7">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宋体" w:hAnsi="宋体" w:eastAsia="宋体" w:cs="宋体"/>
          <w:color w:val="auto"/>
          <w:spacing w:val="-2"/>
          <w:sz w:val="21"/>
          <w:szCs w:val="21"/>
          <w:highlight w:val="none"/>
        </w:rPr>
        <w:t>本标段建设地点：见投标人须知前附表。</w:t>
      </w:r>
    </w:p>
    <w:p w14:paraId="3432AB97">
      <w:pPr>
        <w:spacing w:before="11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1.1.6 </w:t>
      </w:r>
      <w:r>
        <w:rPr>
          <w:rFonts w:ascii="宋体" w:hAnsi="宋体" w:eastAsia="宋体" w:cs="宋体"/>
          <w:color w:val="auto"/>
          <w:spacing w:val="-1"/>
          <w:sz w:val="21"/>
          <w:szCs w:val="21"/>
          <w:highlight w:val="none"/>
        </w:rPr>
        <w:t>本招标项目投资估算：见投标人须知前附表。</w:t>
      </w:r>
    </w:p>
    <w:p w14:paraId="64B8E1C4">
      <w:pPr>
        <w:spacing w:before="111"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1.1.7 </w:t>
      </w:r>
      <w:r>
        <w:rPr>
          <w:rFonts w:ascii="宋体" w:hAnsi="宋体" w:eastAsia="宋体" w:cs="宋体"/>
          <w:color w:val="auto"/>
          <w:spacing w:val="-5"/>
          <w:sz w:val="21"/>
          <w:szCs w:val="21"/>
          <w:highlight w:val="none"/>
        </w:rPr>
        <w:t>本标段采用的电子交易系统名称： 见投标人须知前附表。</w:t>
      </w:r>
    </w:p>
    <w:p w14:paraId="782D250C">
      <w:pPr>
        <w:spacing w:before="85"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1.2</w:t>
      </w:r>
      <w:r>
        <w:rPr>
          <w:rFonts w:ascii="Times New Roman" w:hAnsi="Times New Roman" w:eastAsia="Times New Roman" w:cs="Times New Roman"/>
          <w:color w:val="auto"/>
          <w:spacing w:val="26"/>
          <w:sz w:val="24"/>
          <w:szCs w:val="24"/>
          <w:highlight w:val="none"/>
        </w:rPr>
        <w:t xml:space="preserve"> </w:t>
      </w:r>
      <w:r>
        <w:rPr>
          <w:rFonts w:ascii="黑体" w:hAnsi="黑体" w:eastAsia="黑体" w:cs="黑体"/>
          <w:color w:val="auto"/>
          <w:spacing w:val="-4"/>
          <w:sz w:val="24"/>
          <w:szCs w:val="24"/>
          <w:highlight w:val="none"/>
        </w:rPr>
        <w:t>资金来源和落实情况</w:t>
      </w:r>
    </w:p>
    <w:p w14:paraId="3C7FCFEC">
      <w:pPr>
        <w:spacing w:before="102"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1.2.1 </w:t>
      </w:r>
      <w:r>
        <w:rPr>
          <w:rFonts w:ascii="宋体" w:hAnsi="宋体" w:eastAsia="宋体" w:cs="宋体"/>
          <w:color w:val="auto"/>
          <w:spacing w:val="-5"/>
          <w:sz w:val="21"/>
          <w:szCs w:val="21"/>
          <w:highlight w:val="none"/>
        </w:rPr>
        <w:t>本招标项目的资金来源： 见投标人须知前附</w:t>
      </w:r>
      <w:r>
        <w:rPr>
          <w:rFonts w:ascii="宋体" w:hAnsi="宋体" w:eastAsia="宋体" w:cs="宋体"/>
          <w:color w:val="auto"/>
          <w:spacing w:val="-6"/>
          <w:sz w:val="21"/>
          <w:szCs w:val="21"/>
          <w:highlight w:val="none"/>
        </w:rPr>
        <w:t>表。</w:t>
      </w:r>
    </w:p>
    <w:p w14:paraId="55AAE02B">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1.2.2 </w:t>
      </w:r>
      <w:r>
        <w:rPr>
          <w:rFonts w:ascii="宋体" w:hAnsi="宋体" w:eastAsia="宋体" w:cs="宋体"/>
          <w:color w:val="auto"/>
          <w:spacing w:val="-5"/>
          <w:sz w:val="21"/>
          <w:szCs w:val="21"/>
          <w:highlight w:val="none"/>
        </w:rPr>
        <w:t>本招标项目的出资比例： 见投标人须知前附</w:t>
      </w:r>
      <w:r>
        <w:rPr>
          <w:rFonts w:ascii="宋体" w:hAnsi="宋体" w:eastAsia="宋体" w:cs="宋体"/>
          <w:color w:val="auto"/>
          <w:spacing w:val="-6"/>
          <w:sz w:val="21"/>
          <w:szCs w:val="21"/>
          <w:highlight w:val="none"/>
        </w:rPr>
        <w:t>表。</w:t>
      </w:r>
    </w:p>
    <w:p w14:paraId="7790D8CC">
      <w:pPr>
        <w:spacing w:before="11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 </w:t>
      </w:r>
      <w:r>
        <w:rPr>
          <w:rFonts w:ascii="宋体" w:hAnsi="宋体" w:eastAsia="宋体" w:cs="宋体"/>
          <w:color w:val="auto"/>
          <w:spacing w:val="-2"/>
          <w:sz w:val="21"/>
          <w:szCs w:val="21"/>
          <w:highlight w:val="none"/>
        </w:rPr>
        <w:t>本标段合同估算价：见投标人须知前附表。</w:t>
      </w:r>
    </w:p>
    <w:p w14:paraId="452C963F">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1.2.4 </w:t>
      </w:r>
      <w:r>
        <w:rPr>
          <w:rFonts w:ascii="宋体" w:hAnsi="宋体" w:eastAsia="宋体" w:cs="宋体"/>
          <w:color w:val="auto"/>
          <w:spacing w:val="-1"/>
          <w:sz w:val="21"/>
          <w:szCs w:val="21"/>
          <w:highlight w:val="none"/>
        </w:rPr>
        <w:t>本标段资金落实情况：见投标人须知前附表。</w:t>
      </w:r>
    </w:p>
    <w:p w14:paraId="67C78DE9">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1.3 </w:t>
      </w:r>
      <w:r>
        <w:rPr>
          <w:rFonts w:ascii="黑体" w:hAnsi="黑体" w:eastAsia="黑体" w:cs="黑体"/>
          <w:color w:val="auto"/>
          <w:spacing w:val="-2"/>
          <w:sz w:val="24"/>
          <w:szCs w:val="24"/>
          <w:highlight w:val="none"/>
        </w:rPr>
        <w:t>招标范围、计划工期和质量要求</w:t>
      </w:r>
    </w:p>
    <w:p w14:paraId="65ACE6B0">
      <w:pPr>
        <w:spacing w:before="9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 xml:space="preserve">1.3.1 </w:t>
      </w:r>
      <w:r>
        <w:rPr>
          <w:rFonts w:ascii="宋体" w:hAnsi="宋体" w:eastAsia="宋体" w:cs="宋体"/>
          <w:color w:val="auto"/>
          <w:spacing w:val="-6"/>
          <w:sz w:val="21"/>
          <w:szCs w:val="21"/>
          <w:highlight w:val="none"/>
        </w:rPr>
        <w:t>本次招标范围： 见投标人须知前附表。</w:t>
      </w:r>
    </w:p>
    <w:p w14:paraId="0B418907">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 </w:t>
      </w:r>
      <w:r>
        <w:rPr>
          <w:rFonts w:ascii="宋体" w:hAnsi="宋体" w:eastAsia="宋体" w:cs="宋体"/>
          <w:color w:val="auto"/>
          <w:spacing w:val="-2"/>
          <w:sz w:val="21"/>
          <w:szCs w:val="21"/>
          <w:highlight w:val="none"/>
        </w:rPr>
        <w:t>本标段的计划工期：见投标人须知前附表。</w:t>
      </w:r>
    </w:p>
    <w:p w14:paraId="050FDAD9">
      <w:pPr>
        <w:spacing w:before="110" w:line="335"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9"/>
          <w:sz w:val="21"/>
          <w:szCs w:val="21"/>
          <w:highlight w:val="none"/>
        </w:rPr>
        <w:t xml:space="preserve">1.3.3 </w:t>
      </w:r>
      <w:r>
        <w:rPr>
          <w:rFonts w:ascii="宋体" w:hAnsi="宋体" w:eastAsia="宋体" w:cs="宋体"/>
          <w:color w:val="auto"/>
          <w:spacing w:val="-2"/>
          <w:position w:val="9"/>
          <w:sz w:val="21"/>
          <w:szCs w:val="21"/>
          <w:highlight w:val="none"/>
        </w:rPr>
        <w:t>本标段的质量要求：见投标人须知前附表。</w:t>
      </w:r>
    </w:p>
    <w:p w14:paraId="304D5423">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1.4 </w:t>
      </w:r>
      <w:r>
        <w:rPr>
          <w:rFonts w:ascii="黑体" w:hAnsi="黑体" w:eastAsia="黑体" w:cs="黑体"/>
          <w:color w:val="auto"/>
          <w:spacing w:val="-2"/>
          <w:sz w:val="24"/>
          <w:szCs w:val="24"/>
          <w:highlight w:val="none"/>
        </w:rPr>
        <w:t>投标人资格要求</w:t>
      </w:r>
    </w:p>
    <w:p w14:paraId="598C2B29">
      <w:pPr>
        <w:spacing w:before="101" w:line="360"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1"/>
          <w:sz w:val="21"/>
          <w:szCs w:val="21"/>
          <w:highlight w:val="none"/>
        </w:rPr>
        <w:t xml:space="preserve">1.4.1 </w:t>
      </w:r>
      <w:r>
        <w:rPr>
          <w:rFonts w:ascii="宋体" w:hAnsi="宋体" w:eastAsia="宋体" w:cs="宋体"/>
          <w:color w:val="auto"/>
          <w:spacing w:val="-2"/>
          <w:position w:val="11"/>
          <w:sz w:val="21"/>
          <w:szCs w:val="21"/>
          <w:highlight w:val="none"/>
        </w:rPr>
        <w:t>投标人应具备承担本标段施工的资质条件、能力和信誉。</w:t>
      </w:r>
    </w:p>
    <w:p w14:paraId="278892D5">
      <w:pPr>
        <w:spacing w:before="1" w:line="219"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）资质条件：见投标人须知前附表；</w:t>
      </w:r>
    </w:p>
    <w:p w14:paraId="579BA31D">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）财务要求：见投标人须知前附表（如有</w:t>
      </w:r>
      <w:r>
        <w:rPr>
          <w:rFonts w:ascii="宋体" w:hAnsi="宋体" w:eastAsia="宋体" w:cs="宋体"/>
          <w:color w:val="auto"/>
          <w:spacing w:val="-15"/>
          <w:sz w:val="21"/>
          <w:szCs w:val="21"/>
          <w:highlight w:val="none"/>
        </w:rPr>
        <w:t>）；</w:t>
      </w:r>
    </w:p>
    <w:p w14:paraId="74977840">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）业绩要求：见投标人须知前附表（如有</w:t>
      </w:r>
      <w:r>
        <w:rPr>
          <w:rFonts w:ascii="宋体" w:hAnsi="宋体" w:eastAsia="宋体" w:cs="宋体"/>
          <w:color w:val="auto"/>
          <w:spacing w:val="-15"/>
          <w:sz w:val="21"/>
          <w:szCs w:val="21"/>
          <w:highlight w:val="none"/>
        </w:rPr>
        <w:t>）；</w:t>
      </w:r>
    </w:p>
    <w:p w14:paraId="2DCFD188">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）信誉要求：见投标人须知前附表；</w:t>
      </w:r>
    </w:p>
    <w:p w14:paraId="24F31D6F">
      <w:pPr>
        <w:spacing w:before="111" w:line="220" w:lineRule="auto"/>
        <w:ind w:left="74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）项目经理资格： 见投标人须知前附表；</w:t>
      </w:r>
    </w:p>
    <w:p w14:paraId="73D758B7">
      <w:pPr>
        <w:spacing w:before="110" w:line="360" w:lineRule="exact"/>
        <w:ind w:left="745"/>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6</w:t>
      </w:r>
      <w:r>
        <w:rPr>
          <w:rFonts w:ascii="宋体" w:hAnsi="宋体" w:eastAsia="宋体" w:cs="宋体"/>
          <w:color w:val="auto"/>
          <w:spacing w:val="-2"/>
          <w:position w:val="11"/>
          <w:sz w:val="21"/>
          <w:szCs w:val="21"/>
          <w:highlight w:val="none"/>
        </w:rPr>
        <w:t>）项目管理机构主要人员要求：见投标人须知前附表；</w:t>
      </w:r>
    </w:p>
    <w:p w14:paraId="06907419">
      <w:pPr>
        <w:spacing w:line="219"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）其他要求：见投标人须知前附表。</w:t>
      </w:r>
    </w:p>
    <w:p w14:paraId="3243B200">
      <w:pPr>
        <w:spacing w:before="111" w:line="268" w:lineRule="auto"/>
        <w:ind w:left="21" w:right="1" w:firstLine="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1.4.2 </w:t>
      </w:r>
      <w:r>
        <w:rPr>
          <w:rFonts w:ascii="宋体" w:hAnsi="宋体" w:eastAsia="宋体" w:cs="宋体"/>
          <w:color w:val="auto"/>
          <w:spacing w:val="-2"/>
          <w:sz w:val="21"/>
          <w:szCs w:val="21"/>
          <w:highlight w:val="none"/>
        </w:rPr>
        <w:t>投标人须知前附表规定接受联合体投标的，除应符合本章第</w:t>
      </w:r>
      <w:r>
        <w:rPr>
          <w:rFonts w:ascii="宋体" w:hAnsi="宋体" w:eastAsia="宋体" w:cs="宋体"/>
          <w:color w:val="auto"/>
          <w:spacing w:val="-1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1.4.1 </w:t>
      </w:r>
      <w:r>
        <w:rPr>
          <w:rFonts w:ascii="宋体" w:hAnsi="宋体" w:eastAsia="宋体" w:cs="宋体"/>
          <w:color w:val="auto"/>
          <w:spacing w:val="-2"/>
          <w:sz w:val="21"/>
          <w:szCs w:val="21"/>
          <w:highlight w:val="none"/>
        </w:rPr>
        <w:t>项和投标人须知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前附表的要求外，还应遵守以下规定：</w:t>
      </w:r>
    </w:p>
    <w:p w14:paraId="6EDBD9A9">
      <w:pPr>
        <w:spacing w:before="109" w:line="269" w:lineRule="auto"/>
        <w:ind w:left="19" w:right="16" w:firstLine="7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）联合体各方应按招标文件提供的格式签订联合体协议书，明确联合体牵头人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和各方权利义务；</w:t>
      </w:r>
    </w:p>
    <w:p w14:paraId="30761AC5">
      <w:pPr>
        <w:spacing w:before="108" w:line="269" w:lineRule="auto"/>
        <w:ind w:left="745" w:right="19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）由同一专业的单位组成的联合体， 按照资质等级较低的单位确定资质等级；</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）联合体各方不得再以自己名义单独或参加其他联合体在同一标段中投标。</w:t>
      </w:r>
    </w:p>
    <w:p w14:paraId="7FB49041">
      <w:pPr>
        <w:spacing w:before="10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投标人不得存在下列情形之一：</w:t>
      </w:r>
    </w:p>
    <w:p w14:paraId="03837FF5">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）为招标人不具有独立法人资格的附属机构（单位</w:t>
      </w:r>
      <w:r>
        <w:rPr>
          <w:rFonts w:ascii="宋体" w:hAnsi="宋体" w:eastAsia="宋体" w:cs="宋体"/>
          <w:color w:val="auto"/>
          <w:spacing w:val="-20"/>
          <w:sz w:val="21"/>
          <w:szCs w:val="21"/>
          <w:highlight w:val="none"/>
        </w:rPr>
        <w:t>）；</w:t>
      </w:r>
    </w:p>
    <w:p w14:paraId="051AFF26">
      <w:pPr>
        <w:spacing w:before="115" w:line="360" w:lineRule="exact"/>
        <w:ind w:left="745"/>
        <w:rPr>
          <w:rFonts w:ascii="宋体" w:hAnsi="宋体" w:eastAsia="宋体" w:cs="宋体"/>
          <w:color w:val="auto"/>
          <w:sz w:val="21"/>
          <w:szCs w:val="21"/>
          <w:highlight w:val="none"/>
        </w:rPr>
      </w:pPr>
      <w:bookmarkStart w:id="70" w:name="bookmark88"/>
      <w:bookmarkEnd w:id="70"/>
      <w:bookmarkStart w:id="71" w:name="bookmark85"/>
      <w:bookmarkEnd w:id="71"/>
      <w:bookmarkStart w:id="72" w:name="bookmark84"/>
      <w:bookmarkEnd w:id="72"/>
      <w:bookmarkStart w:id="73" w:name="bookmark83"/>
      <w:bookmarkEnd w:id="73"/>
      <w:bookmarkStart w:id="74" w:name="bookmark82"/>
      <w:bookmarkEnd w:id="74"/>
      <w:bookmarkStart w:id="75" w:name="bookmark87"/>
      <w:bookmarkEnd w:id="75"/>
      <w:bookmarkStart w:id="76" w:name="bookmark86"/>
      <w:bookmarkEnd w:id="76"/>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2</w:t>
      </w:r>
      <w:r>
        <w:rPr>
          <w:rFonts w:ascii="宋体" w:hAnsi="宋体" w:eastAsia="宋体" w:cs="宋体"/>
          <w:color w:val="auto"/>
          <w:spacing w:val="-1"/>
          <w:position w:val="11"/>
          <w:sz w:val="21"/>
          <w:szCs w:val="21"/>
          <w:highlight w:val="none"/>
        </w:rPr>
        <w:t>）为本标段前期准备提供设计或咨询服务的；</w:t>
      </w:r>
    </w:p>
    <w:p w14:paraId="7664864C">
      <w:pPr>
        <w:spacing w:line="219"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）为本标段的监理人；</w:t>
      </w:r>
    </w:p>
    <w:p w14:paraId="7D7290FC">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）为本标段的代建人；</w:t>
      </w:r>
    </w:p>
    <w:p w14:paraId="12718D56">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）为本标段提供招标代理服务；</w:t>
      </w:r>
    </w:p>
    <w:p w14:paraId="73B3A5DA">
      <w:pPr>
        <w:spacing w:before="109" w:line="270" w:lineRule="auto"/>
        <w:ind w:left="20" w:right="180" w:firstLine="7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）与本标段的监理人或代建人或招标代理机构同为一个法定代表人或单位负责</w:t>
      </w:r>
      <w:r>
        <w:rPr>
          <w:rFonts w:ascii="宋体" w:hAnsi="宋体" w:eastAsia="宋体" w:cs="宋体"/>
          <w:color w:val="auto"/>
          <w:spacing w:val="16"/>
          <w:sz w:val="21"/>
          <w:szCs w:val="21"/>
          <w:highlight w:val="none"/>
        </w:rPr>
        <w:t xml:space="preserve"> </w:t>
      </w:r>
      <w:r>
        <w:rPr>
          <w:rFonts w:ascii="宋体" w:hAnsi="宋体" w:eastAsia="宋体" w:cs="宋体"/>
          <w:color w:val="auto"/>
          <w:spacing w:val="-15"/>
          <w:sz w:val="21"/>
          <w:szCs w:val="21"/>
          <w:highlight w:val="none"/>
        </w:rPr>
        <w:t>人；</w:t>
      </w:r>
    </w:p>
    <w:p w14:paraId="40D7D78F">
      <w:pPr>
        <w:spacing w:before="107" w:line="220" w:lineRule="auto"/>
        <w:ind w:left="7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w:t>
      </w:r>
      <w:r>
        <w:rPr>
          <w:rFonts w:ascii="宋体" w:hAnsi="宋体" w:eastAsia="宋体" w:cs="宋体"/>
          <w:color w:val="auto"/>
          <w:spacing w:val="-2"/>
          <w:sz w:val="21"/>
          <w:szCs w:val="21"/>
          <w:highlight w:val="none"/>
        </w:rPr>
        <w:t>相互控股或参股；</w:t>
      </w:r>
    </w:p>
    <w:p w14:paraId="02A1E53B">
      <w:pPr>
        <w:spacing w:before="109" w:line="269" w:lineRule="auto"/>
        <w:ind w:left="17" w:right="188" w:firstLine="7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8</w:t>
      </w:r>
      <w:r>
        <w:rPr>
          <w:rFonts w:ascii="宋体" w:hAnsi="宋体" w:eastAsia="宋体" w:cs="宋体"/>
          <w:color w:val="auto"/>
          <w:spacing w:val="3"/>
          <w:sz w:val="21"/>
          <w:szCs w:val="21"/>
          <w:highlight w:val="none"/>
        </w:rPr>
        <w:t>）与本标段的监理人或代建人或招标代理机构的法定代表人或单位负责人相互</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任职或工作；</w:t>
      </w:r>
    </w:p>
    <w:p w14:paraId="7824B58D">
      <w:pPr>
        <w:spacing w:before="109" w:line="269" w:lineRule="auto"/>
        <w:ind w:left="20" w:right="180" w:firstLine="7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9</w:t>
      </w:r>
      <w:r>
        <w:rPr>
          <w:rFonts w:ascii="宋体" w:hAnsi="宋体" w:eastAsia="宋体" w:cs="宋体"/>
          <w:color w:val="auto"/>
          <w:spacing w:val="3"/>
          <w:sz w:val="21"/>
          <w:szCs w:val="21"/>
          <w:highlight w:val="none"/>
        </w:rPr>
        <w:t>）单位负责人为同一人或者存在控股、管理关系的不同单位，同时参加本标段</w:t>
      </w:r>
      <w:r>
        <w:rPr>
          <w:rFonts w:ascii="宋体" w:hAnsi="宋体" w:eastAsia="宋体" w:cs="宋体"/>
          <w:color w:val="auto"/>
          <w:spacing w:val="16"/>
          <w:sz w:val="21"/>
          <w:szCs w:val="21"/>
          <w:highlight w:val="none"/>
        </w:rPr>
        <w:t xml:space="preserve"> </w:t>
      </w:r>
      <w:r>
        <w:rPr>
          <w:rFonts w:ascii="宋体" w:hAnsi="宋体" w:eastAsia="宋体" w:cs="宋体"/>
          <w:color w:val="auto"/>
          <w:spacing w:val="-11"/>
          <w:sz w:val="21"/>
          <w:szCs w:val="21"/>
          <w:highlight w:val="none"/>
        </w:rPr>
        <w:t>投标的；</w:t>
      </w:r>
    </w:p>
    <w:p w14:paraId="3F27B03D">
      <w:pPr>
        <w:spacing w:before="107" w:line="285" w:lineRule="auto"/>
        <w:ind w:left="21" w:right="185" w:firstLine="723"/>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10</w:t>
      </w:r>
      <w:r>
        <w:rPr>
          <w:rFonts w:ascii="宋体" w:hAnsi="宋体" w:eastAsia="宋体" w:cs="宋体"/>
          <w:color w:val="auto"/>
          <w:sz w:val="21"/>
          <w:szCs w:val="21"/>
          <w:highlight w:val="none"/>
        </w:rPr>
        <w:t>）被依法暂停或取消投标资格（指被本招标项目所在地县级及以上住房城乡建</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设主管部门或其他行政主管部门暂停或取消投标资格或禁止进入该区</w:t>
      </w:r>
      <w:r>
        <w:rPr>
          <w:rFonts w:ascii="宋体" w:hAnsi="宋体" w:eastAsia="宋体" w:cs="宋体"/>
          <w:color w:val="auto"/>
          <w:spacing w:val="2"/>
          <w:sz w:val="21"/>
          <w:szCs w:val="21"/>
          <w:highlight w:val="none"/>
        </w:rPr>
        <w:t>域建设市场且处于有</w:t>
      </w:r>
      <w:r>
        <w:rPr>
          <w:rFonts w:ascii="宋体" w:hAnsi="宋体" w:eastAsia="宋体" w:cs="宋体"/>
          <w:color w:val="auto"/>
          <w:sz w:val="21"/>
          <w:szCs w:val="21"/>
          <w:highlight w:val="none"/>
        </w:rPr>
        <w:t xml:space="preserve"> </w:t>
      </w:r>
      <w:r>
        <w:rPr>
          <w:rFonts w:ascii="宋体" w:hAnsi="宋体" w:eastAsia="宋体" w:cs="宋体"/>
          <w:color w:val="auto"/>
          <w:spacing w:val="-32"/>
          <w:sz w:val="21"/>
          <w:szCs w:val="21"/>
          <w:highlight w:val="none"/>
        </w:rPr>
        <w:t>效期内</w:t>
      </w:r>
      <w:r>
        <w:rPr>
          <w:rFonts w:ascii="宋体" w:hAnsi="宋体" w:eastAsia="宋体" w:cs="宋体"/>
          <w:color w:val="auto"/>
          <w:spacing w:val="-16"/>
          <w:sz w:val="21"/>
          <w:szCs w:val="21"/>
          <w:highlight w:val="none"/>
        </w:rPr>
        <w:t>）；</w:t>
      </w:r>
    </w:p>
    <w:p w14:paraId="06E30D48">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宋体" w:hAnsi="宋体" w:eastAsia="宋体" w:cs="宋体"/>
          <w:color w:val="auto"/>
          <w:spacing w:val="-2"/>
          <w:sz w:val="21"/>
          <w:szCs w:val="21"/>
          <w:highlight w:val="none"/>
        </w:rPr>
        <w:t>）被责令停产停业、暂扣或者吊销许可证、暂扣或者吊销执照；</w:t>
      </w:r>
    </w:p>
    <w:p w14:paraId="14D971A2">
      <w:pPr>
        <w:spacing w:before="110" w:line="219" w:lineRule="auto"/>
        <w:ind w:left="74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宋体" w:hAnsi="宋体" w:eastAsia="宋体" w:cs="宋体"/>
          <w:color w:val="auto"/>
          <w:spacing w:val="-4"/>
          <w:sz w:val="21"/>
          <w:szCs w:val="21"/>
          <w:highlight w:val="none"/>
        </w:rPr>
        <w:t>）进入清算程序，或被宣告破产， 或其他丧失履约能力的情形；</w:t>
      </w:r>
    </w:p>
    <w:p w14:paraId="56AFF8C1">
      <w:pPr>
        <w:spacing w:before="111" w:line="268" w:lineRule="auto"/>
        <w:ind w:left="23" w:right="189" w:firstLine="721"/>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13</w:t>
      </w:r>
      <w:r>
        <w:rPr>
          <w:rFonts w:ascii="宋体" w:hAnsi="宋体" w:eastAsia="宋体" w:cs="宋体"/>
          <w:color w:val="auto"/>
          <w:sz w:val="21"/>
          <w:szCs w:val="21"/>
          <w:highlight w:val="none"/>
        </w:rPr>
        <w:t>）在最近三年内有骗取中标或严重违约或重大工程质量问题的（以相关行业主</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rPr>
        <w:t>管部门的行政处罚决定或司法机关出具的有关法律文书为准</w:t>
      </w:r>
      <w:r>
        <w:rPr>
          <w:rFonts w:ascii="宋体" w:hAnsi="宋体" w:eastAsia="宋体" w:cs="宋体"/>
          <w:color w:val="auto"/>
          <w:spacing w:val="-14"/>
          <w:sz w:val="21"/>
          <w:szCs w:val="21"/>
          <w:highlight w:val="none"/>
        </w:rPr>
        <w:t>）；</w:t>
      </w:r>
    </w:p>
    <w:p w14:paraId="522919D7">
      <w:pPr>
        <w:spacing w:before="109" w:line="269" w:lineRule="auto"/>
        <w:ind w:left="18" w:right="191" w:firstLine="7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宋体" w:hAnsi="宋体"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宋体" w:hAnsi="宋体" w:eastAsia="宋体" w:cs="宋体"/>
          <w:color w:val="auto"/>
          <w:sz w:val="21"/>
          <w:szCs w:val="21"/>
          <w:highlight w:val="none"/>
        </w:rPr>
        <w:t>）中被列入严重违法失</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信企业名单；</w:t>
      </w:r>
    </w:p>
    <w:p w14:paraId="74B481C1">
      <w:pPr>
        <w:spacing w:before="109" w:line="265" w:lineRule="auto"/>
        <w:ind w:left="24" w:right="76" w:firstLine="7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15</w:t>
      </w:r>
      <w:r>
        <w:rPr>
          <w:rFonts w:ascii="宋体" w:hAnsi="宋体" w:eastAsia="宋体" w:cs="宋体"/>
          <w:color w:val="auto"/>
          <w:spacing w:val="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5"/>
          <w:sz w:val="21"/>
          <w:szCs w:val="21"/>
          <w:highlight w:val="none"/>
        </w:rPr>
        <w:t>）或“中国执行信息公开网”</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被列入</w:t>
      </w:r>
      <w:r>
        <w:rPr>
          <w:rFonts w:ascii="宋体" w:hAnsi="宋体" w:eastAsia="宋体" w:cs="宋体"/>
          <w:color w:val="auto"/>
          <w:spacing w:val="-3"/>
          <w:sz w:val="21"/>
          <w:szCs w:val="21"/>
          <w:highlight w:val="none"/>
        </w:rPr>
        <w:t>失信被执行人名单；</w:t>
      </w:r>
    </w:p>
    <w:p w14:paraId="5E6303B4">
      <w:pPr>
        <w:spacing w:before="118" w:line="268" w:lineRule="auto"/>
        <w:ind w:left="17" w:right="178" w:firstLine="7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16</w:t>
      </w:r>
      <w:r>
        <w:rPr>
          <w:rFonts w:ascii="宋体" w:hAnsi="宋体" w:eastAsia="宋体" w:cs="宋体"/>
          <w:color w:val="auto"/>
          <w:spacing w:val="4"/>
          <w:sz w:val="21"/>
          <w:szCs w:val="21"/>
          <w:highlight w:val="none"/>
        </w:rPr>
        <w:t>）在辽宁省建设工程招投标监督平台</w:t>
      </w:r>
      <w:r>
        <w:rPr>
          <w:rFonts w:ascii="Times New Roman" w:hAnsi="Times New Roman" w:eastAsia="Times New Roman" w:cs="Times New Roman"/>
          <w:color w:val="auto"/>
          <w:spacing w:val="4"/>
          <w:sz w:val="21"/>
          <w:szCs w:val="21"/>
          <w:highlight w:val="none"/>
        </w:rPr>
        <w:t>-</w:t>
      </w:r>
      <w:r>
        <w:rPr>
          <w:rFonts w:ascii="宋体" w:hAnsi="宋体" w:eastAsia="宋体" w:cs="宋体"/>
          <w:color w:val="auto"/>
          <w:spacing w:val="4"/>
          <w:sz w:val="21"/>
          <w:szCs w:val="21"/>
          <w:highlight w:val="none"/>
        </w:rPr>
        <w:t>辽宁建设工程信息网上被列入不良行为</w:t>
      </w:r>
      <w:r>
        <w:rPr>
          <w:rFonts w:ascii="宋体" w:hAnsi="宋体" w:eastAsia="宋体" w:cs="宋体"/>
          <w:color w:val="auto"/>
          <w:spacing w:val="14"/>
          <w:sz w:val="21"/>
          <w:szCs w:val="21"/>
          <w:highlight w:val="none"/>
        </w:rPr>
        <w:t xml:space="preserve"> </w:t>
      </w:r>
      <w:r>
        <w:rPr>
          <w:rFonts w:ascii="宋体" w:hAnsi="宋体" w:eastAsia="宋体" w:cs="宋体"/>
          <w:color w:val="auto"/>
          <w:spacing w:val="-1"/>
          <w:sz w:val="21"/>
          <w:szCs w:val="21"/>
          <w:highlight w:val="none"/>
        </w:rPr>
        <w:t>记录且在公布期内的；</w:t>
      </w:r>
    </w:p>
    <w:p w14:paraId="14712683">
      <w:pPr>
        <w:spacing w:before="110" w:line="336" w:lineRule="exact"/>
        <w:ind w:left="745"/>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w:t>
      </w:r>
      <w:r>
        <w:rPr>
          <w:rFonts w:ascii="Times New Roman" w:hAnsi="Times New Roman" w:eastAsia="Times New Roman" w:cs="Times New Roman"/>
          <w:color w:val="auto"/>
          <w:spacing w:val="-2"/>
          <w:position w:val="9"/>
          <w:sz w:val="21"/>
          <w:szCs w:val="21"/>
          <w:highlight w:val="none"/>
        </w:rPr>
        <w:t>17</w:t>
      </w:r>
      <w:r>
        <w:rPr>
          <w:rFonts w:ascii="宋体" w:hAnsi="宋体" w:eastAsia="宋体" w:cs="宋体"/>
          <w:color w:val="auto"/>
          <w:spacing w:val="-2"/>
          <w:position w:val="9"/>
          <w:sz w:val="21"/>
          <w:szCs w:val="21"/>
          <w:highlight w:val="none"/>
        </w:rPr>
        <w:t>）法律法规规定的其他情形。</w:t>
      </w:r>
    </w:p>
    <w:p w14:paraId="2BCDFBB7">
      <w:pPr>
        <w:spacing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1.5</w:t>
      </w:r>
      <w:r>
        <w:rPr>
          <w:rFonts w:ascii="Times New Roman" w:hAnsi="Times New Roman" w:eastAsia="Times New Roman" w:cs="Times New Roman"/>
          <w:color w:val="auto"/>
          <w:spacing w:val="14"/>
          <w:sz w:val="24"/>
          <w:szCs w:val="24"/>
          <w:highlight w:val="none"/>
        </w:rPr>
        <w:t xml:space="preserve"> </w:t>
      </w:r>
      <w:r>
        <w:rPr>
          <w:rFonts w:ascii="黑体" w:hAnsi="黑体" w:eastAsia="黑体" w:cs="黑体"/>
          <w:color w:val="auto"/>
          <w:spacing w:val="-5"/>
          <w:sz w:val="24"/>
          <w:szCs w:val="24"/>
          <w:highlight w:val="none"/>
        </w:rPr>
        <w:t>费用承担</w:t>
      </w:r>
    </w:p>
    <w:p w14:paraId="4EF6E9ED">
      <w:pPr>
        <w:spacing w:before="100" w:line="335" w:lineRule="exact"/>
        <w:ind w:left="443"/>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投标人准备和参加投标活动发生的费用自理。</w:t>
      </w:r>
    </w:p>
    <w:p w14:paraId="352E0A94">
      <w:pPr>
        <w:spacing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1.6</w:t>
      </w:r>
      <w:r>
        <w:rPr>
          <w:rFonts w:ascii="Times New Roman" w:hAnsi="Times New Roman" w:eastAsia="Times New Roman" w:cs="Times New Roman"/>
          <w:color w:val="auto"/>
          <w:spacing w:val="10"/>
          <w:sz w:val="24"/>
          <w:szCs w:val="24"/>
          <w:highlight w:val="none"/>
        </w:rPr>
        <w:t xml:space="preserve"> </w:t>
      </w:r>
      <w:r>
        <w:rPr>
          <w:rFonts w:ascii="黑体" w:hAnsi="黑体" w:eastAsia="黑体" w:cs="黑体"/>
          <w:color w:val="auto"/>
          <w:spacing w:val="-6"/>
          <w:sz w:val="24"/>
          <w:szCs w:val="24"/>
          <w:highlight w:val="none"/>
        </w:rPr>
        <w:t>保密</w:t>
      </w:r>
    </w:p>
    <w:p w14:paraId="409E1B91">
      <w:pPr>
        <w:spacing w:before="101" w:line="269" w:lineRule="auto"/>
        <w:ind w:left="18" w:right="179"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参与招标投标活动的各方应对招标文件和投标文件中的商业和技术等秘密保密， 违者</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应对由此造成的后果承担法律责任。</w:t>
      </w:r>
    </w:p>
    <w:p w14:paraId="30F30FF6">
      <w:pPr>
        <w:spacing w:before="84"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1.7</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语言文字</w:t>
      </w:r>
    </w:p>
    <w:p w14:paraId="7C91FA8A">
      <w:pPr>
        <w:spacing w:before="99" w:line="255" w:lineRule="auto"/>
        <w:ind w:left="38" w:firstLine="415"/>
        <w:rPr>
          <w:rFonts w:ascii="黑体" w:hAnsi="黑体" w:eastAsia="黑体" w:cs="黑体"/>
          <w:color w:val="auto"/>
          <w:sz w:val="24"/>
          <w:szCs w:val="24"/>
          <w:highlight w:val="none"/>
        </w:rPr>
      </w:pPr>
      <w:r>
        <w:rPr>
          <w:rFonts w:ascii="宋体" w:hAnsi="宋体" w:eastAsia="宋体" w:cs="宋体"/>
          <w:color w:val="auto"/>
          <w:spacing w:val="2"/>
          <w:sz w:val="21"/>
          <w:szCs w:val="21"/>
          <w:highlight w:val="none"/>
        </w:rPr>
        <w:t>除专用术语外，与招标投标有关的语言均使用中文。必要时专用术语应附有</w:t>
      </w:r>
      <w:r>
        <w:rPr>
          <w:rFonts w:ascii="宋体" w:hAnsi="宋体" w:eastAsia="宋体" w:cs="宋体"/>
          <w:color w:val="auto"/>
          <w:spacing w:val="1"/>
          <w:sz w:val="21"/>
          <w:szCs w:val="21"/>
          <w:highlight w:val="none"/>
        </w:rPr>
        <w:t>中文注释。</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1.8</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计量单位</w:t>
      </w:r>
    </w:p>
    <w:p w14:paraId="7ECE4D94">
      <w:pPr>
        <w:spacing w:before="100" w:line="335" w:lineRule="exact"/>
        <w:ind w:left="441"/>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所有计量均采用中华人民共和国法定计量单位。</w:t>
      </w:r>
    </w:p>
    <w:p w14:paraId="14D514C5">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1.9</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踏勘现场</w:t>
      </w:r>
    </w:p>
    <w:p w14:paraId="514C84EA">
      <w:pPr>
        <w:spacing w:before="100" w:line="269" w:lineRule="auto"/>
        <w:ind w:left="18" w:right="2" w:firstLine="43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1.9.1</w:t>
      </w:r>
      <w:r>
        <w:rPr>
          <w:rFonts w:ascii="Times New Roman" w:hAnsi="Times New Roman" w:eastAsia="Times New Roman" w:cs="Times New Roman"/>
          <w:color w:val="auto"/>
          <w:spacing w:val="53"/>
          <w:w w:val="101"/>
          <w:sz w:val="21"/>
          <w:szCs w:val="21"/>
          <w:highlight w:val="none"/>
        </w:rPr>
        <w:t xml:space="preserve"> </w:t>
      </w:r>
      <w:r>
        <w:rPr>
          <w:rFonts w:ascii="宋体" w:hAnsi="宋体" w:eastAsia="宋体" w:cs="宋体"/>
          <w:color w:val="auto"/>
          <w:spacing w:val="-1"/>
          <w:sz w:val="21"/>
          <w:szCs w:val="21"/>
          <w:highlight w:val="none"/>
        </w:rPr>
        <w:t>投标人须知前附表规定组织踏勘现场的，招标人按投标人须知前附表规定的时间、</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地点组织投标人踏勘项目现场。</w:t>
      </w:r>
    </w:p>
    <w:p w14:paraId="2962D13E">
      <w:pPr>
        <w:spacing w:before="10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1.9.2 </w:t>
      </w:r>
      <w:r>
        <w:rPr>
          <w:rFonts w:ascii="宋体" w:hAnsi="宋体" w:eastAsia="宋体" w:cs="宋体"/>
          <w:color w:val="auto"/>
          <w:spacing w:val="-2"/>
          <w:sz w:val="21"/>
          <w:szCs w:val="21"/>
          <w:highlight w:val="none"/>
        </w:rPr>
        <w:t>投标人踏勘现场发生的费用自理。</w:t>
      </w:r>
    </w:p>
    <w:p w14:paraId="0B7CBA33">
      <w:pPr>
        <w:spacing w:before="115" w:line="221" w:lineRule="auto"/>
        <w:jc w:val="right"/>
        <w:rPr>
          <w:rFonts w:ascii="宋体" w:hAnsi="宋体" w:eastAsia="宋体" w:cs="宋体"/>
          <w:color w:val="auto"/>
          <w:sz w:val="21"/>
          <w:szCs w:val="21"/>
          <w:highlight w:val="none"/>
        </w:rPr>
      </w:pPr>
      <w:bookmarkStart w:id="77" w:name="bookmark89"/>
      <w:bookmarkEnd w:id="77"/>
      <w:r>
        <w:rPr>
          <w:rFonts w:ascii="Times New Roman" w:hAnsi="Times New Roman" w:eastAsia="Times New Roman" w:cs="Times New Roman"/>
          <w:color w:val="auto"/>
          <w:spacing w:val="-1"/>
          <w:sz w:val="21"/>
          <w:szCs w:val="21"/>
          <w:highlight w:val="none"/>
        </w:rPr>
        <w:t>1.9.3</w:t>
      </w:r>
      <w:r>
        <w:rPr>
          <w:rFonts w:ascii="Times New Roman" w:hAnsi="Times New Roman" w:eastAsia="Times New Roman" w:cs="Times New Roman"/>
          <w:color w:val="auto"/>
          <w:spacing w:val="53"/>
          <w:w w:val="101"/>
          <w:sz w:val="21"/>
          <w:szCs w:val="21"/>
          <w:highlight w:val="none"/>
        </w:rPr>
        <w:t xml:space="preserve"> </w:t>
      </w:r>
      <w:r>
        <w:rPr>
          <w:rFonts w:ascii="宋体" w:hAnsi="宋体" w:eastAsia="宋体" w:cs="宋体"/>
          <w:color w:val="auto"/>
          <w:spacing w:val="-1"/>
          <w:sz w:val="21"/>
          <w:szCs w:val="21"/>
          <w:highlight w:val="none"/>
        </w:rPr>
        <w:t>除招标人的原因外，投标人自行负责在踏勘现场中所发生的人员伤亡和财产损失。</w:t>
      </w:r>
    </w:p>
    <w:p w14:paraId="2B5DA51C">
      <w:pPr>
        <w:spacing w:before="108"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1.9.4</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z w:val="21"/>
          <w:szCs w:val="21"/>
          <w:highlight w:val="none"/>
        </w:rPr>
        <w:t>招标人在踏勘现场中介绍的工程场地和相关的周边环境情况，供投标人在编制投</w:t>
      </w:r>
    </w:p>
    <w:p w14:paraId="09C4B6FA">
      <w:pPr>
        <w:spacing w:before="109" w:line="336" w:lineRule="exact"/>
        <w:ind w:left="19"/>
        <w:rPr>
          <w:rFonts w:ascii="宋体" w:hAnsi="宋体" w:eastAsia="宋体" w:cs="宋体"/>
          <w:color w:val="auto"/>
          <w:sz w:val="21"/>
          <w:szCs w:val="21"/>
          <w:highlight w:val="none"/>
        </w:rPr>
      </w:pPr>
      <w:r>
        <w:rPr>
          <w:rFonts w:ascii="宋体" w:hAnsi="宋体" w:eastAsia="宋体" w:cs="宋体"/>
          <w:color w:val="auto"/>
          <w:spacing w:val="-1"/>
          <w:position w:val="9"/>
          <w:sz w:val="21"/>
          <w:szCs w:val="21"/>
          <w:highlight w:val="none"/>
        </w:rPr>
        <w:t>标文件时参考，招标人不对投标人据此作出的判断和决策</w:t>
      </w:r>
      <w:r>
        <w:rPr>
          <w:rFonts w:ascii="宋体" w:hAnsi="宋体" w:eastAsia="宋体" w:cs="宋体"/>
          <w:color w:val="auto"/>
          <w:spacing w:val="-2"/>
          <w:position w:val="9"/>
          <w:sz w:val="21"/>
          <w:szCs w:val="21"/>
          <w:highlight w:val="none"/>
        </w:rPr>
        <w:t>负责。</w:t>
      </w:r>
    </w:p>
    <w:p w14:paraId="41D09D8B">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1.10 </w:t>
      </w:r>
      <w:r>
        <w:rPr>
          <w:rFonts w:ascii="黑体" w:hAnsi="黑体" w:eastAsia="黑体" w:cs="黑体"/>
          <w:color w:val="auto"/>
          <w:spacing w:val="-3"/>
          <w:sz w:val="24"/>
          <w:szCs w:val="24"/>
          <w:highlight w:val="none"/>
        </w:rPr>
        <w:t>投标预备会</w:t>
      </w:r>
    </w:p>
    <w:p w14:paraId="67E8B5DC">
      <w:pPr>
        <w:spacing w:before="100" w:line="268" w:lineRule="auto"/>
        <w:ind w:left="28" w:right="183" w:firstLine="429"/>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1.10.1</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pacing w:val="3"/>
          <w:sz w:val="21"/>
          <w:szCs w:val="21"/>
          <w:highlight w:val="none"/>
        </w:rPr>
        <w:t>投标人须知前附表规定召开投标预备会的</w:t>
      </w:r>
      <w:r>
        <w:rPr>
          <w:rFonts w:ascii="宋体" w:hAnsi="宋体" w:eastAsia="宋体" w:cs="宋体"/>
          <w:color w:val="auto"/>
          <w:spacing w:val="2"/>
          <w:sz w:val="21"/>
          <w:szCs w:val="21"/>
          <w:highlight w:val="none"/>
        </w:rPr>
        <w:t>，招标人按投标人须知前附表规定的</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时间和地点召开投标预备会， 澄清投标人提出的问题。</w:t>
      </w:r>
    </w:p>
    <w:p w14:paraId="3E7EEB49">
      <w:pPr>
        <w:spacing w:before="110" w:line="268" w:lineRule="auto"/>
        <w:ind w:left="19" w:right="183" w:firstLine="438"/>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1.10.2</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3"/>
          <w:sz w:val="21"/>
          <w:szCs w:val="21"/>
          <w:highlight w:val="none"/>
        </w:rPr>
        <w:t>在投标人须知前附表规定的时间前，投标人应通过</w:t>
      </w:r>
      <w:r>
        <w:rPr>
          <w:rFonts w:ascii="宋体" w:hAnsi="宋体" w:eastAsia="宋体" w:cs="宋体"/>
          <w:color w:val="auto"/>
          <w:spacing w:val="2"/>
          <w:sz w:val="21"/>
          <w:szCs w:val="21"/>
          <w:highlight w:val="none"/>
        </w:rPr>
        <w:t>电子交易系统以书面形式将</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提出的问题送达招标人，以便招标人在会议期间澄清。</w:t>
      </w:r>
    </w:p>
    <w:p w14:paraId="77048A92">
      <w:pPr>
        <w:spacing w:before="109" w:line="285" w:lineRule="auto"/>
        <w:ind w:left="17" w:right="174" w:firstLine="440"/>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1.10.3</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pacing w:val="-5"/>
          <w:sz w:val="21"/>
          <w:szCs w:val="21"/>
          <w:highlight w:val="none"/>
        </w:rPr>
        <w:t xml:space="preserve">投标预备会后，招标人在本章第 </w:t>
      </w:r>
      <w:r>
        <w:rPr>
          <w:rFonts w:ascii="Times New Roman" w:hAnsi="Times New Roman" w:eastAsia="Times New Roman" w:cs="Times New Roman"/>
          <w:color w:val="auto"/>
          <w:spacing w:val="-5"/>
          <w:sz w:val="21"/>
          <w:szCs w:val="21"/>
          <w:highlight w:val="none"/>
        </w:rPr>
        <w:t>2.2.2</w:t>
      </w:r>
      <w:r>
        <w:rPr>
          <w:rFonts w:ascii="Times New Roman" w:hAnsi="Times New Roman" w:eastAsia="Times New Roman" w:cs="Times New Roman"/>
          <w:color w:val="auto"/>
          <w:spacing w:val="21"/>
          <w:w w:val="101"/>
          <w:sz w:val="21"/>
          <w:szCs w:val="21"/>
          <w:highlight w:val="none"/>
        </w:rPr>
        <w:t xml:space="preserve"> </w:t>
      </w:r>
      <w:r>
        <w:rPr>
          <w:rFonts w:ascii="宋体" w:hAnsi="宋体" w:eastAsia="宋体" w:cs="宋体"/>
          <w:color w:val="auto"/>
          <w:spacing w:val="-5"/>
          <w:sz w:val="21"/>
          <w:szCs w:val="21"/>
          <w:highlight w:val="none"/>
        </w:rPr>
        <w:t>项规定的时间内，</w:t>
      </w:r>
      <w:r>
        <w:rPr>
          <w:rFonts w:ascii="宋体" w:hAnsi="宋体" w:eastAsia="宋体" w:cs="宋体"/>
          <w:color w:val="auto"/>
          <w:spacing w:val="49"/>
          <w:sz w:val="21"/>
          <w:szCs w:val="21"/>
          <w:highlight w:val="none"/>
        </w:rPr>
        <w:t xml:space="preserve"> </w:t>
      </w:r>
      <w:r>
        <w:rPr>
          <w:rFonts w:ascii="宋体" w:hAnsi="宋体" w:eastAsia="宋体" w:cs="宋体"/>
          <w:color w:val="auto"/>
          <w:spacing w:val="-5"/>
          <w:sz w:val="21"/>
          <w:szCs w:val="21"/>
          <w:highlight w:val="none"/>
        </w:rPr>
        <w:t>将对投标人所提问题的</w:t>
      </w:r>
      <w:r>
        <w:rPr>
          <w:rFonts w:ascii="宋体" w:hAnsi="宋体" w:eastAsia="宋体" w:cs="宋体"/>
          <w:color w:val="auto"/>
          <w:sz w:val="21"/>
          <w:szCs w:val="21"/>
          <w:highlight w:val="none"/>
        </w:rPr>
        <w:t xml:space="preserve"> 澄清， 以书面形式通过法定公告公示信息发布媒介、电子交易系统（投标盲盒工具）等渠</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道通知所有下载招标文件的投标人。该澄清内容为招标文件的组成部分。</w:t>
      </w:r>
    </w:p>
    <w:p w14:paraId="1B04B57B">
      <w:pPr>
        <w:spacing w:before="84"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8"/>
          <w:sz w:val="24"/>
          <w:szCs w:val="24"/>
          <w:highlight w:val="none"/>
        </w:rPr>
        <w:t>1.11</w:t>
      </w:r>
      <w:r>
        <w:rPr>
          <w:rFonts w:ascii="Times New Roman" w:hAnsi="Times New Roman" w:eastAsia="Times New Roman" w:cs="Times New Roman"/>
          <w:color w:val="auto"/>
          <w:spacing w:val="22"/>
          <w:sz w:val="24"/>
          <w:szCs w:val="24"/>
          <w:highlight w:val="none"/>
        </w:rPr>
        <w:t xml:space="preserve"> </w:t>
      </w:r>
      <w:r>
        <w:rPr>
          <w:rFonts w:ascii="黑体" w:hAnsi="黑体" w:eastAsia="黑体" w:cs="黑体"/>
          <w:color w:val="auto"/>
          <w:spacing w:val="-8"/>
          <w:sz w:val="24"/>
          <w:szCs w:val="24"/>
          <w:highlight w:val="none"/>
        </w:rPr>
        <w:t>分包</w:t>
      </w:r>
    </w:p>
    <w:p w14:paraId="45605FE7">
      <w:pPr>
        <w:spacing w:before="100" w:line="268" w:lineRule="auto"/>
        <w:ind w:left="20" w:right="177"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投标人拟在中标后将中标项目的部分非主体、非关键性工作进行分包的，应符合投标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人须知前附表规定的分包内容、分包金额和接受分包的第三人资质要求等限制性条件。</w:t>
      </w:r>
    </w:p>
    <w:p w14:paraId="26905923">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1.12</w:t>
      </w:r>
      <w:r>
        <w:rPr>
          <w:rFonts w:ascii="Times New Roman" w:hAnsi="Times New Roman" w:eastAsia="Times New Roman" w:cs="Times New Roman"/>
          <w:color w:val="auto"/>
          <w:spacing w:val="16"/>
          <w:sz w:val="24"/>
          <w:szCs w:val="24"/>
          <w:highlight w:val="none"/>
        </w:rPr>
        <w:t xml:space="preserve"> </w:t>
      </w:r>
      <w:r>
        <w:rPr>
          <w:rFonts w:ascii="黑体" w:hAnsi="黑体" w:eastAsia="黑体" w:cs="黑体"/>
          <w:color w:val="auto"/>
          <w:spacing w:val="-6"/>
          <w:sz w:val="24"/>
          <w:szCs w:val="24"/>
          <w:highlight w:val="none"/>
        </w:rPr>
        <w:t>偏离</w:t>
      </w:r>
    </w:p>
    <w:p w14:paraId="59E68299">
      <w:pPr>
        <w:spacing w:before="99" w:line="268" w:lineRule="auto"/>
        <w:ind w:left="23" w:right="177"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投标人须知前附表允许投标文件偏离招标文件某些要求的， 偏离应当符合招标文件规</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定的偏离范围和幅度。</w:t>
      </w:r>
    </w:p>
    <w:p w14:paraId="1F74344E">
      <w:pPr>
        <w:spacing w:before="153" w:line="225" w:lineRule="auto"/>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4"/>
          <w:sz w:val="27"/>
          <w:szCs w:val="27"/>
          <w:highlight w:val="none"/>
        </w:rPr>
        <w:t>2.</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4"/>
          <w:sz w:val="27"/>
          <w:szCs w:val="27"/>
          <w:highlight w:val="none"/>
        </w:rPr>
        <w:t>招标文件</w:t>
      </w:r>
    </w:p>
    <w:p w14:paraId="7370370E">
      <w:pPr>
        <w:spacing w:before="65"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2.1 </w:t>
      </w:r>
      <w:r>
        <w:rPr>
          <w:rFonts w:ascii="黑体" w:hAnsi="黑体" w:eastAsia="黑体" w:cs="黑体"/>
          <w:color w:val="auto"/>
          <w:sz w:val="24"/>
          <w:szCs w:val="24"/>
          <w:highlight w:val="none"/>
        </w:rPr>
        <w:t>招标文件的组成</w:t>
      </w:r>
    </w:p>
    <w:p w14:paraId="683533F5">
      <w:pPr>
        <w:spacing w:before="100" w:line="220" w:lineRule="auto"/>
        <w:ind w:left="1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2.1.1 </w:t>
      </w:r>
      <w:r>
        <w:rPr>
          <w:rFonts w:ascii="宋体" w:hAnsi="宋体" w:eastAsia="宋体" w:cs="宋体"/>
          <w:color w:val="auto"/>
          <w:spacing w:val="-3"/>
          <w:sz w:val="21"/>
          <w:szCs w:val="21"/>
          <w:highlight w:val="none"/>
        </w:rPr>
        <w:t>本招标文件包括：</w:t>
      </w:r>
    </w:p>
    <w:p w14:paraId="3C7F9EF4">
      <w:pPr>
        <w:spacing w:before="110" w:line="360"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1</w:t>
      </w:r>
      <w:r>
        <w:rPr>
          <w:rFonts w:ascii="宋体" w:hAnsi="宋体" w:eastAsia="宋体" w:cs="宋体"/>
          <w:color w:val="auto"/>
          <w:spacing w:val="-1"/>
          <w:position w:val="11"/>
          <w:sz w:val="21"/>
          <w:szCs w:val="21"/>
          <w:highlight w:val="none"/>
        </w:rPr>
        <w:t>）招标公告（或投标邀请书</w:t>
      </w:r>
      <w:r>
        <w:rPr>
          <w:rFonts w:ascii="宋体" w:hAnsi="宋体" w:eastAsia="宋体" w:cs="宋体"/>
          <w:color w:val="auto"/>
          <w:spacing w:val="-54"/>
          <w:w w:val="97"/>
          <w:position w:val="11"/>
          <w:sz w:val="21"/>
          <w:szCs w:val="21"/>
          <w:highlight w:val="none"/>
        </w:rPr>
        <w:t>）；</w:t>
      </w:r>
    </w:p>
    <w:p w14:paraId="680CC122">
      <w:pPr>
        <w:spacing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）投标人须知；</w:t>
      </w:r>
    </w:p>
    <w:p w14:paraId="737FC321">
      <w:pPr>
        <w:spacing w:before="108"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）评标办法；</w:t>
      </w:r>
    </w:p>
    <w:p w14:paraId="6A28E27C">
      <w:pPr>
        <w:spacing w:before="109" w:line="360"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宋体" w:hAnsi="宋体" w:eastAsia="宋体" w:cs="宋体"/>
          <w:color w:val="auto"/>
          <w:spacing w:val="-1"/>
          <w:position w:val="11"/>
          <w:sz w:val="21"/>
          <w:szCs w:val="21"/>
          <w:highlight w:val="none"/>
        </w:rPr>
        <w:t>）合同条款及格式；</w:t>
      </w:r>
    </w:p>
    <w:p w14:paraId="61A05F83">
      <w:pPr>
        <w:spacing w:before="1" w:line="221"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）工程量清单；</w:t>
      </w:r>
    </w:p>
    <w:p w14:paraId="463C586D">
      <w:pPr>
        <w:spacing w:before="108" w:line="222" w:lineRule="auto"/>
        <w:ind w:left="38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宋体" w:hAnsi="宋体" w:eastAsia="宋体" w:cs="宋体"/>
          <w:color w:val="auto"/>
          <w:spacing w:val="-8"/>
          <w:sz w:val="21"/>
          <w:szCs w:val="21"/>
          <w:highlight w:val="none"/>
        </w:rPr>
        <w:t>）图纸；</w:t>
      </w:r>
    </w:p>
    <w:p w14:paraId="5607596B">
      <w:pPr>
        <w:spacing w:before="107" w:line="361"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7</w:t>
      </w:r>
      <w:r>
        <w:rPr>
          <w:rFonts w:ascii="宋体" w:hAnsi="宋体" w:eastAsia="宋体" w:cs="宋体"/>
          <w:color w:val="auto"/>
          <w:spacing w:val="-1"/>
          <w:position w:val="11"/>
          <w:sz w:val="21"/>
          <w:szCs w:val="21"/>
          <w:highlight w:val="none"/>
        </w:rPr>
        <w:t>）技术标准和要求；</w:t>
      </w:r>
    </w:p>
    <w:p w14:paraId="1B27CA62">
      <w:pPr>
        <w:spacing w:before="1" w:line="220"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8</w:t>
      </w:r>
      <w:r>
        <w:rPr>
          <w:rFonts w:ascii="宋体" w:hAnsi="宋体" w:eastAsia="宋体" w:cs="宋体"/>
          <w:color w:val="auto"/>
          <w:spacing w:val="-5"/>
          <w:sz w:val="21"/>
          <w:szCs w:val="21"/>
          <w:highlight w:val="none"/>
        </w:rPr>
        <w:t>）投标文件格式；</w:t>
      </w:r>
    </w:p>
    <w:p w14:paraId="58CE4D20">
      <w:pPr>
        <w:spacing w:before="108" w:line="220" w:lineRule="auto"/>
        <w:ind w:left="38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宋体" w:hAnsi="宋体" w:eastAsia="宋体" w:cs="宋体"/>
          <w:color w:val="auto"/>
          <w:spacing w:val="-1"/>
          <w:sz w:val="21"/>
          <w:szCs w:val="21"/>
          <w:highlight w:val="none"/>
        </w:rPr>
        <w:t>）投标人须知前附表规定的其他材料。</w:t>
      </w:r>
    </w:p>
    <w:p w14:paraId="349475F7">
      <w:pPr>
        <w:spacing w:before="109" w:line="269" w:lineRule="auto"/>
        <w:ind w:left="35" w:right="174" w:firstLine="40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根据本章第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1.10 </w:t>
      </w:r>
      <w:r>
        <w:rPr>
          <w:rFonts w:ascii="宋体" w:hAnsi="宋体" w:eastAsia="宋体" w:cs="宋体"/>
          <w:color w:val="auto"/>
          <w:spacing w:val="-5"/>
          <w:sz w:val="21"/>
          <w:szCs w:val="21"/>
          <w:highlight w:val="none"/>
        </w:rPr>
        <w:t>款、</w:t>
      </w:r>
      <w:r>
        <w:rPr>
          <w:rFonts w:ascii="宋体" w:hAnsi="宋体" w:eastAsia="宋体" w:cs="宋体"/>
          <w:color w:val="auto"/>
          <w:spacing w:val="-32"/>
          <w:sz w:val="21"/>
          <w:szCs w:val="21"/>
          <w:highlight w:val="none"/>
        </w:rPr>
        <w:t xml:space="preserve"> </w:t>
      </w:r>
      <w:r>
        <w:rPr>
          <w:rFonts w:ascii="宋体" w:hAnsi="宋体" w:eastAsia="宋体" w:cs="宋体"/>
          <w:color w:val="auto"/>
          <w:spacing w:val="-5"/>
          <w:sz w:val="21"/>
          <w:szCs w:val="21"/>
          <w:highlight w:val="none"/>
        </w:rPr>
        <w:t>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2.2 </w:t>
      </w:r>
      <w:r>
        <w:rPr>
          <w:rFonts w:ascii="宋体" w:hAnsi="宋体" w:eastAsia="宋体" w:cs="宋体"/>
          <w:color w:val="auto"/>
          <w:spacing w:val="-5"/>
          <w:sz w:val="21"/>
          <w:szCs w:val="21"/>
          <w:highlight w:val="none"/>
        </w:rPr>
        <w:t>款和第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5"/>
          <w:sz w:val="21"/>
          <w:szCs w:val="21"/>
          <w:highlight w:val="none"/>
        </w:rPr>
        <w:t>2.</w:t>
      </w:r>
      <w:r>
        <w:rPr>
          <w:rFonts w:ascii="Times New Roman" w:hAnsi="Times New Roman" w:eastAsia="Times New Roman" w:cs="Times New Roman"/>
          <w:color w:val="auto"/>
          <w:spacing w:val="-6"/>
          <w:sz w:val="21"/>
          <w:szCs w:val="21"/>
          <w:highlight w:val="none"/>
        </w:rPr>
        <w:t xml:space="preserve">3 </w:t>
      </w:r>
      <w:r>
        <w:rPr>
          <w:rFonts w:ascii="宋体" w:hAnsi="宋体" w:eastAsia="宋体" w:cs="宋体"/>
          <w:color w:val="auto"/>
          <w:spacing w:val="-6"/>
          <w:sz w:val="21"/>
          <w:szCs w:val="21"/>
          <w:highlight w:val="none"/>
        </w:rPr>
        <w:t>款对招标文件所作的澄清、修改， 构成招标文件</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的组成部分。</w:t>
      </w:r>
    </w:p>
    <w:p w14:paraId="7BFC7DCF">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2.2 </w:t>
      </w:r>
      <w:r>
        <w:rPr>
          <w:rFonts w:ascii="黑体" w:hAnsi="黑体" w:eastAsia="黑体" w:cs="黑体"/>
          <w:color w:val="auto"/>
          <w:sz w:val="24"/>
          <w:szCs w:val="24"/>
          <w:highlight w:val="none"/>
        </w:rPr>
        <w:t>招标文件的澄清</w:t>
      </w:r>
    </w:p>
    <w:p w14:paraId="41AF4CE5">
      <w:pPr>
        <w:spacing w:before="99" w:line="293" w:lineRule="auto"/>
        <w:ind w:left="19" w:right="173" w:firstLine="41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2.2.1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投标人应仔细阅读和检查招标文件的全部内容</w:t>
      </w:r>
      <w:r>
        <w:rPr>
          <w:rFonts w:ascii="宋体" w:hAnsi="宋体" w:eastAsia="宋体" w:cs="宋体"/>
          <w:color w:val="auto"/>
          <w:sz w:val="21"/>
          <w:szCs w:val="21"/>
          <w:highlight w:val="none"/>
        </w:rPr>
        <w:t xml:space="preserve">。如发现缺页或附件不全，应及时 </w:t>
      </w:r>
      <w:r>
        <w:rPr>
          <w:rFonts w:ascii="宋体" w:hAnsi="宋体" w:eastAsia="宋体" w:cs="宋体"/>
          <w:color w:val="auto"/>
          <w:spacing w:val="1"/>
          <w:sz w:val="21"/>
          <w:szCs w:val="21"/>
          <w:highlight w:val="none"/>
        </w:rPr>
        <w:t>向招标人提出，以便补齐。</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如有疑问，应在投标人须知前附表规定的时</w:t>
      </w:r>
      <w:r>
        <w:rPr>
          <w:rFonts w:ascii="宋体" w:hAnsi="宋体" w:eastAsia="宋体" w:cs="宋体"/>
          <w:color w:val="auto"/>
          <w:sz w:val="21"/>
          <w:szCs w:val="21"/>
          <w:highlight w:val="none"/>
        </w:rPr>
        <w:t xml:space="preserve">间前，通过法定公 </w:t>
      </w:r>
      <w:r>
        <w:rPr>
          <w:rFonts w:ascii="宋体" w:hAnsi="宋体" w:eastAsia="宋体" w:cs="宋体"/>
          <w:color w:val="auto"/>
          <w:spacing w:val="-1"/>
          <w:sz w:val="21"/>
          <w:szCs w:val="21"/>
          <w:highlight w:val="none"/>
        </w:rPr>
        <w:t>告公示信息发布媒介、电子交易系统（投标盲盒工具）</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等渠道以书面形式要求招标人对招</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标文件予以澄清。</w:t>
      </w:r>
    </w:p>
    <w:p w14:paraId="4513A045">
      <w:pPr>
        <w:spacing w:before="110" w:line="268" w:lineRule="auto"/>
        <w:ind w:left="19" w:right="2"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2.2.2</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z w:val="21"/>
          <w:szCs w:val="21"/>
          <w:highlight w:val="none"/>
        </w:rPr>
        <w:t>招标人对招标文件的澄清通过法定公告公示信息发布媒介、电子交易系统（投标  盲盒工具）</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等渠道以书面形式发给所有下载招标文件的投标人，但不指明澄清问题的来源。</w:t>
      </w:r>
      <w:bookmarkStart w:id="78" w:name="bookmark90"/>
      <w:bookmarkEnd w:id="78"/>
      <w:r>
        <w:rPr>
          <w:rFonts w:ascii="宋体" w:hAnsi="宋体" w:eastAsia="宋体" w:cs="宋体"/>
          <w:color w:val="auto"/>
          <w:spacing w:val="-3"/>
          <w:sz w:val="21"/>
          <w:szCs w:val="21"/>
          <w:highlight w:val="none"/>
        </w:rPr>
        <w:t xml:space="preserve">如果澄清通知发出的时间距投标人须知前附表第 </w:t>
      </w:r>
      <w:r>
        <w:rPr>
          <w:rFonts w:ascii="Times New Roman" w:hAnsi="Times New Roman" w:eastAsia="Times New Roman" w:cs="Times New Roman"/>
          <w:color w:val="auto"/>
          <w:spacing w:val="-3"/>
          <w:sz w:val="21"/>
          <w:szCs w:val="21"/>
          <w:highlight w:val="none"/>
        </w:rPr>
        <w:t>4.2.1</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3"/>
          <w:sz w:val="21"/>
          <w:szCs w:val="21"/>
          <w:highlight w:val="none"/>
        </w:rPr>
        <w:t xml:space="preserve">项规定的投标截止时间不足 </w:t>
      </w:r>
      <w:r>
        <w:rPr>
          <w:rFonts w:ascii="Times New Roman" w:hAnsi="Times New Roman" w:eastAsia="Times New Roman" w:cs="Times New Roman"/>
          <w:color w:val="auto"/>
          <w:spacing w:val="-3"/>
          <w:sz w:val="21"/>
          <w:szCs w:val="21"/>
          <w:highlight w:val="none"/>
        </w:rPr>
        <w:t xml:space="preserve">15  </w:t>
      </w:r>
      <w:r>
        <w:rPr>
          <w:rFonts w:ascii="宋体" w:hAnsi="宋体" w:eastAsia="宋体" w:cs="宋体"/>
          <w:color w:val="auto"/>
          <w:spacing w:val="-3"/>
          <w:sz w:val="21"/>
          <w:szCs w:val="21"/>
          <w:highlight w:val="none"/>
        </w:rPr>
        <w:t>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并且澄清的内容确实影响投标文件编制的，应当相应延长投标截止时间。</w:t>
      </w:r>
    </w:p>
    <w:p w14:paraId="6F765E00">
      <w:pPr>
        <w:spacing w:before="108" w:line="285" w:lineRule="auto"/>
        <w:ind w:left="16" w:right="163"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2.2.3</w:t>
      </w:r>
      <w:r>
        <w:rPr>
          <w:rFonts w:ascii="Times New Roman" w:hAnsi="Times New Roman" w:eastAsia="Times New Roman" w:cs="Times New Roman"/>
          <w:color w:val="auto"/>
          <w:spacing w:val="58"/>
          <w:w w:val="101"/>
          <w:sz w:val="21"/>
          <w:szCs w:val="21"/>
          <w:highlight w:val="none"/>
        </w:rPr>
        <w:t xml:space="preserve"> </w:t>
      </w:r>
      <w:r>
        <w:rPr>
          <w:rFonts w:ascii="宋体" w:hAnsi="宋体" w:eastAsia="宋体" w:cs="宋体"/>
          <w:color w:val="auto"/>
          <w:sz w:val="21"/>
          <w:szCs w:val="21"/>
          <w:highlight w:val="none"/>
        </w:rPr>
        <w:t xml:space="preserve">投标人应实时自行关注法定公告公示信息发布媒介、电子交易系统（投标盲盒工 </w:t>
      </w:r>
      <w:r>
        <w:rPr>
          <w:rFonts w:ascii="宋体" w:hAnsi="宋体" w:eastAsia="宋体" w:cs="宋体"/>
          <w:color w:val="auto"/>
          <w:spacing w:val="1"/>
          <w:sz w:val="21"/>
          <w:szCs w:val="21"/>
          <w:highlight w:val="none"/>
        </w:rPr>
        <w:t>具）</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等渠道上发出的澄清通知，因投标人自身原因未及时获知澄清内容而导致的任何后果</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将由投标人自行承担。</w:t>
      </w:r>
    </w:p>
    <w:p w14:paraId="21898975">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2.3 </w:t>
      </w:r>
      <w:r>
        <w:rPr>
          <w:rFonts w:ascii="黑体" w:hAnsi="黑体" w:eastAsia="黑体" w:cs="黑体"/>
          <w:color w:val="auto"/>
          <w:sz w:val="24"/>
          <w:szCs w:val="24"/>
          <w:highlight w:val="none"/>
        </w:rPr>
        <w:t>招标文件的修改</w:t>
      </w:r>
    </w:p>
    <w:p w14:paraId="1806F055">
      <w:pPr>
        <w:spacing w:before="98" w:line="293" w:lineRule="auto"/>
        <w:ind w:left="18" w:right="161" w:firstLine="419"/>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2.3.1</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1"/>
          <w:sz w:val="21"/>
          <w:szCs w:val="21"/>
          <w:highlight w:val="none"/>
        </w:rPr>
        <w:t>招标人可以书面形式修改招标文件，并通过法定公告公示信</w:t>
      </w:r>
      <w:r>
        <w:rPr>
          <w:rFonts w:ascii="宋体" w:hAnsi="宋体" w:eastAsia="宋体" w:cs="宋体"/>
          <w:color w:val="auto"/>
          <w:sz w:val="21"/>
          <w:szCs w:val="21"/>
          <w:highlight w:val="none"/>
        </w:rPr>
        <w:t xml:space="preserve">息发布媒介、电子交 </w:t>
      </w:r>
      <w:r>
        <w:rPr>
          <w:rFonts w:ascii="宋体" w:hAnsi="宋体" w:eastAsia="宋体" w:cs="宋体"/>
          <w:color w:val="auto"/>
          <w:spacing w:val="3"/>
          <w:sz w:val="21"/>
          <w:szCs w:val="21"/>
          <w:highlight w:val="none"/>
        </w:rPr>
        <w:t>易系统（投标盲盒工具）等渠道通知所有已下载招标文件的投标人。如果修改通</w:t>
      </w:r>
      <w:r>
        <w:rPr>
          <w:rFonts w:ascii="宋体" w:hAnsi="宋体" w:eastAsia="宋体" w:cs="宋体"/>
          <w:color w:val="auto"/>
          <w:spacing w:val="2"/>
          <w:sz w:val="21"/>
          <w:szCs w:val="21"/>
          <w:highlight w:val="none"/>
        </w:rPr>
        <w:t>知发出的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时间距投标人须知前附表第 </w:t>
      </w:r>
      <w:r>
        <w:rPr>
          <w:rFonts w:ascii="Times New Roman" w:hAnsi="Times New Roman" w:eastAsia="Times New Roman" w:cs="Times New Roman"/>
          <w:color w:val="auto"/>
          <w:spacing w:val="-1"/>
          <w:sz w:val="21"/>
          <w:szCs w:val="21"/>
          <w:highlight w:val="none"/>
        </w:rPr>
        <w:t>4.2.1</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1"/>
          <w:sz w:val="21"/>
          <w:szCs w:val="21"/>
          <w:highlight w:val="none"/>
        </w:rPr>
        <w:t>项规定</w:t>
      </w:r>
      <w:r>
        <w:rPr>
          <w:rFonts w:ascii="宋体" w:hAnsi="宋体" w:eastAsia="宋体" w:cs="宋体"/>
          <w:color w:val="auto"/>
          <w:spacing w:val="-2"/>
          <w:sz w:val="21"/>
          <w:szCs w:val="21"/>
          <w:highlight w:val="none"/>
        </w:rPr>
        <w:t xml:space="preserve">的投标截止时间不足 </w:t>
      </w:r>
      <w:r>
        <w:rPr>
          <w:rFonts w:ascii="Times New Roman" w:hAnsi="Times New Roman" w:eastAsia="Times New Roman" w:cs="Times New Roman"/>
          <w:color w:val="auto"/>
          <w:spacing w:val="-2"/>
          <w:sz w:val="21"/>
          <w:szCs w:val="21"/>
          <w:highlight w:val="none"/>
        </w:rPr>
        <w:t xml:space="preserve">15  </w:t>
      </w:r>
      <w:r>
        <w:rPr>
          <w:rFonts w:ascii="宋体" w:hAnsi="宋体" w:eastAsia="宋体" w:cs="宋体"/>
          <w:color w:val="auto"/>
          <w:spacing w:val="-2"/>
          <w:sz w:val="21"/>
          <w:szCs w:val="21"/>
          <w:highlight w:val="none"/>
        </w:rPr>
        <w:t>日，并且修改的内容确实</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影响投标文件编制的，应当相应延长投标截止时间。</w:t>
      </w:r>
    </w:p>
    <w:p w14:paraId="4FFCF4A7">
      <w:pPr>
        <w:spacing w:before="107" w:line="285" w:lineRule="auto"/>
        <w:ind w:left="16" w:right="162"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2.3.2</w:t>
      </w:r>
      <w:r>
        <w:rPr>
          <w:rFonts w:ascii="Times New Roman" w:hAnsi="Times New Roman" w:eastAsia="Times New Roman" w:cs="Times New Roman"/>
          <w:color w:val="auto"/>
          <w:spacing w:val="58"/>
          <w:w w:val="101"/>
          <w:sz w:val="21"/>
          <w:szCs w:val="21"/>
          <w:highlight w:val="none"/>
        </w:rPr>
        <w:t xml:space="preserve"> </w:t>
      </w:r>
      <w:r>
        <w:rPr>
          <w:rFonts w:ascii="宋体" w:hAnsi="宋体" w:eastAsia="宋体" w:cs="宋体"/>
          <w:color w:val="auto"/>
          <w:sz w:val="21"/>
          <w:szCs w:val="21"/>
          <w:highlight w:val="none"/>
        </w:rPr>
        <w:t xml:space="preserve">投标人应实时自行关注法定公告公示信息发布媒介、电子交易系统（投标盲盒工 </w:t>
      </w:r>
      <w:r>
        <w:rPr>
          <w:rFonts w:ascii="宋体" w:hAnsi="宋体" w:eastAsia="宋体" w:cs="宋体"/>
          <w:color w:val="auto"/>
          <w:spacing w:val="1"/>
          <w:sz w:val="21"/>
          <w:szCs w:val="21"/>
          <w:highlight w:val="none"/>
        </w:rPr>
        <w:t>具）</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等渠道上发出的修改通知，因投标人自身原因未及时获知修改内容而导致的任何后果</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将由投标人自行承担。</w:t>
      </w:r>
    </w:p>
    <w:p w14:paraId="2D1DE48D">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2.4 </w:t>
      </w:r>
      <w:r>
        <w:rPr>
          <w:rFonts w:ascii="黑体" w:hAnsi="黑体" w:eastAsia="黑体" w:cs="黑体"/>
          <w:color w:val="auto"/>
          <w:sz w:val="24"/>
          <w:szCs w:val="24"/>
          <w:highlight w:val="none"/>
        </w:rPr>
        <w:t>招标文件的异议</w:t>
      </w:r>
    </w:p>
    <w:p w14:paraId="3FC6B0A7">
      <w:pPr>
        <w:spacing w:before="101" w:line="297" w:lineRule="auto"/>
        <w:ind w:left="19"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2.4.1</w:t>
      </w:r>
      <w:r>
        <w:rPr>
          <w:rFonts w:ascii="Times New Roman" w:hAnsi="Times New Roman" w:eastAsia="Times New Roman" w:cs="Times New Roman"/>
          <w:color w:val="auto"/>
          <w:spacing w:val="45"/>
          <w:sz w:val="21"/>
          <w:szCs w:val="21"/>
          <w:highlight w:val="none"/>
        </w:rPr>
        <w:t xml:space="preserve"> </w:t>
      </w:r>
      <w:r>
        <w:rPr>
          <w:rFonts w:ascii="宋体" w:hAnsi="宋体" w:eastAsia="宋体" w:cs="宋体"/>
          <w:color w:val="auto"/>
          <w:sz w:val="21"/>
          <w:szCs w:val="21"/>
          <w:highlight w:val="none"/>
        </w:rPr>
        <w:t>投标人或者其他利害关系人对招标文件（包括对招标文件澄清和修</w:t>
      </w:r>
      <w:r>
        <w:rPr>
          <w:rFonts w:ascii="宋体" w:hAnsi="宋体" w:eastAsia="宋体" w:cs="宋体"/>
          <w:color w:val="auto"/>
          <w:spacing w:val="-1"/>
          <w:sz w:val="21"/>
          <w:szCs w:val="21"/>
          <w:highlight w:val="none"/>
        </w:rPr>
        <w:t xml:space="preserve">改的内容）有  </w:t>
      </w:r>
      <w:r>
        <w:rPr>
          <w:rFonts w:ascii="宋体" w:hAnsi="宋体" w:eastAsia="宋体" w:cs="宋体"/>
          <w:color w:val="auto"/>
          <w:spacing w:val="-2"/>
          <w:sz w:val="21"/>
          <w:szCs w:val="21"/>
          <w:highlight w:val="none"/>
        </w:rPr>
        <w:t xml:space="preserve">异议的，应当在投标人须知前附表第 </w:t>
      </w:r>
      <w:r>
        <w:rPr>
          <w:rFonts w:ascii="Times New Roman" w:hAnsi="Times New Roman" w:eastAsia="Times New Roman" w:cs="Times New Roman"/>
          <w:color w:val="auto"/>
          <w:spacing w:val="-2"/>
          <w:sz w:val="21"/>
          <w:szCs w:val="21"/>
          <w:highlight w:val="none"/>
        </w:rPr>
        <w:t>4.2.1</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2"/>
          <w:sz w:val="21"/>
          <w:szCs w:val="21"/>
          <w:highlight w:val="none"/>
        </w:rPr>
        <w:t xml:space="preserve">项规定的投标截止时间 </w:t>
      </w:r>
      <w:r>
        <w:rPr>
          <w:rFonts w:ascii="Times New Roman" w:hAnsi="Times New Roman" w:eastAsia="Times New Roman" w:cs="Times New Roman"/>
          <w:color w:val="auto"/>
          <w:spacing w:val="-2"/>
          <w:sz w:val="21"/>
          <w:szCs w:val="21"/>
          <w:highlight w:val="none"/>
        </w:rPr>
        <w:t xml:space="preserve">10  </w:t>
      </w:r>
      <w:r>
        <w:rPr>
          <w:rFonts w:ascii="宋体" w:hAnsi="宋体" w:eastAsia="宋体" w:cs="宋体"/>
          <w:color w:val="auto"/>
          <w:spacing w:val="-2"/>
          <w:sz w:val="21"/>
          <w:szCs w:val="21"/>
          <w:highlight w:val="none"/>
        </w:rPr>
        <w:t>日前提出。</w:t>
      </w:r>
      <w:r>
        <w:rPr>
          <w:rFonts w:ascii="宋体" w:hAnsi="宋体" w:eastAsia="宋体" w:cs="宋体"/>
          <w:color w:val="auto"/>
          <w:spacing w:val="-3"/>
          <w:sz w:val="21"/>
          <w:szCs w:val="21"/>
          <w:highlight w:val="none"/>
        </w:rPr>
        <w:t xml:space="preserve">招标人自  </w:t>
      </w:r>
      <w:r>
        <w:rPr>
          <w:rFonts w:ascii="宋体" w:hAnsi="宋体" w:eastAsia="宋体" w:cs="宋体"/>
          <w:color w:val="auto"/>
          <w:spacing w:val="-2"/>
          <w:sz w:val="21"/>
          <w:szCs w:val="21"/>
          <w:highlight w:val="none"/>
        </w:rPr>
        <w:t xml:space="preserve">收到异议之日起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日内作出答复；作出答复前，招标人将暂停招标投标活动。逾期提出的，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招标人可不予受理。异议与答复应通过电子招标投标系统（辽宁省工程建设项目招标投标  </w:t>
      </w:r>
      <w:r>
        <w:rPr>
          <w:rFonts w:ascii="宋体" w:hAnsi="宋体" w:eastAsia="宋体" w:cs="宋体"/>
          <w:color w:val="auto"/>
          <w:spacing w:val="-11"/>
          <w:sz w:val="21"/>
          <w:szCs w:val="21"/>
          <w:highlight w:val="none"/>
        </w:rPr>
        <w:t>异议投诉处理系统）</w:t>
      </w:r>
      <w:r>
        <w:rPr>
          <w:rFonts w:ascii="宋体" w:hAnsi="宋体" w:eastAsia="宋体" w:cs="宋体"/>
          <w:color w:val="auto"/>
          <w:spacing w:val="54"/>
          <w:sz w:val="21"/>
          <w:szCs w:val="21"/>
          <w:highlight w:val="none"/>
        </w:rPr>
        <w:t xml:space="preserve"> </w:t>
      </w:r>
      <w:r>
        <w:rPr>
          <w:rFonts w:ascii="宋体" w:hAnsi="宋体" w:eastAsia="宋体" w:cs="宋体"/>
          <w:color w:val="auto"/>
          <w:spacing w:val="-11"/>
          <w:sz w:val="21"/>
          <w:szCs w:val="21"/>
          <w:highlight w:val="none"/>
        </w:rPr>
        <w:t>以书面形式进行。</w:t>
      </w:r>
    </w:p>
    <w:p w14:paraId="49669F88">
      <w:pPr>
        <w:spacing w:before="109" w:line="285" w:lineRule="auto"/>
        <w:ind w:left="19" w:right="164"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本条所称异议是指投标人或者其他利害关系人认为招标文件的内容违反法律、法规、</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规章的强制性规定，违反公平竞争原则， 影响投标人投标而向招标人提出的质疑。未在法</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定时间期限内未提出异议视为投标人权利灭失。</w:t>
      </w:r>
    </w:p>
    <w:p w14:paraId="669DEA04">
      <w:pPr>
        <w:spacing w:before="109"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有关异议受理部门及联系方式见投标人须知前附表。</w:t>
      </w:r>
    </w:p>
    <w:p w14:paraId="3C524E44">
      <w:pPr>
        <w:spacing w:before="109" w:line="269" w:lineRule="auto"/>
        <w:ind w:left="19" w:right="156"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2.4.2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z w:val="21"/>
          <w:szCs w:val="21"/>
          <w:highlight w:val="none"/>
        </w:rPr>
        <w:t>招标人对异议的答复构成对招标文件澄清</w:t>
      </w:r>
      <w:r>
        <w:rPr>
          <w:rFonts w:ascii="宋体" w:hAnsi="宋体" w:eastAsia="宋体" w:cs="宋体"/>
          <w:color w:val="auto"/>
          <w:spacing w:val="-1"/>
          <w:sz w:val="21"/>
          <w:szCs w:val="21"/>
          <w:highlight w:val="none"/>
        </w:rPr>
        <w:t xml:space="preserve">或者修改的， 招标人将按照本章第 </w:t>
      </w:r>
      <w:r>
        <w:rPr>
          <w:rFonts w:ascii="Times New Roman" w:hAnsi="Times New Roman" w:eastAsia="Times New Roman" w:cs="Times New Roman"/>
          <w:color w:val="auto"/>
          <w:spacing w:val="-1"/>
          <w:sz w:val="21"/>
          <w:szCs w:val="21"/>
          <w:highlight w:val="none"/>
        </w:rPr>
        <w:t>2.2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3"/>
          <w:sz w:val="21"/>
          <w:szCs w:val="21"/>
          <w:highlight w:val="none"/>
        </w:rPr>
        <w:t>款、第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2.3 </w:t>
      </w:r>
      <w:r>
        <w:rPr>
          <w:rFonts w:ascii="宋体" w:hAnsi="宋体" w:eastAsia="宋体" w:cs="宋体"/>
          <w:color w:val="auto"/>
          <w:spacing w:val="-3"/>
          <w:sz w:val="21"/>
          <w:szCs w:val="21"/>
          <w:highlight w:val="none"/>
        </w:rPr>
        <w:t>款规定办理。</w:t>
      </w:r>
    </w:p>
    <w:p w14:paraId="70571D29">
      <w:pPr>
        <w:spacing w:before="151" w:line="225" w:lineRule="auto"/>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3"/>
          <w:sz w:val="27"/>
          <w:szCs w:val="27"/>
          <w:highlight w:val="none"/>
        </w:rPr>
        <w:t>3.</w:t>
      </w:r>
      <w:r>
        <w:rPr>
          <w:rFonts w:ascii="Times New Roman" w:hAnsi="Times New Roman" w:eastAsia="Times New Roman" w:cs="Times New Roman"/>
          <w:color w:val="auto"/>
          <w:spacing w:val="16"/>
          <w:w w:val="101"/>
          <w:sz w:val="27"/>
          <w:szCs w:val="27"/>
          <w:highlight w:val="none"/>
        </w:rPr>
        <w:t xml:space="preserve"> </w:t>
      </w:r>
      <w:r>
        <w:rPr>
          <w:rFonts w:ascii="黑体" w:hAnsi="黑体" w:eastAsia="黑体" w:cs="黑体"/>
          <w:color w:val="auto"/>
          <w:spacing w:val="3"/>
          <w:sz w:val="27"/>
          <w:szCs w:val="27"/>
          <w:highlight w:val="none"/>
        </w:rPr>
        <w:t>投标文件</w:t>
      </w:r>
    </w:p>
    <w:p w14:paraId="0313DCA2">
      <w:pPr>
        <w:spacing w:before="65"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投标文件的组成</w:t>
      </w:r>
    </w:p>
    <w:p w14:paraId="2E48FE0A">
      <w:pPr>
        <w:spacing w:before="101" w:line="360" w:lineRule="exact"/>
        <w:ind w:left="124"/>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1"/>
          <w:sz w:val="21"/>
          <w:szCs w:val="21"/>
          <w:highlight w:val="none"/>
        </w:rPr>
        <w:t xml:space="preserve">3.1.1 </w:t>
      </w:r>
      <w:r>
        <w:rPr>
          <w:rFonts w:ascii="宋体" w:hAnsi="宋体" w:eastAsia="宋体" w:cs="宋体"/>
          <w:color w:val="auto"/>
          <w:spacing w:val="-3"/>
          <w:position w:val="11"/>
          <w:sz w:val="21"/>
          <w:szCs w:val="21"/>
          <w:highlight w:val="none"/>
        </w:rPr>
        <w:t>投标文件应包括下列内容：</w:t>
      </w:r>
    </w:p>
    <w:p w14:paraId="04A596FC">
      <w:pPr>
        <w:spacing w:before="1" w:line="219" w:lineRule="auto"/>
        <w:ind w:left="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）投标函及投标函附录等；</w:t>
      </w:r>
    </w:p>
    <w:p w14:paraId="454144BD">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）法定代表人身份证明；</w:t>
      </w:r>
    </w:p>
    <w:p w14:paraId="282FB616">
      <w:pPr>
        <w:spacing w:before="109" w:line="220"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）授权委托书；</w:t>
      </w:r>
    </w:p>
    <w:p w14:paraId="2A896DE5">
      <w:pPr>
        <w:spacing w:before="110" w:line="221"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）投标保证金；</w:t>
      </w:r>
    </w:p>
    <w:p w14:paraId="2FF5CFD7">
      <w:pPr>
        <w:spacing w:before="109" w:line="360" w:lineRule="exact"/>
        <w:ind w:left="385"/>
        <w:rPr>
          <w:rFonts w:ascii="宋体" w:hAnsi="宋体" w:eastAsia="宋体" w:cs="宋体"/>
          <w:color w:val="auto"/>
          <w:sz w:val="21"/>
          <w:szCs w:val="21"/>
          <w:highlight w:val="none"/>
        </w:rPr>
      </w:pPr>
      <w:r>
        <w:rPr>
          <w:rFonts w:ascii="宋体" w:hAnsi="宋体" w:eastAsia="宋体" w:cs="宋体"/>
          <w:color w:val="auto"/>
          <w:spacing w:val="-9"/>
          <w:position w:val="11"/>
          <w:sz w:val="21"/>
          <w:szCs w:val="21"/>
          <w:highlight w:val="none"/>
        </w:rPr>
        <w:t>（</w:t>
      </w:r>
      <w:r>
        <w:rPr>
          <w:rFonts w:ascii="Times New Roman" w:hAnsi="Times New Roman" w:eastAsia="Times New Roman" w:cs="Times New Roman"/>
          <w:color w:val="auto"/>
          <w:spacing w:val="-9"/>
          <w:position w:val="11"/>
          <w:sz w:val="21"/>
          <w:szCs w:val="21"/>
          <w:highlight w:val="none"/>
        </w:rPr>
        <w:t>4</w:t>
      </w:r>
      <w:r>
        <w:rPr>
          <w:rFonts w:ascii="宋体" w:hAnsi="宋体" w:eastAsia="宋体" w:cs="宋体"/>
          <w:color w:val="auto"/>
          <w:spacing w:val="-9"/>
          <w:position w:val="11"/>
          <w:sz w:val="21"/>
          <w:szCs w:val="21"/>
          <w:highlight w:val="none"/>
        </w:rPr>
        <w:t>）联合体协议书（如有</w:t>
      </w:r>
      <w:r>
        <w:rPr>
          <w:rFonts w:ascii="宋体" w:hAnsi="宋体" w:eastAsia="宋体" w:cs="宋体"/>
          <w:color w:val="auto"/>
          <w:spacing w:val="-11"/>
          <w:position w:val="11"/>
          <w:sz w:val="21"/>
          <w:szCs w:val="21"/>
          <w:highlight w:val="none"/>
        </w:rPr>
        <w:t>）；</w:t>
      </w:r>
    </w:p>
    <w:p w14:paraId="329A593A">
      <w:pPr>
        <w:spacing w:before="1" w:line="219" w:lineRule="auto"/>
        <w:ind w:left="38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5</w:t>
      </w:r>
      <w:r>
        <w:rPr>
          <w:rFonts w:ascii="宋体" w:hAnsi="宋体" w:eastAsia="宋体" w:cs="宋体"/>
          <w:color w:val="auto"/>
          <w:spacing w:val="-9"/>
          <w:sz w:val="21"/>
          <w:szCs w:val="21"/>
          <w:highlight w:val="none"/>
        </w:rPr>
        <w:t>）拟分包计划表（如有</w:t>
      </w:r>
      <w:r>
        <w:rPr>
          <w:rFonts w:ascii="宋体" w:hAnsi="宋体" w:eastAsia="宋体" w:cs="宋体"/>
          <w:color w:val="auto"/>
          <w:spacing w:val="-11"/>
          <w:sz w:val="21"/>
          <w:szCs w:val="21"/>
          <w:highlight w:val="none"/>
        </w:rPr>
        <w:t>）；</w:t>
      </w:r>
    </w:p>
    <w:p w14:paraId="33F72997">
      <w:pPr>
        <w:spacing w:before="110" w:line="220"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6</w:t>
      </w:r>
      <w:r>
        <w:rPr>
          <w:rFonts w:ascii="宋体" w:hAnsi="宋体" w:eastAsia="宋体" w:cs="宋体"/>
          <w:color w:val="auto"/>
          <w:spacing w:val="-5"/>
          <w:sz w:val="21"/>
          <w:szCs w:val="21"/>
          <w:highlight w:val="none"/>
        </w:rPr>
        <w:t>）项目管理机构；</w:t>
      </w:r>
    </w:p>
    <w:p w14:paraId="330D55A5">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7</w:t>
      </w:r>
      <w:r>
        <w:rPr>
          <w:rFonts w:ascii="宋体" w:hAnsi="宋体" w:eastAsia="宋体" w:cs="宋体"/>
          <w:color w:val="auto"/>
          <w:spacing w:val="-6"/>
          <w:sz w:val="21"/>
          <w:szCs w:val="21"/>
          <w:highlight w:val="none"/>
        </w:rPr>
        <w:t>）资格审查资料；</w:t>
      </w:r>
    </w:p>
    <w:p w14:paraId="1F8E5F64">
      <w:pPr>
        <w:spacing w:before="109" w:line="361"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8</w:t>
      </w:r>
      <w:r>
        <w:rPr>
          <w:rFonts w:ascii="宋体" w:hAnsi="宋体" w:eastAsia="宋体" w:cs="宋体"/>
          <w:color w:val="auto"/>
          <w:spacing w:val="-1"/>
          <w:position w:val="11"/>
          <w:sz w:val="21"/>
          <w:szCs w:val="21"/>
          <w:highlight w:val="none"/>
        </w:rPr>
        <w:t>）已标价工程量清单；</w:t>
      </w:r>
    </w:p>
    <w:p w14:paraId="648A35F2">
      <w:pPr>
        <w:spacing w:line="222"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9</w:t>
      </w:r>
      <w:r>
        <w:rPr>
          <w:rFonts w:ascii="宋体" w:hAnsi="宋体" w:eastAsia="宋体" w:cs="宋体"/>
          <w:color w:val="auto"/>
          <w:spacing w:val="-5"/>
          <w:sz w:val="21"/>
          <w:szCs w:val="21"/>
          <w:highlight w:val="none"/>
        </w:rPr>
        <w:t>）施工组织设计；</w:t>
      </w:r>
    </w:p>
    <w:p w14:paraId="0ACC397C">
      <w:pPr>
        <w:spacing w:before="115" w:line="220" w:lineRule="auto"/>
        <w:ind w:left="385"/>
        <w:rPr>
          <w:rFonts w:ascii="宋体" w:hAnsi="宋体" w:eastAsia="宋体" w:cs="宋体"/>
          <w:color w:val="auto"/>
          <w:sz w:val="21"/>
          <w:szCs w:val="21"/>
          <w:highlight w:val="none"/>
        </w:rPr>
      </w:pPr>
      <w:bookmarkStart w:id="79" w:name="bookmark91"/>
      <w:bookmarkEnd w:id="79"/>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10</w:t>
      </w:r>
      <w:r>
        <w:rPr>
          <w:rFonts w:ascii="宋体" w:hAnsi="宋体" w:eastAsia="宋体" w:cs="宋体"/>
          <w:color w:val="auto"/>
          <w:spacing w:val="-2"/>
          <w:sz w:val="21"/>
          <w:szCs w:val="21"/>
          <w:highlight w:val="none"/>
        </w:rPr>
        <w:t>）投标人须知前附表规定的其他材料。</w:t>
      </w:r>
    </w:p>
    <w:p w14:paraId="575F102C">
      <w:pPr>
        <w:spacing w:before="110" w:line="268" w:lineRule="auto"/>
        <w:ind w:left="20" w:right="160" w:firstLine="35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3.1.2</w:t>
      </w:r>
      <w:r>
        <w:rPr>
          <w:rFonts w:ascii="Times New Roman" w:hAnsi="Times New Roman" w:eastAsia="Times New Roman" w:cs="Times New Roman"/>
          <w:color w:val="auto"/>
          <w:spacing w:val="44"/>
          <w:sz w:val="21"/>
          <w:szCs w:val="21"/>
          <w:highlight w:val="none"/>
        </w:rPr>
        <w:t xml:space="preserve"> </w:t>
      </w:r>
      <w:r>
        <w:rPr>
          <w:rFonts w:ascii="宋体" w:hAnsi="宋体" w:eastAsia="宋体" w:cs="宋体"/>
          <w:color w:val="auto"/>
          <w:spacing w:val="2"/>
          <w:sz w:val="21"/>
          <w:szCs w:val="21"/>
          <w:highlight w:val="none"/>
        </w:rPr>
        <w:t>投标人须知前附表规定不接受联合体投标的，或投标人没有组成联合体的，投标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文件不包括本章第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3.1.1</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2"/>
          <w:sz w:val="21"/>
          <w:szCs w:val="21"/>
          <w:highlight w:val="none"/>
        </w:rPr>
        <w:t>目所指</w:t>
      </w:r>
      <w:r>
        <w:rPr>
          <w:rFonts w:ascii="宋体" w:hAnsi="宋体" w:eastAsia="宋体" w:cs="宋体"/>
          <w:color w:val="auto"/>
          <w:spacing w:val="-3"/>
          <w:sz w:val="21"/>
          <w:szCs w:val="21"/>
          <w:highlight w:val="none"/>
        </w:rPr>
        <w:t>的联合体协议书。</w:t>
      </w:r>
    </w:p>
    <w:p w14:paraId="62BE2D79">
      <w:pPr>
        <w:spacing w:before="85"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投标报价</w:t>
      </w:r>
    </w:p>
    <w:p w14:paraId="6A8A43CA">
      <w:pPr>
        <w:spacing w:before="100"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投标人应按第五章“工程量清单”的要求填写相应表格。</w:t>
      </w:r>
    </w:p>
    <w:p w14:paraId="4CC56B90">
      <w:pPr>
        <w:spacing w:before="109" w:line="268" w:lineRule="auto"/>
        <w:ind w:left="18" w:right="16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投标人在投标截止时间前修改投标函中的</w:t>
      </w:r>
      <w:r>
        <w:rPr>
          <w:rFonts w:ascii="宋体" w:hAnsi="宋体" w:eastAsia="宋体" w:cs="宋体"/>
          <w:color w:val="auto"/>
          <w:sz w:val="21"/>
          <w:szCs w:val="21"/>
          <w:highlight w:val="none"/>
        </w:rPr>
        <w:t xml:space="preserve">投标总报价，应同时修改第五章“工程 </w:t>
      </w:r>
      <w:r>
        <w:rPr>
          <w:rFonts w:ascii="宋体" w:hAnsi="宋体" w:eastAsia="宋体" w:cs="宋体"/>
          <w:color w:val="auto"/>
          <w:spacing w:val="-2"/>
          <w:sz w:val="21"/>
          <w:szCs w:val="21"/>
          <w:highlight w:val="none"/>
        </w:rPr>
        <w:t>量清单”中的相应“</w:t>
      </w:r>
      <w:r>
        <w:rPr>
          <w:rFonts w:ascii="宋体" w:hAnsi="宋体" w:eastAsia="宋体" w:cs="宋体"/>
          <w:color w:val="auto"/>
          <w:spacing w:val="-78"/>
          <w:sz w:val="21"/>
          <w:szCs w:val="21"/>
          <w:highlight w:val="none"/>
        </w:rPr>
        <w:t xml:space="preserve"> </w:t>
      </w:r>
      <w:r>
        <w:rPr>
          <w:rFonts w:ascii="宋体" w:hAnsi="宋体" w:eastAsia="宋体" w:cs="宋体"/>
          <w:color w:val="auto"/>
          <w:spacing w:val="-2"/>
          <w:sz w:val="21"/>
          <w:szCs w:val="21"/>
          <w:highlight w:val="none"/>
        </w:rPr>
        <w:t>已标价工程量清单</w:t>
      </w:r>
      <w:r>
        <w:rPr>
          <w:rFonts w:ascii="宋体" w:hAnsi="宋体" w:eastAsia="宋体" w:cs="宋体"/>
          <w:color w:val="auto"/>
          <w:spacing w:val="-81"/>
          <w:sz w:val="21"/>
          <w:szCs w:val="21"/>
          <w:highlight w:val="none"/>
        </w:rPr>
        <w:t xml:space="preserve"> </w:t>
      </w:r>
      <w:r>
        <w:rPr>
          <w:rFonts w:ascii="宋体" w:hAnsi="宋体" w:eastAsia="宋体" w:cs="宋体"/>
          <w:color w:val="auto"/>
          <w:spacing w:val="-2"/>
          <w:sz w:val="21"/>
          <w:szCs w:val="21"/>
          <w:highlight w:val="none"/>
        </w:rPr>
        <w:t>”报价。此修改须符合本章第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4.3 </w:t>
      </w:r>
      <w:r>
        <w:rPr>
          <w:rFonts w:ascii="宋体" w:hAnsi="宋体" w:eastAsia="宋体" w:cs="宋体"/>
          <w:color w:val="auto"/>
          <w:spacing w:val="-3"/>
          <w:sz w:val="21"/>
          <w:szCs w:val="21"/>
          <w:highlight w:val="none"/>
        </w:rPr>
        <w:t>款的有关要求。</w:t>
      </w:r>
    </w:p>
    <w:p w14:paraId="0A65F9E0">
      <w:pPr>
        <w:spacing w:before="110" w:line="269" w:lineRule="auto"/>
        <w:ind w:left="1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3.2.3</w:t>
      </w:r>
      <w:r>
        <w:rPr>
          <w:rFonts w:ascii="Times New Roman" w:hAnsi="Times New Roman" w:eastAsia="Times New Roman" w:cs="Times New Roman"/>
          <w:color w:val="auto"/>
          <w:spacing w:val="53"/>
          <w:sz w:val="21"/>
          <w:szCs w:val="21"/>
          <w:highlight w:val="none"/>
        </w:rPr>
        <w:t xml:space="preserve"> </w:t>
      </w:r>
      <w:r>
        <w:rPr>
          <w:rFonts w:ascii="宋体" w:hAnsi="宋体" w:eastAsia="宋体" w:cs="宋体"/>
          <w:color w:val="auto"/>
          <w:spacing w:val="-1"/>
          <w:sz w:val="21"/>
          <w:szCs w:val="21"/>
          <w:highlight w:val="none"/>
        </w:rPr>
        <w:t>投标人投标函中的大写报价或算术错误修正后的投标总报价大于最高投标限价的，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其投标将被否决。</w:t>
      </w:r>
    </w:p>
    <w:p w14:paraId="44C76BAA">
      <w:pPr>
        <w:spacing w:before="109"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宋体" w:hAnsi="宋体" w:eastAsia="宋体" w:cs="宋体"/>
          <w:color w:val="auto"/>
          <w:spacing w:val="-1"/>
          <w:sz w:val="21"/>
          <w:szCs w:val="21"/>
          <w:highlight w:val="none"/>
        </w:rPr>
        <w:t>本项目最高投标限价及要求详见投标人须知</w:t>
      </w:r>
      <w:r>
        <w:rPr>
          <w:rFonts w:ascii="宋体" w:hAnsi="宋体" w:eastAsia="宋体" w:cs="宋体"/>
          <w:color w:val="auto"/>
          <w:spacing w:val="-2"/>
          <w:sz w:val="21"/>
          <w:szCs w:val="21"/>
          <w:highlight w:val="none"/>
        </w:rPr>
        <w:t>前附表。</w:t>
      </w:r>
    </w:p>
    <w:p w14:paraId="35D5499F">
      <w:pPr>
        <w:spacing w:before="111" w:line="335"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9"/>
          <w:sz w:val="21"/>
          <w:szCs w:val="21"/>
          <w:highlight w:val="none"/>
        </w:rPr>
        <w:t xml:space="preserve">3.2.5 </w:t>
      </w:r>
      <w:r>
        <w:rPr>
          <w:rFonts w:ascii="宋体" w:hAnsi="宋体" w:eastAsia="宋体" w:cs="宋体"/>
          <w:color w:val="auto"/>
          <w:spacing w:val="-1"/>
          <w:position w:val="9"/>
          <w:sz w:val="21"/>
          <w:szCs w:val="21"/>
          <w:highlight w:val="none"/>
        </w:rPr>
        <w:t>投标报价的其他要求见投标人须知前附表。</w:t>
      </w:r>
    </w:p>
    <w:p w14:paraId="5E47B9B4">
      <w:pPr>
        <w:spacing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投标有效期</w:t>
      </w:r>
    </w:p>
    <w:p w14:paraId="78D98D2C">
      <w:pPr>
        <w:spacing w:before="101" w:line="269" w:lineRule="auto"/>
        <w:ind w:left="17" w:right="163"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3.3.1</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在投标人须知前附表规定的投标有效期内，投标人</w:t>
      </w:r>
      <w:r>
        <w:rPr>
          <w:rFonts w:ascii="宋体" w:hAnsi="宋体" w:eastAsia="宋体" w:cs="宋体"/>
          <w:color w:val="auto"/>
          <w:sz w:val="21"/>
          <w:szCs w:val="21"/>
          <w:highlight w:val="none"/>
        </w:rPr>
        <w:t xml:space="preserve">不得要求撤销或修改其投标文 </w:t>
      </w:r>
      <w:r>
        <w:rPr>
          <w:rFonts w:ascii="宋体" w:hAnsi="宋体" w:eastAsia="宋体" w:cs="宋体"/>
          <w:color w:val="auto"/>
          <w:spacing w:val="-10"/>
          <w:sz w:val="21"/>
          <w:szCs w:val="21"/>
          <w:highlight w:val="none"/>
        </w:rPr>
        <w:t>件。</w:t>
      </w:r>
    </w:p>
    <w:p w14:paraId="42E160CD">
      <w:pPr>
        <w:spacing w:before="109" w:line="294" w:lineRule="auto"/>
        <w:ind w:left="18" w:right="158" w:firstLine="42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3.3.2  </w:t>
      </w:r>
      <w:r>
        <w:rPr>
          <w:rFonts w:ascii="宋体" w:hAnsi="宋体" w:eastAsia="宋体" w:cs="宋体"/>
          <w:color w:val="auto"/>
          <w:sz w:val="21"/>
          <w:szCs w:val="21"/>
          <w:highlight w:val="none"/>
        </w:rPr>
        <w:t>出现特殊情况需要延长投标有效期的，招标人以书面形式通知所有投标人延长投</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标有效期。投标人同意延长的，应相应延长其投标保证金的有效期，但不得</w:t>
      </w:r>
      <w:r>
        <w:rPr>
          <w:rFonts w:ascii="宋体" w:hAnsi="宋体" w:eastAsia="宋体" w:cs="宋体"/>
          <w:color w:val="auto"/>
          <w:spacing w:val="2"/>
          <w:sz w:val="21"/>
          <w:szCs w:val="21"/>
          <w:highlight w:val="none"/>
        </w:rPr>
        <w:t>要求或被允许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修改或撤销其投标文件；投标人拒绝延长的， 其投标</w:t>
      </w:r>
      <w:r>
        <w:rPr>
          <w:rFonts w:ascii="宋体" w:hAnsi="宋体" w:eastAsia="宋体" w:cs="宋体"/>
          <w:color w:val="auto"/>
          <w:spacing w:val="-3"/>
          <w:sz w:val="21"/>
          <w:szCs w:val="21"/>
          <w:highlight w:val="none"/>
        </w:rPr>
        <w:t>失效， 但投标人有权收回其投标保证</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金。</w:t>
      </w:r>
    </w:p>
    <w:p w14:paraId="5DDE957D">
      <w:pPr>
        <w:spacing w:before="77"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3.4 </w:t>
      </w:r>
      <w:r>
        <w:rPr>
          <w:rFonts w:ascii="黑体" w:hAnsi="黑体" w:eastAsia="黑体" w:cs="黑体"/>
          <w:color w:val="auto"/>
          <w:spacing w:val="-1"/>
          <w:sz w:val="24"/>
          <w:szCs w:val="24"/>
          <w:highlight w:val="none"/>
        </w:rPr>
        <w:t>投标保证金</w:t>
      </w:r>
    </w:p>
    <w:p w14:paraId="577727A7">
      <w:pPr>
        <w:spacing w:before="101" w:line="292" w:lineRule="auto"/>
        <w:ind w:left="19" w:right="158"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投标人须知前附表规定提交投标</w:t>
      </w:r>
      <w:r>
        <w:rPr>
          <w:rFonts w:ascii="宋体" w:hAnsi="宋体" w:eastAsia="宋体" w:cs="宋体"/>
          <w:color w:val="auto"/>
          <w:sz w:val="21"/>
          <w:szCs w:val="21"/>
          <w:highlight w:val="none"/>
        </w:rPr>
        <w:t>保证金的，投标人在递交投标文件的同时，应按 投标人须知前附表规定的形式、金额、递交截止时间、递交方式提交投标保证金， 并作为</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其投标文件的组成部分。联合体投标的， 其投标保证</w:t>
      </w:r>
      <w:r>
        <w:rPr>
          <w:rFonts w:ascii="宋体" w:hAnsi="宋体" w:eastAsia="宋体" w:cs="宋体"/>
          <w:color w:val="auto"/>
          <w:spacing w:val="-3"/>
          <w:sz w:val="21"/>
          <w:szCs w:val="21"/>
          <w:highlight w:val="none"/>
        </w:rPr>
        <w:t>金由牵头人递交， 并应符合投标人须</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知前附表的规定。</w:t>
      </w:r>
    </w:p>
    <w:p w14:paraId="50863F97">
      <w:pPr>
        <w:spacing w:before="110"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3.4.2 </w:t>
      </w:r>
      <w:r>
        <w:rPr>
          <w:rFonts w:ascii="宋体" w:hAnsi="宋体" w:eastAsia="宋体" w:cs="宋体"/>
          <w:color w:val="auto"/>
          <w:spacing w:val="-3"/>
          <w:sz w:val="21"/>
          <w:szCs w:val="21"/>
          <w:highlight w:val="none"/>
        </w:rPr>
        <w:t>投标人不按本章第</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3.4.1 </w:t>
      </w:r>
      <w:r>
        <w:rPr>
          <w:rFonts w:ascii="宋体" w:hAnsi="宋体" w:eastAsia="宋体" w:cs="宋体"/>
          <w:color w:val="auto"/>
          <w:spacing w:val="-3"/>
          <w:sz w:val="21"/>
          <w:szCs w:val="21"/>
          <w:highlight w:val="none"/>
        </w:rPr>
        <w:t>项要求提交投标保证金的，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其投标将被否决。</w:t>
      </w:r>
    </w:p>
    <w:p w14:paraId="2E0736D4">
      <w:pPr>
        <w:spacing w:before="111" w:line="284" w:lineRule="auto"/>
        <w:ind w:left="19" w:right="157"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3.4.3</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2"/>
          <w:sz w:val="21"/>
          <w:szCs w:val="21"/>
          <w:highlight w:val="none"/>
        </w:rPr>
        <w:t xml:space="preserve">招标人最迟在与中标人签订合同后 </w:t>
      </w:r>
      <w:r>
        <w:rPr>
          <w:rFonts w:ascii="Times New Roman" w:hAnsi="Times New Roman" w:eastAsia="Times New Roman" w:cs="Times New Roman"/>
          <w:color w:val="auto"/>
          <w:spacing w:val="-2"/>
          <w:sz w:val="21"/>
          <w:szCs w:val="21"/>
          <w:highlight w:val="none"/>
        </w:rPr>
        <w:t xml:space="preserve">5  </w:t>
      </w:r>
      <w:r>
        <w:rPr>
          <w:rFonts w:ascii="宋体" w:hAnsi="宋体" w:eastAsia="宋体" w:cs="宋体"/>
          <w:color w:val="auto"/>
          <w:spacing w:val="-2"/>
          <w:sz w:val="21"/>
          <w:szCs w:val="21"/>
          <w:highlight w:val="none"/>
        </w:rPr>
        <w:t>日内，向未中标的投标人和中标人退还投标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保证金。招标人同时退还投标保证金的银行同期存款利息。投标保证金及利</w:t>
      </w:r>
      <w:r>
        <w:rPr>
          <w:rFonts w:ascii="宋体" w:hAnsi="宋体" w:eastAsia="宋体" w:cs="宋体"/>
          <w:color w:val="auto"/>
          <w:spacing w:val="2"/>
          <w:sz w:val="21"/>
          <w:szCs w:val="21"/>
          <w:highlight w:val="none"/>
        </w:rPr>
        <w:t>息的计息标准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和退还方式见投标人须知前附表。</w:t>
      </w:r>
    </w:p>
    <w:p w14:paraId="2E4B1DDD">
      <w:pPr>
        <w:spacing w:before="10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3.4.4 </w:t>
      </w:r>
      <w:r>
        <w:rPr>
          <w:rFonts w:ascii="宋体" w:hAnsi="宋体" w:eastAsia="宋体" w:cs="宋体"/>
          <w:color w:val="auto"/>
          <w:sz w:val="21"/>
          <w:szCs w:val="21"/>
          <w:highlight w:val="none"/>
        </w:rPr>
        <w:t>有下列情形之一的，投标保证金将不</w:t>
      </w:r>
      <w:r>
        <w:rPr>
          <w:rFonts w:ascii="宋体" w:hAnsi="宋体" w:eastAsia="宋体" w:cs="宋体"/>
          <w:color w:val="auto"/>
          <w:spacing w:val="-1"/>
          <w:sz w:val="21"/>
          <w:szCs w:val="21"/>
          <w:highlight w:val="none"/>
        </w:rPr>
        <w:t>予退还：</w:t>
      </w:r>
    </w:p>
    <w:p w14:paraId="7A500ECC">
      <w:pPr>
        <w:spacing w:before="110" w:line="221"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）投标人在规定的投标有效期内撤销或修改其投标文件；</w:t>
      </w:r>
    </w:p>
    <w:p w14:paraId="19BD850F">
      <w:pPr>
        <w:spacing w:before="109" w:line="268" w:lineRule="auto"/>
        <w:ind w:left="19" w:right="170" w:firstLine="7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）中标人在收到中标通知书后， 无正当理由拒签合同、在签订合同时向招标人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提出附加条件或未按招标文件规定提交履约保证金。</w:t>
      </w:r>
    </w:p>
    <w:p w14:paraId="3A4476F7">
      <w:pPr>
        <w:spacing w:before="85" w:line="219" w:lineRule="auto"/>
        <w:ind w:left="140"/>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3.5</w:t>
      </w:r>
      <w:r>
        <w:rPr>
          <w:rFonts w:ascii="Times New Roman" w:hAnsi="Times New Roman" w:eastAsia="Times New Roman" w:cs="Times New Roman"/>
          <w:color w:val="auto"/>
          <w:spacing w:val="38"/>
          <w:sz w:val="24"/>
          <w:szCs w:val="24"/>
          <w:highlight w:val="none"/>
        </w:rPr>
        <w:t xml:space="preserve"> </w:t>
      </w:r>
      <w:r>
        <w:rPr>
          <w:rFonts w:ascii="黑体" w:hAnsi="黑体" w:eastAsia="黑体" w:cs="黑体"/>
          <w:color w:val="auto"/>
          <w:spacing w:val="-2"/>
          <w:sz w:val="24"/>
          <w:szCs w:val="24"/>
          <w:highlight w:val="none"/>
        </w:rPr>
        <w:t>资格审查资料（适用于已进行资格预审的）</w:t>
      </w:r>
    </w:p>
    <w:p w14:paraId="6E5339D5">
      <w:pPr>
        <w:spacing w:before="134" w:line="399" w:lineRule="exact"/>
        <w:ind w:left="44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投标人在递交投标文件前， 发生可能影响其投标资格的新情况的，应更新或补充其在</w:t>
      </w:r>
    </w:p>
    <w:p w14:paraId="29E74558">
      <w:pPr>
        <w:spacing w:before="1" w:line="219" w:lineRule="auto"/>
        <w:ind w:left="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申请资格预审时提供的资料，</w:t>
      </w:r>
      <w:r>
        <w:rPr>
          <w:rFonts w:ascii="宋体" w:hAnsi="宋体" w:eastAsia="宋体" w:cs="宋体"/>
          <w:color w:val="auto"/>
          <w:spacing w:val="51"/>
          <w:sz w:val="21"/>
          <w:szCs w:val="21"/>
          <w:highlight w:val="none"/>
        </w:rPr>
        <w:t xml:space="preserve"> </w:t>
      </w:r>
      <w:r>
        <w:rPr>
          <w:rFonts w:ascii="宋体" w:hAnsi="宋体" w:eastAsia="宋体" w:cs="宋体"/>
          <w:color w:val="auto"/>
          <w:spacing w:val="-2"/>
          <w:sz w:val="21"/>
          <w:szCs w:val="21"/>
          <w:highlight w:val="none"/>
        </w:rPr>
        <w:t>以证实其各项资格条件仍能继续满足资格预审文件的要求，</w:t>
      </w:r>
    </w:p>
    <w:p w14:paraId="00F8EC69">
      <w:pPr>
        <w:spacing w:before="152"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且没有实质性降低。</w:t>
      </w:r>
    </w:p>
    <w:p w14:paraId="4154404F">
      <w:pPr>
        <w:spacing w:before="89"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9"/>
          <w:sz w:val="24"/>
          <w:szCs w:val="24"/>
          <w:highlight w:val="none"/>
        </w:rPr>
        <w:t>3.5</w:t>
      </w:r>
      <w:r>
        <w:rPr>
          <w:rFonts w:ascii="Times New Roman" w:hAnsi="Times New Roman" w:eastAsia="Times New Roman" w:cs="Times New Roman"/>
          <w:color w:val="auto"/>
          <w:spacing w:val="26"/>
          <w:w w:val="101"/>
          <w:sz w:val="24"/>
          <w:szCs w:val="24"/>
          <w:highlight w:val="none"/>
        </w:rPr>
        <w:t xml:space="preserve"> </w:t>
      </w:r>
      <w:r>
        <w:rPr>
          <w:rFonts w:ascii="黑体" w:hAnsi="黑体" w:eastAsia="黑体" w:cs="黑体"/>
          <w:color w:val="auto"/>
          <w:spacing w:val="-9"/>
          <w:sz w:val="24"/>
          <w:szCs w:val="24"/>
          <w:highlight w:val="none"/>
        </w:rPr>
        <w:t>资格审查资料</w:t>
      </w:r>
      <w:r>
        <w:rPr>
          <w:rFonts w:ascii="黑体" w:hAnsi="黑体" w:eastAsia="黑体" w:cs="黑体"/>
          <w:color w:val="auto"/>
          <w:spacing w:val="25"/>
          <w:sz w:val="24"/>
          <w:szCs w:val="24"/>
          <w:highlight w:val="none"/>
        </w:rPr>
        <w:t xml:space="preserve"> </w:t>
      </w:r>
      <w:r>
        <w:rPr>
          <w:rFonts w:ascii="黑体" w:hAnsi="黑体" w:eastAsia="黑体" w:cs="黑体"/>
          <w:color w:val="auto"/>
          <w:spacing w:val="-9"/>
          <w:sz w:val="24"/>
          <w:szCs w:val="24"/>
          <w:highlight w:val="none"/>
        </w:rPr>
        <w:t>（适用于未进行资格预审的）</w:t>
      </w:r>
    </w:p>
    <w:p w14:paraId="078BC4C2">
      <w:pPr>
        <w:spacing w:before="101" w:line="268" w:lineRule="auto"/>
        <w:ind w:left="22" w:right="2"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3.5.1</w:t>
      </w:r>
      <w:r>
        <w:rPr>
          <w:rFonts w:ascii="宋体" w:hAnsi="宋体" w:eastAsia="宋体" w:cs="宋体"/>
          <w:color w:val="auto"/>
          <w:spacing w:val="2"/>
          <w:sz w:val="21"/>
          <w:szCs w:val="21"/>
          <w:highlight w:val="none"/>
        </w:rPr>
        <w:t>“投标人基本情况表”应附投标人营</w:t>
      </w:r>
      <w:r>
        <w:rPr>
          <w:rFonts w:ascii="宋体" w:hAnsi="宋体" w:eastAsia="宋体" w:cs="宋体"/>
          <w:color w:val="auto"/>
          <w:spacing w:val="1"/>
          <w:sz w:val="21"/>
          <w:szCs w:val="21"/>
          <w:highlight w:val="none"/>
        </w:rPr>
        <w:t>业执照、资质证书和安全生产许可证等材料，</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具体要求见投标人须知前附表。</w:t>
      </w:r>
    </w:p>
    <w:p w14:paraId="460901BF">
      <w:pPr>
        <w:spacing w:line="268" w:lineRule="auto"/>
        <w:rPr>
          <w:rFonts w:ascii="宋体" w:hAnsi="宋体" w:eastAsia="宋体" w:cs="宋体"/>
          <w:color w:val="auto"/>
          <w:sz w:val="21"/>
          <w:szCs w:val="21"/>
          <w:highlight w:val="none"/>
        </w:rPr>
        <w:sectPr>
          <w:footerReference r:id="rId13" w:type="default"/>
          <w:pgSz w:w="11905" w:h="16839"/>
          <w:pgMar w:top="1431" w:right="1630" w:bottom="1036" w:left="1785" w:header="0" w:footer="847" w:gutter="0"/>
          <w:pgNumType w:fmt="decimal"/>
          <w:cols w:space="720" w:num="1"/>
        </w:sectPr>
      </w:pPr>
    </w:p>
    <w:p w14:paraId="38053E71">
      <w:pPr>
        <w:spacing w:before="116" w:line="268" w:lineRule="auto"/>
        <w:ind w:left="19" w:right="204" w:firstLine="422"/>
        <w:rPr>
          <w:rFonts w:ascii="宋体" w:hAnsi="宋体" w:eastAsia="宋体" w:cs="宋体"/>
          <w:color w:val="auto"/>
          <w:sz w:val="21"/>
          <w:szCs w:val="21"/>
          <w:highlight w:val="none"/>
        </w:rPr>
      </w:pPr>
      <w:bookmarkStart w:id="80" w:name="bookmark92"/>
      <w:bookmarkEnd w:id="80"/>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“近年财务状况表”应附经会计师事务所或审计机构审计的财务会计报表</w:t>
      </w:r>
      <w:r>
        <w:rPr>
          <w:rFonts w:ascii="宋体" w:hAnsi="宋体" w:eastAsia="宋体" w:cs="宋体"/>
          <w:color w:val="auto"/>
          <w:spacing w:val="-2"/>
          <w:sz w:val="21"/>
          <w:szCs w:val="21"/>
          <w:highlight w:val="none"/>
        </w:rPr>
        <w:t>，具体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年份要求见投标人须知前附表。</w:t>
      </w:r>
    </w:p>
    <w:p w14:paraId="49955ED9">
      <w:pPr>
        <w:spacing w:before="110" w:line="268" w:lineRule="auto"/>
        <w:ind w:left="19" w:right="201"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3.5.3   </w:t>
      </w:r>
      <w:r>
        <w:rPr>
          <w:rFonts w:ascii="宋体" w:hAnsi="宋体" w:eastAsia="宋体" w:cs="宋体"/>
          <w:color w:val="auto"/>
          <w:spacing w:val="-4"/>
          <w:sz w:val="21"/>
          <w:szCs w:val="21"/>
          <w:highlight w:val="none"/>
        </w:rPr>
        <w:t>“近年完成的类似项目情况表”应</w:t>
      </w:r>
      <w:r>
        <w:rPr>
          <w:rFonts w:ascii="宋体" w:hAnsi="宋体" w:eastAsia="宋体" w:cs="宋体"/>
          <w:color w:val="auto"/>
          <w:spacing w:val="-5"/>
          <w:sz w:val="21"/>
          <w:szCs w:val="21"/>
          <w:highlight w:val="none"/>
        </w:rPr>
        <w:t>附中标通知书、合同、</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竣工验收等材料，具体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年份要求见投标人须知前附表。每张表格只填写一个项目，并标明序号。</w:t>
      </w:r>
    </w:p>
    <w:p w14:paraId="5D8B5F86">
      <w:pPr>
        <w:spacing w:before="108" w:line="269" w:lineRule="auto"/>
        <w:ind w:left="17" w:right="204"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“正在施工和新承接的项目情况表”应附中标通知书、合同协议书等材料</w:t>
      </w:r>
      <w:r>
        <w:rPr>
          <w:rFonts w:ascii="宋体" w:hAnsi="宋体" w:eastAsia="宋体" w:cs="宋体"/>
          <w:color w:val="auto"/>
          <w:spacing w:val="-2"/>
          <w:sz w:val="21"/>
          <w:szCs w:val="21"/>
          <w:highlight w:val="none"/>
        </w:rPr>
        <w:t>。每张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表格只填写一个项目，并标明序号。</w:t>
      </w:r>
    </w:p>
    <w:p w14:paraId="70D6C71F">
      <w:pPr>
        <w:spacing w:before="109" w:line="268" w:lineRule="auto"/>
        <w:ind w:left="24" w:right="204" w:firstLine="41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宋体" w:hAnsi="宋体" w:eastAsia="宋体" w:cs="宋体"/>
          <w:color w:val="auto"/>
          <w:spacing w:val="-1"/>
          <w:sz w:val="21"/>
          <w:szCs w:val="21"/>
          <w:highlight w:val="none"/>
        </w:rPr>
        <w:t>“近年发生的诉讼及仲裁情况”应说明相关情况，并附法院或仲裁机构作</w:t>
      </w:r>
      <w:r>
        <w:rPr>
          <w:rFonts w:ascii="宋体" w:hAnsi="宋体" w:eastAsia="宋体" w:cs="宋体"/>
          <w:color w:val="auto"/>
          <w:spacing w:val="-2"/>
          <w:sz w:val="21"/>
          <w:szCs w:val="21"/>
          <w:highlight w:val="none"/>
        </w:rPr>
        <w:t>出的判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决、裁决等有关法律文书，具体年份要求见</w:t>
      </w:r>
      <w:r>
        <w:rPr>
          <w:rFonts w:ascii="宋体" w:hAnsi="宋体" w:eastAsia="宋体" w:cs="宋体"/>
          <w:color w:val="auto"/>
          <w:spacing w:val="-2"/>
          <w:sz w:val="21"/>
          <w:szCs w:val="21"/>
          <w:highlight w:val="none"/>
        </w:rPr>
        <w:t>投标人须知前附表。</w:t>
      </w:r>
    </w:p>
    <w:p w14:paraId="792B55C7">
      <w:pPr>
        <w:spacing w:before="110" w:line="269" w:lineRule="auto"/>
        <w:ind w:left="19" w:right="197"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3.5.6</w:t>
      </w:r>
      <w:r>
        <w:rPr>
          <w:rFonts w:ascii="Times New Roman" w:hAnsi="Times New Roman" w:eastAsia="Times New Roman" w:cs="Times New Roman"/>
          <w:color w:val="auto"/>
          <w:spacing w:val="20"/>
          <w:w w:val="101"/>
          <w:sz w:val="21"/>
          <w:szCs w:val="21"/>
          <w:highlight w:val="none"/>
        </w:rPr>
        <w:t xml:space="preserve"> </w:t>
      </w:r>
      <w:r>
        <w:rPr>
          <w:rFonts w:ascii="宋体" w:hAnsi="宋体" w:eastAsia="宋体" w:cs="宋体"/>
          <w:color w:val="auto"/>
          <w:spacing w:val="-2"/>
          <w:sz w:val="21"/>
          <w:szCs w:val="21"/>
          <w:highlight w:val="none"/>
        </w:rPr>
        <w:t xml:space="preserve">投标人须知前附表第 </w:t>
      </w:r>
      <w:r>
        <w:rPr>
          <w:rFonts w:ascii="Times New Roman" w:hAnsi="Times New Roman" w:eastAsia="Times New Roman" w:cs="Times New Roman"/>
          <w:color w:val="auto"/>
          <w:spacing w:val="-2"/>
          <w:sz w:val="21"/>
          <w:szCs w:val="21"/>
          <w:highlight w:val="none"/>
        </w:rPr>
        <w:t>1.4.2</w:t>
      </w:r>
      <w:r>
        <w:rPr>
          <w:rFonts w:ascii="Times New Roman" w:hAnsi="Times New Roman" w:eastAsia="Times New Roman" w:cs="Times New Roman"/>
          <w:color w:val="auto"/>
          <w:spacing w:val="17"/>
          <w:sz w:val="21"/>
          <w:szCs w:val="21"/>
          <w:highlight w:val="none"/>
        </w:rPr>
        <w:t xml:space="preserve"> </w:t>
      </w:r>
      <w:r>
        <w:rPr>
          <w:rFonts w:ascii="宋体" w:hAnsi="宋体" w:eastAsia="宋体" w:cs="宋体"/>
          <w:color w:val="auto"/>
          <w:spacing w:val="-2"/>
          <w:sz w:val="21"/>
          <w:szCs w:val="21"/>
          <w:highlight w:val="none"/>
        </w:rPr>
        <w:t xml:space="preserve">项规定接受联合体投标的，本章第 </w:t>
      </w:r>
      <w:r>
        <w:rPr>
          <w:rFonts w:ascii="Times New Roman" w:hAnsi="Times New Roman" w:eastAsia="Times New Roman" w:cs="Times New Roman"/>
          <w:color w:val="auto"/>
          <w:spacing w:val="-2"/>
          <w:sz w:val="21"/>
          <w:szCs w:val="21"/>
          <w:highlight w:val="none"/>
        </w:rPr>
        <w:t>3.5.1</w:t>
      </w:r>
      <w:r>
        <w:rPr>
          <w:rFonts w:ascii="Times New Roman" w:hAnsi="Times New Roman" w:eastAsia="Times New Roman" w:cs="Times New Roman"/>
          <w:color w:val="auto"/>
          <w:spacing w:val="21"/>
          <w:w w:val="101"/>
          <w:sz w:val="21"/>
          <w:szCs w:val="21"/>
          <w:highlight w:val="none"/>
        </w:rPr>
        <w:t xml:space="preserve"> </w:t>
      </w:r>
      <w:r>
        <w:rPr>
          <w:rFonts w:ascii="宋体" w:hAnsi="宋体" w:eastAsia="宋体" w:cs="宋体"/>
          <w:color w:val="auto"/>
          <w:spacing w:val="-2"/>
          <w:sz w:val="21"/>
          <w:szCs w:val="21"/>
          <w:highlight w:val="none"/>
        </w:rPr>
        <w:t>项规</w:t>
      </w:r>
      <w:r>
        <w:rPr>
          <w:rFonts w:ascii="宋体" w:hAnsi="宋体" w:eastAsia="宋体" w:cs="宋体"/>
          <w:color w:val="auto"/>
          <w:spacing w:val="-3"/>
          <w:sz w:val="21"/>
          <w:szCs w:val="21"/>
          <w:highlight w:val="none"/>
        </w:rPr>
        <w:t>定的表格</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和资料应包括联合体各方相关情况。</w:t>
      </w:r>
    </w:p>
    <w:p w14:paraId="02A16E48">
      <w:pPr>
        <w:spacing w:before="109" w:line="268" w:lineRule="auto"/>
        <w:ind w:left="23" w:right="40"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3.5.7</w:t>
      </w:r>
      <w:r>
        <w:rPr>
          <w:rFonts w:ascii="Times New Roman" w:hAnsi="Times New Roman" w:eastAsia="Times New Roman" w:cs="Times New Roman"/>
          <w:color w:val="auto"/>
          <w:spacing w:val="53"/>
          <w:sz w:val="21"/>
          <w:szCs w:val="21"/>
          <w:highlight w:val="none"/>
        </w:rPr>
        <w:t xml:space="preserve"> </w:t>
      </w:r>
      <w:r>
        <w:rPr>
          <w:rFonts w:ascii="宋体" w:hAnsi="宋体" w:eastAsia="宋体" w:cs="宋体"/>
          <w:color w:val="auto"/>
          <w:spacing w:val="-1"/>
          <w:sz w:val="21"/>
          <w:szCs w:val="21"/>
          <w:highlight w:val="none"/>
        </w:rPr>
        <w:t>投标人应按招标文件第八章“投标文件格式”中规定的表格内容填写资格审查表，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并按各资格审查表的具体要求提供相关证件及证明</w:t>
      </w:r>
      <w:r>
        <w:rPr>
          <w:rFonts w:ascii="宋体" w:hAnsi="宋体" w:eastAsia="宋体" w:cs="宋体"/>
          <w:color w:val="auto"/>
          <w:spacing w:val="-2"/>
          <w:sz w:val="21"/>
          <w:szCs w:val="21"/>
          <w:highlight w:val="none"/>
        </w:rPr>
        <w:t>材料。</w:t>
      </w:r>
    </w:p>
    <w:p w14:paraId="765F01BA">
      <w:pPr>
        <w:spacing w:before="109"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3.5.8 </w:t>
      </w:r>
      <w:r>
        <w:rPr>
          <w:rFonts w:ascii="宋体" w:hAnsi="宋体" w:eastAsia="宋体" w:cs="宋体"/>
          <w:color w:val="auto"/>
          <w:spacing w:val="-2"/>
          <w:sz w:val="21"/>
          <w:szCs w:val="21"/>
          <w:highlight w:val="none"/>
        </w:rPr>
        <w:t>本招标文件中“类似项目”的定义见投标人须知前附表第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10.1.1 </w:t>
      </w:r>
      <w:r>
        <w:rPr>
          <w:rFonts w:ascii="宋体" w:hAnsi="宋体" w:eastAsia="宋体" w:cs="宋体"/>
          <w:color w:val="auto"/>
          <w:spacing w:val="-2"/>
          <w:sz w:val="21"/>
          <w:szCs w:val="21"/>
          <w:highlight w:val="none"/>
        </w:rPr>
        <w:t>条目规定。</w:t>
      </w:r>
    </w:p>
    <w:p w14:paraId="6554A38E">
      <w:pPr>
        <w:spacing w:before="110" w:line="254" w:lineRule="auto"/>
        <w:ind w:left="19" w:right="730" w:firstLine="4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 xml:space="preserve">3.5.9 </w:t>
      </w:r>
      <w:r>
        <w:rPr>
          <w:rFonts w:ascii="宋体" w:hAnsi="宋体" w:eastAsia="宋体" w:cs="宋体"/>
          <w:color w:val="auto"/>
          <w:spacing w:val="-1"/>
          <w:sz w:val="21"/>
          <w:szCs w:val="21"/>
          <w:highlight w:val="none"/>
        </w:rPr>
        <w:t>项目经理的已完成的类似项目的业绩，具体年份要求见</w:t>
      </w:r>
      <w:r>
        <w:rPr>
          <w:rFonts w:ascii="宋体" w:hAnsi="宋体" w:eastAsia="宋体" w:cs="宋体"/>
          <w:color w:val="auto"/>
          <w:spacing w:val="-2"/>
          <w:sz w:val="21"/>
          <w:szCs w:val="21"/>
          <w:highlight w:val="none"/>
        </w:rPr>
        <w:t>投标人须知前附表。</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1"/>
          <w:sz w:val="24"/>
          <w:szCs w:val="24"/>
          <w:highlight w:val="none"/>
        </w:rPr>
        <w:t xml:space="preserve">3.6 </w:t>
      </w:r>
      <w:r>
        <w:rPr>
          <w:rFonts w:ascii="黑体" w:hAnsi="黑体" w:eastAsia="黑体" w:cs="黑体"/>
          <w:color w:val="auto"/>
          <w:spacing w:val="-1"/>
          <w:sz w:val="24"/>
          <w:szCs w:val="24"/>
          <w:highlight w:val="none"/>
        </w:rPr>
        <w:t>备选投标方案</w:t>
      </w:r>
    </w:p>
    <w:p w14:paraId="174B9BB7">
      <w:pPr>
        <w:spacing w:before="101" w:line="293" w:lineRule="auto"/>
        <w:ind w:left="17" w:right="202" w:firstLine="43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除投标人须知前附表另有规定外，投标人不得递交备选投标方</w:t>
      </w:r>
      <w:r>
        <w:rPr>
          <w:rFonts w:ascii="宋体" w:hAnsi="宋体" w:eastAsia="宋体" w:cs="宋体"/>
          <w:color w:val="auto"/>
          <w:spacing w:val="2"/>
          <w:sz w:val="21"/>
          <w:szCs w:val="21"/>
          <w:highlight w:val="none"/>
        </w:rPr>
        <w:t>案。允许投标人递交备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选投标方案的，只有中标人所递交的备选投标方案方可予以考虑。评标委员会</w:t>
      </w:r>
      <w:r>
        <w:rPr>
          <w:rFonts w:ascii="宋体" w:hAnsi="宋体" w:eastAsia="宋体" w:cs="宋体"/>
          <w:color w:val="auto"/>
          <w:spacing w:val="2"/>
          <w:sz w:val="21"/>
          <w:szCs w:val="21"/>
          <w:highlight w:val="none"/>
        </w:rPr>
        <w:t>认为中标候</w:t>
      </w:r>
      <w:r>
        <w:rPr>
          <w:rFonts w:ascii="宋体" w:hAnsi="宋体" w:eastAsia="宋体" w:cs="宋体"/>
          <w:color w:val="auto"/>
          <w:sz w:val="21"/>
          <w:szCs w:val="21"/>
          <w:highlight w:val="none"/>
        </w:rPr>
        <w:t xml:space="preserve"> 选人的备选投标方案优于其按照招标文件要求编制的投标方案的， 该中标候选人被确定中</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标人后，招标人可以接受该备选投标方案。</w:t>
      </w:r>
    </w:p>
    <w:p w14:paraId="77D86A31">
      <w:pPr>
        <w:spacing w:before="83"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3.7 </w:t>
      </w:r>
      <w:r>
        <w:rPr>
          <w:rFonts w:ascii="黑体" w:hAnsi="黑体" w:eastAsia="黑体" w:cs="黑体"/>
          <w:color w:val="auto"/>
          <w:spacing w:val="-1"/>
          <w:sz w:val="24"/>
          <w:szCs w:val="24"/>
          <w:highlight w:val="none"/>
        </w:rPr>
        <w:t>投标文件的编制</w:t>
      </w:r>
    </w:p>
    <w:p w14:paraId="072D825A">
      <w:pPr>
        <w:spacing w:before="100" w:line="285" w:lineRule="auto"/>
        <w:ind w:left="20" w:right="199"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3.7.1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投标文件应按第八章“投标文件</w:t>
      </w:r>
      <w:r>
        <w:rPr>
          <w:rFonts w:ascii="宋体" w:hAnsi="宋体" w:eastAsia="宋体" w:cs="宋体"/>
          <w:color w:val="auto"/>
          <w:sz w:val="21"/>
          <w:szCs w:val="21"/>
          <w:highlight w:val="none"/>
        </w:rPr>
        <w:t>格式”进行编写，如有必要，可以增加附页，作 为投标文件的组成部分。其中，投标函附录在满足招标文件实质性要求的基础上， 可以提</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出比招标文件要求更有利于招标人的承诺。</w:t>
      </w:r>
    </w:p>
    <w:p w14:paraId="3AA83BC3">
      <w:pPr>
        <w:spacing w:before="108" w:line="269" w:lineRule="auto"/>
        <w:ind w:left="19" w:right="234" w:firstLine="422"/>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3.7.2</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z w:val="21"/>
          <w:szCs w:val="21"/>
          <w:highlight w:val="none"/>
        </w:rPr>
        <w:t>投标文件应当对招标文件有关工期、投标有效期、质量要求、技</w:t>
      </w:r>
      <w:r>
        <w:rPr>
          <w:rFonts w:ascii="宋体" w:hAnsi="宋体" w:eastAsia="宋体" w:cs="宋体"/>
          <w:color w:val="auto"/>
          <w:spacing w:val="-1"/>
          <w:sz w:val="21"/>
          <w:szCs w:val="21"/>
          <w:highlight w:val="none"/>
        </w:rPr>
        <w:t>术标准和要求、</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招标范围等实质性内容作出响应。</w:t>
      </w:r>
    </w:p>
    <w:p w14:paraId="0C6F2D09">
      <w:pPr>
        <w:spacing w:before="10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3.7.3 </w:t>
      </w:r>
      <w:r>
        <w:rPr>
          <w:rFonts w:ascii="宋体" w:hAnsi="宋体" w:eastAsia="宋体" w:cs="宋体"/>
          <w:color w:val="auto"/>
          <w:spacing w:val="-1"/>
          <w:sz w:val="21"/>
          <w:szCs w:val="21"/>
          <w:highlight w:val="none"/>
        </w:rPr>
        <w:t>投标文件制作</w:t>
      </w:r>
    </w:p>
    <w:p w14:paraId="0659160C">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）投标文件由投标人使用符合标准的数字化投标文件制作软件制作生成。</w:t>
      </w:r>
    </w:p>
    <w:p w14:paraId="6284C616">
      <w:pPr>
        <w:spacing w:before="108"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）投标人在编制投标文件时应当建立分级目录，</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并按照提示录入或填写相关内容。</w:t>
      </w:r>
    </w:p>
    <w:p w14:paraId="633FA141">
      <w:pPr>
        <w:spacing w:before="108" w:line="293" w:lineRule="auto"/>
        <w:ind w:left="2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）投标人应当从企业主体信息库（</w:t>
      </w:r>
      <w:r>
        <w:rPr>
          <w:rFonts w:ascii="Times New Roman" w:hAnsi="Times New Roman" w:eastAsia="Times New Roman" w:cs="Times New Roman"/>
          <w:color w:val="auto"/>
          <w:spacing w:val="3"/>
          <w:sz w:val="21"/>
          <w:szCs w:val="21"/>
          <w:highlight w:val="none"/>
        </w:rPr>
        <w:t>2024</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3"/>
          <w:sz w:val="21"/>
          <w:szCs w:val="21"/>
          <w:highlight w:val="none"/>
        </w:rPr>
        <w:t>年新版本辽宁省工程建设项</w:t>
      </w:r>
      <w:r>
        <w:rPr>
          <w:rFonts w:ascii="宋体" w:hAnsi="宋体" w:eastAsia="宋体" w:cs="宋体"/>
          <w:color w:val="auto"/>
          <w:spacing w:val="2"/>
          <w:sz w:val="21"/>
          <w:szCs w:val="21"/>
          <w:highlight w:val="none"/>
        </w:rPr>
        <w:t>目主体云库）</w:t>
      </w:r>
      <w:r>
        <w:rPr>
          <w:rFonts w:ascii="宋体" w:hAnsi="宋体" w:eastAsia="宋体" w:cs="宋体"/>
          <w:color w:val="auto"/>
          <w:sz w:val="21"/>
          <w:szCs w:val="21"/>
          <w:highlight w:val="none"/>
        </w:rPr>
        <w:t xml:space="preserve"> 中选择用于评审的佐证或证明材料并获取相应的数据信息， 在制作投标文件时生成应用于</w:t>
      </w:r>
      <w:r>
        <w:rPr>
          <w:rFonts w:ascii="宋体" w:hAnsi="宋体" w:eastAsia="宋体" w:cs="宋体"/>
          <w:color w:val="auto"/>
          <w:spacing w:val="1"/>
          <w:sz w:val="21"/>
          <w:szCs w:val="21"/>
          <w:highlight w:val="none"/>
        </w:rPr>
        <w:t xml:space="preserve">   </w:t>
      </w:r>
      <w:r>
        <w:rPr>
          <w:rFonts w:ascii="宋体" w:hAnsi="宋体" w:eastAsia="宋体" w:cs="宋体"/>
          <w:color w:val="auto"/>
          <w:spacing w:val="3"/>
          <w:sz w:val="21"/>
          <w:szCs w:val="21"/>
          <w:highlight w:val="none"/>
        </w:rPr>
        <w:t>项目评审的数字证照或影印件。如发现获取信息内容有错误应当在企业主体信</w:t>
      </w:r>
      <w:r>
        <w:rPr>
          <w:rFonts w:ascii="宋体" w:hAnsi="宋体" w:eastAsia="宋体" w:cs="宋体"/>
          <w:color w:val="auto"/>
          <w:spacing w:val="2"/>
          <w:sz w:val="21"/>
          <w:szCs w:val="21"/>
          <w:highlight w:val="none"/>
        </w:rPr>
        <w:t>息库修改和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完善，并重新获取并生成数字证照或影印件。</w:t>
      </w:r>
    </w:p>
    <w:p w14:paraId="61FBBD9B">
      <w:pPr>
        <w:spacing w:before="108" w:line="269" w:lineRule="auto"/>
        <w:ind w:left="20" w:right="202"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投标人投标文件中数字证照数据信息内容是专家评审凭证和依据，投标人应当自行校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核和确认数字证照数据信息内容，确保其准确有效和响应招标文件要求。</w:t>
      </w:r>
    </w:p>
    <w:p w14:paraId="708730F7">
      <w:pPr>
        <w:spacing w:before="111" w:line="292" w:lineRule="auto"/>
        <w:ind w:left="17" w:right="207"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投标人应用于投标的数字证照可通过主体信息库调取、下载和追溯其数</w:t>
      </w:r>
      <w:r>
        <w:rPr>
          <w:rFonts w:ascii="宋体" w:hAnsi="宋体" w:eastAsia="宋体" w:cs="宋体"/>
          <w:color w:val="auto"/>
          <w:spacing w:val="2"/>
          <w:sz w:val="21"/>
          <w:szCs w:val="21"/>
          <w:highlight w:val="none"/>
        </w:rPr>
        <w:t>据原始材料，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用于核查、归档、调查或异议投诉处理等事宜。如发现投标人投标文件中应用</w:t>
      </w:r>
      <w:r>
        <w:rPr>
          <w:rFonts w:ascii="宋体" w:hAnsi="宋体" w:eastAsia="宋体" w:cs="宋体"/>
          <w:color w:val="auto"/>
          <w:spacing w:val="2"/>
          <w:sz w:val="21"/>
          <w:szCs w:val="21"/>
          <w:highlight w:val="none"/>
        </w:rPr>
        <w:t>于评审的数</w:t>
      </w:r>
      <w:r>
        <w:rPr>
          <w:rFonts w:ascii="宋体" w:hAnsi="宋体" w:eastAsia="宋体" w:cs="宋体"/>
          <w:color w:val="auto"/>
          <w:sz w:val="21"/>
          <w:szCs w:val="21"/>
          <w:highlight w:val="none"/>
        </w:rPr>
        <w:t xml:space="preserve"> 据证照信息数据内容存在不实或弄虚作假的， 即按照弄虚作假骗取中标行为予以认定并依</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法依规处理。</w:t>
      </w:r>
    </w:p>
    <w:p w14:paraId="186B368C">
      <w:pPr>
        <w:spacing w:line="292" w:lineRule="auto"/>
        <w:rPr>
          <w:rFonts w:ascii="宋体" w:hAnsi="宋体" w:eastAsia="宋体" w:cs="宋体"/>
          <w:color w:val="auto"/>
          <w:sz w:val="21"/>
          <w:szCs w:val="21"/>
          <w:highlight w:val="none"/>
        </w:rPr>
        <w:sectPr>
          <w:footerReference r:id="rId14" w:type="default"/>
          <w:pgSz w:w="11905" w:h="16839"/>
          <w:pgMar w:top="1431" w:right="1589" w:bottom="1036" w:left="1785" w:header="0" w:footer="847" w:gutter="0"/>
          <w:pgNumType w:fmt="decimal"/>
          <w:cols w:space="720" w:num="1"/>
        </w:sectPr>
      </w:pPr>
    </w:p>
    <w:p w14:paraId="5419338B">
      <w:pPr>
        <w:spacing w:before="115" w:line="220" w:lineRule="auto"/>
        <w:ind w:left="441"/>
        <w:rPr>
          <w:rFonts w:ascii="宋体" w:hAnsi="宋体" w:eastAsia="宋体" w:cs="宋体"/>
          <w:color w:val="auto"/>
          <w:sz w:val="21"/>
          <w:szCs w:val="21"/>
          <w:highlight w:val="none"/>
        </w:rPr>
      </w:pPr>
      <w:bookmarkStart w:id="81" w:name="bookmark93"/>
      <w:bookmarkEnd w:id="81"/>
      <w:r>
        <w:rPr>
          <w:rFonts w:ascii="宋体" w:hAnsi="宋体" w:eastAsia="宋体" w:cs="宋体"/>
          <w:color w:val="auto"/>
          <w:spacing w:val="-1"/>
          <w:sz w:val="21"/>
          <w:szCs w:val="21"/>
          <w:highlight w:val="none"/>
        </w:rPr>
        <w:t>应用数字证照评审的节点和材料内容见投标人须知前附</w:t>
      </w:r>
      <w:r>
        <w:rPr>
          <w:rFonts w:ascii="宋体" w:hAnsi="宋体" w:eastAsia="宋体" w:cs="宋体"/>
          <w:color w:val="auto"/>
          <w:spacing w:val="-2"/>
          <w:sz w:val="21"/>
          <w:szCs w:val="21"/>
          <w:highlight w:val="none"/>
        </w:rPr>
        <w:t>表。</w:t>
      </w:r>
    </w:p>
    <w:p w14:paraId="1DFE204C">
      <w:pPr>
        <w:spacing w:before="107" w:line="301" w:lineRule="auto"/>
        <w:ind w:left="18" w:firstLine="42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4</w:t>
      </w:r>
      <w:r>
        <w:rPr>
          <w:rFonts w:ascii="宋体" w:hAnsi="宋体" w:eastAsia="宋体" w:cs="宋体"/>
          <w:color w:val="auto"/>
          <w:spacing w:val="12"/>
          <w:sz w:val="21"/>
          <w:szCs w:val="21"/>
          <w:highlight w:val="none"/>
        </w:rPr>
        <w:t>）第八章投标文件格式文件要求“盖单位</w:t>
      </w:r>
      <w:r>
        <w:rPr>
          <w:rFonts w:ascii="宋体" w:hAnsi="宋体" w:eastAsia="宋体" w:cs="宋体"/>
          <w:color w:val="auto"/>
          <w:spacing w:val="11"/>
          <w:sz w:val="21"/>
          <w:szCs w:val="21"/>
          <w:highlight w:val="none"/>
        </w:rPr>
        <w:t>章”的地方，投标人应使用数字证书</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z w:val="21"/>
          <w:szCs w:val="21"/>
          <w:highlight w:val="none"/>
        </w:rPr>
        <w:t>CA</w:t>
      </w:r>
      <w:r>
        <w:rPr>
          <w:rFonts w:ascii="宋体" w:hAnsi="宋体" w:eastAsia="宋体" w:cs="宋体"/>
          <w:color w:val="auto"/>
          <w:spacing w:val="1"/>
          <w:sz w:val="21"/>
          <w:szCs w:val="21"/>
          <w:highlight w:val="none"/>
        </w:rPr>
        <w:t>）加盖投标人的单位电子印章； 要求“签章”的地方，投标人应使用数字证书（</w:t>
      </w:r>
      <w:r>
        <w:rPr>
          <w:rFonts w:ascii="Times New Roman" w:hAnsi="Times New Roman" w:eastAsia="Times New Roman" w:cs="Times New Roman"/>
          <w:color w:val="auto"/>
          <w:sz w:val="21"/>
          <w:szCs w:val="21"/>
          <w:highlight w:val="none"/>
        </w:rPr>
        <w:t>CA</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加盖法定代表人（授权委托人）的个人电子印章或电子签名。联合体投标的，投标文</w:t>
      </w:r>
      <w:r>
        <w:rPr>
          <w:rFonts w:ascii="宋体" w:hAnsi="宋体" w:eastAsia="宋体" w:cs="宋体"/>
          <w:color w:val="auto"/>
          <w:spacing w:val="2"/>
          <w:sz w:val="21"/>
          <w:szCs w:val="21"/>
          <w:highlight w:val="none"/>
        </w:rPr>
        <w:t>件由</w:t>
      </w:r>
      <w:r>
        <w:rPr>
          <w:rFonts w:ascii="宋体" w:hAnsi="宋体" w:eastAsia="宋体" w:cs="宋体"/>
          <w:color w:val="auto"/>
          <w:sz w:val="21"/>
          <w:szCs w:val="21"/>
          <w:highlight w:val="none"/>
        </w:rPr>
        <w:t xml:space="preserve">   联合体牵头人按上述规定在要求“盖单位章”的地方加盖联合体牵头人单位电子印章； 在</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要求“签章”的地方加盖联合体牵头人法定代表人（授权委托人） 的个人电子印章或电子</w:t>
      </w:r>
      <w:r>
        <w:rPr>
          <w:rFonts w:ascii="宋体" w:hAnsi="宋体" w:eastAsia="宋体" w:cs="宋体"/>
          <w:color w:val="auto"/>
          <w:spacing w:val="3"/>
          <w:sz w:val="21"/>
          <w:szCs w:val="21"/>
          <w:highlight w:val="none"/>
        </w:rPr>
        <w:t xml:space="preserve">   </w:t>
      </w:r>
      <w:r>
        <w:rPr>
          <w:rFonts w:ascii="宋体" w:hAnsi="宋体" w:eastAsia="宋体" w:cs="宋体"/>
          <w:color w:val="auto"/>
          <w:spacing w:val="-8"/>
          <w:sz w:val="21"/>
          <w:szCs w:val="21"/>
          <w:highlight w:val="none"/>
        </w:rPr>
        <w:t>签名。 招标文件有特别说明的除外。</w:t>
      </w:r>
    </w:p>
    <w:p w14:paraId="732CD583">
      <w:pPr>
        <w:spacing w:before="108" w:line="269" w:lineRule="auto"/>
        <w:ind w:left="19" w:right="192"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）投标文件中的已标价工程量清单数据文件应符合辽宁省建设工程造价数据规范的</w:t>
      </w:r>
      <w:r>
        <w:rPr>
          <w:rFonts w:ascii="宋体" w:hAnsi="宋体" w:eastAsia="宋体" w:cs="宋体"/>
          <w:color w:val="auto"/>
          <w:spacing w:val="7"/>
          <w:sz w:val="21"/>
          <w:szCs w:val="21"/>
          <w:highlight w:val="none"/>
        </w:rPr>
        <w:t xml:space="preserve"> </w:t>
      </w:r>
      <w:r>
        <w:rPr>
          <w:rFonts w:ascii="宋体" w:hAnsi="宋体" w:eastAsia="宋体" w:cs="宋体"/>
          <w:color w:val="auto"/>
          <w:spacing w:val="-4"/>
          <w:sz w:val="21"/>
          <w:szCs w:val="21"/>
          <w:highlight w:val="none"/>
        </w:rPr>
        <w:t>要求，多个专业分别编制时， 应汇总合并为一个文</w:t>
      </w:r>
      <w:r>
        <w:rPr>
          <w:rFonts w:ascii="宋体" w:hAnsi="宋体" w:eastAsia="宋体" w:cs="宋体"/>
          <w:color w:val="auto"/>
          <w:spacing w:val="-5"/>
          <w:sz w:val="21"/>
          <w:szCs w:val="21"/>
          <w:highlight w:val="none"/>
        </w:rPr>
        <w:t>件导入。</w:t>
      </w:r>
    </w:p>
    <w:p w14:paraId="7CC3EF3D">
      <w:pPr>
        <w:spacing w:before="106" w:line="293" w:lineRule="auto"/>
        <w:ind w:left="19" w:right="192" w:firstLine="42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）投标文件制作完成后，将生成一份加密的电子投标文件。</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投标人应当自行验证电</w:t>
      </w:r>
      <w:r>
        <w:rPr>
          <w:rFonts w:ascii="宋体" w:hAnsi="宋体" w:eastAsia="宋体" w:cs="宋体"/>
          <w:color w:val="auto"/>
          <w:sz w:val="21"/>
          <w:szCs w:val="21"/>
          <w:highlight w:val="none"/>
        </w:rPr>
        <w:t xml:space="preserve"> 子投标文件格式、内容和数据的准确性，原则上电子投</w:t>
      </w:r>
      <w:r>
        <w:rPr>
          <w:rFonts w:ascii="宋体" w:hAnsi="宋体" w:eastAsia="宋体" w:cs="宋体"/>
          <w:color w:val="auto"/>
          <w:spacing w:val="-1"/>
          <w:sz w:val="21"/>
          <w:szCs w:val="21"/>
          <w:highlight w:val="none"/>
        </w:rPr>
        <w:t>标文件大小不得超过</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500M</w:t>
      </w:r>
      <w:r>
        <w:rPr>
          <w:rFonts w:ascii="宋体" w:hAnsi="宋体" w:eastAsia="宋体" w:cs="宋体"/>
          <w:color w:val="auto"/>
          <w:spacing w:val="-1"/>
          <w:sz w:val="21"/>
          <w:szCs w:val="21"/>
          <w:highlight w:val="none"/>
        </w:rPr>
        <w:t>。电子投</w:t>
      </w:r>
      <w:r>
        <w:rPr>
          <w:rFonts w:ascii="宋体" w:hAnsi="宋体" w:eastAsia="宋体" w:cs="宋体"/>
          <w:color w:val="auto"/>
          <w:sz w:val="21"/>
          <w:szCs w:val="21"/>
          <w:highlight w:val="none"/>
        </w:rPr>
        <w:t xml:space="preserve"> 标文件由于格式、内容或数据存在错误造成无法解密或解析，视为撤回投标文件， 责任由</w:t>
      </w:r>
      <w:r>
        <w:rPr>
          <w:rFonts w:ascii="宋体" w:hAnsi="宋体" w:eastAsia="宋体" w:cs="宋体"/>
          <w:color w:val="auto"/>
          <w:spacing w:val="6"/>
          <w:sz w:val="21"/>
          <w:szCs w:val="21"/>
          <w:highlight w:val="none"/>
        </w:rPr>
        <w:t xml:space="preserve"> </w:t>
      </w:r>
      <w:r>
        <w:rPr>
          <w:rFonts w:ascii="宋体" w:hAnsi="宋体" w:eastAsia="宋体" w:cs="宋体"/>
          <w:color w:val="auto"/>
          <w:spacing w:val="-4"/>
          <w:sz w:val="21"/>
          <w:szCs w:val="21"/>
          <w:highlight w:val="none"/>
        </w:rPr>
        <w:t>投标人自行承担。</w:t>
      </w:r>
    </w:p>
    <w:p w14:paraId="5DF3381D">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）投标文件制作的具体方法详见“数字化投标文件制作软件”中的操作说明。</w:t>
      </w:r>
    </w:p>
    <w:p w14:paraId="55153714">
      <w:pPr>
        <w:spacing w:before="109" w:line="268" w:lineRule="auto"/>
        <w:ind w:left="20" w:right="197"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3.7.4</w:t>
      </w:r>
      <w:r>
        <w:rPr>
          <w:rFonts w:ascii="Times New Roman" w:hAnsi="Times New Roman" w:eastAsia="Times New Roman" w:cs="Times New Roman"/>
          <w:color w:val="auto"/>
          <w:spacing w:val="55"/>
          <w:w w:val="101"/>
          <w:sz w:val="21"/>
          <w:szCs w:val="21"/>
          <w:highlight w:val="none"/>
        </w:rPr>
        <w:t xml:space="preserve"> </w:t>
      </w:r>
      <w:r>
        <w:rPr>
          <w:rFonts w:ascii="宋体" w:hAnsi="宋体" w:eastAsia="宋体" w:cs="宋体"/>
          <w:color w:val="auto"/>
          <w:spacing w:val="-5"/>
          <w:sz w:val="21"/>
          <w:szCs w:val="21"/>
          <w:highlight w:val="none"/>
        </w:rPr>
        <w:t>投标人须知前附表规定“施工组织设计”（技术标）采用“模块化暗标”，“施工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组织设计”应按本章第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3.7.3 </w:t>
      </w:r>
      <w:r>
        <w:rPr>
          <w:rFonts w:ascii="宋体" w:hAnsi="宋体" w:eastAsia="宋体" w:cs="宋体"/>
          <w:color w:val="auto"/>
          <w:spacing w:val="-1"/>
          <w:sz w:val="21"/>
          <w:szCs w:val="21"/>
          <w:highlight w:val="none"/>
        </w:rPr>
        <w:t>项制作投标文件并应满足下列要求：</w:t>
      </w:r>
    </w:p>
    <w:p w14:paraId="5EEEADC3">
      <w:pPr>
        <w:spacing w:before="112" w:line="292" w:lineRule="auto"/>
        <w:ind w:left="14" w:right="194" w:firstLine="43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）模块采用</w:t>
      </w:r>
      <w:r>
        <w:rPr>
          <w:rFonts w:ascii="宋体" w:hAnsi="宋体" w:eastAsia="宋体" w:cs="宋体"/>
          <w:color w:val="auto"/>
          <w:spacing w:val="-60"/>
          <w:sz w:val="21"/>
          <w:szCs w:val="21"/>
          <w:highlight w:val="none"/>
        </w:rPr>
        <w:t xml:space="preserve"> </w:t>
      </w:r>
      <w:r>
        <w:rPr>
          <w:rFonts w:ascii="Times New Roman" w:hAnsi="Times New Roman" w:eastAsia="Times New Roman" w:cs="Times New Roman"/>
          <w:color w:val="auto"/>
          <w:spacing w:val="-3"/>
          <w:sz w:val="21"/>
          <w:szCs w:val="21"/>
          <w:highlight w:val="none"/>
        </w:rPr>
        <w:t>A4</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3"/>
          <w:sz w:val="21"/>
          <w:szCs w:val="21"/>
          <w:highlight w:val="none"/>
        </w:rPr>
        <w:t>规格纸张，纸张方向为纵向，段落采用单</w:t>
      </w:r>
      <w:r>
        <w:rPr>
          <w:rFonts w:ascii="宋体" w:hAnsi="宋体" w:eastAsia="宋体" w:cs="宋体"/>
          <w:color w:val="auto"/>
          <w:spacing w:val="-4"/>
          <w:sz w:val="21"/>
          <w:szCs w:val="21"/>
          <w:highlight w:val="none"/>
        </w:rPr>
        <w:t>倍行距，“文档网格”设置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为“无网格”，对齐方式两端对齐，大纲级别正文文本，左侧、右侧缩进</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0 </w:t>
      </w:r>
      <w:r>
        <w:rPr>
          <w:rFonts w:ascii="宋体" w:hAnsi="宋体" w:eastAsia="宋体" w:cs="宋体"/>
          <w:color w:val="auto"/>
          <w:spacing w:val="-3"/>
          <w:sz w:val="21"/>
          <w:szCs w:val="21"/>
          <w:highlight w:val="none"/>
        </w:rPr>
        <w:t>个字符，首行缩</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进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2"/>
          <w:sz w:val="21"/>
          <w:szCs w:val="21"/>
          <w:highlight w:val="none"/>
        </w:rPr>
        <w:t xml:space="preserve">个字符，段前、段后 </w:t>
      </w:r>
      <w:r>
        <w:rPr>
          <w:rFonts w:ascii="Times New Roman" w:hAnsi="Times New Roman" w:eastAsia="Times New Roman" w:cs="Times New Roman"/>
          <w:color w:val="auto"/>
          <w:spacing w:val="-2"/>
          <w:sz w:val="21"/>
          <w:szCs w:val="21"/>
          <w:highlight w:val="none"/>
        </w:rPr>
        <w:t>0</w:t>
      </w:r>
      <w:r>
        <w:rPr>
          <w:rFonts w:ascii="Times New Roman" w:hAnsi="Times New Roman" w:eastAsia="Times New Roman" w:cs="Times New Roman"/>
          <w:color w:val="auto"/>
          <w:spacing w:val="27"/>
          <w:sz w:val="21"/>
          <w:szCs w:val="21"/>
          <w:highlight w:val="none"/>
        </w:rPr>
        <w:t xml:space="preserve"> </w:t>
      </w:r>
      <w:r>
        <w:rPr>
          <w:rFonts w:ascii="宋体" w:hAnsi="宋体" w:eastAsia="宋体" w:cs="宋体"/>
          <w:color w:val="auto"/>
          <w:spacing w:val="-2"/>
          <w:sz w:val="21"/>
          <w:szCs w:val="21"/>
          <w:highlight w:val="none"/>
        </w:rPr>
        <w:t>行。编辑软件可采用</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pacing w:val="-2"/>
          <w:sz w:val="21"/>
          <w:szCs w:val="21"/>
          <w:highlight w:val="none"/>
        </w:rPr>
        <w:t>Microsoft</w:t>
      </w:r>
      <w:r>
        <w:rPr>
          <w:rFonts w:ascii="Times New Roman" w:hAnsi="Times New Roman" w:eastAsia="Times New Roman" w:cs="Times New Roman"/>
          <w:color w:val="auto"/>
          <w:spacing w:val="21"/>
          <w:w w:val="101"/>
          <w:sz w:val="21"/>
          <w:szCs w:val="21"/>
          <w:highlight w:val="none"/>
        </w:rPr>
        <w:t xml:space="preserve"> </w:t>
      </w:r>
      <w:r>
        <w:rPr>
          <w:rFonts w:ascii="Times New Roman" w:hAnsi="Times New Roman" w:eastAsia="Times New Roman" w:cs="Times New Roman"/>
          <w:color w:val="auto"/>
          <w:spacing w:val="-2"/>
          <w:sz w:val="21"/>
          <w:szCs w:val="21"/>
          <w:highlight w:val="none"/>
        </w:rPr>
        <w:t>Word</w:t>
      </w:r>
      <w:r>
        <w:rPr>
          <w:rFonts w:ascii="Times New Roman" w:hAnsi="Times New Roman" w:eastAsia="Times New Roman" w:cs="Times New Roman"/>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2010</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2"/>
          <w:sz w:val="21"/>
          <w:szCs w:val="21"/>
          <w:highlight w:val="none"/>
        </w:rPr>
        <w:t>及以上版本或</w:t>
      </w:r>
      <w:r>
        <w:rPr>
          <w:rFonts w:ascii="宋体" w:hAnsi="宋体" w:eastAsia="宋体" w:cs="宋体"/>
          <w:color w:val="auto"/>
          <w:spacing w:val="-21"/>
          <w:sz w:val="21"/>
          <w:szCs w:val="21"/>
          <w:highlight w:val="none"/>
        </w:rPr>
        <w:t xml:space="preserve"> </w:t>
      </w:r>
      <w:r>
        <w:rPr>
          <w:rFonts w:ascii="Times New Roman" w:hAnsi="Times New Roman" w:eastAsia="Times New Roman" w:cs="Times New Roman"/>
          <w:color w:val="auto"/>
          <w:spacing w:val="-2"/>
          <w:sz w:val="21"/>
          <w:szCs w:val="21"/>
          <w:highlight w:val="none"/>
        </w:rPr>
        <w:t>WPS</w:t>
      </w:r>
      <w:r>
        <w:rPr>
          <w:rFonts w:ascii="Times New Roman" w:hAnsi="Times New Roman" w:eastAsia="Times New Roman" w:cs="Times New Roman"/>
          <w:color w:val="auto"/>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2013 </w:t>
      </w:r>
      <w:r>
        <w:rPr>
          <w:rFonts w:ascii="宋体" w:hAnsi="宋体" w:eastAsia="宋体" w:cs="宋体"/>
          <w:color w:val="auto"/>
          <w:spacing w:val="-2"/>
          <w:sz w:val="21"/>
          <w:szCs w:val="21"/>
          <w:highlight w:val="none"/>
        </w:rPr>
        <w:t>版本及以上版本。</w:t>
      </w:r>
    </w:p>
    <w:p w14:paraId="524D1B2B">
      <w:pPr>
        <w:spacing w:before="110" w:line="269" w:lineRule="auto"/>
        <w:ind w:left="38" w:right="209" w:firstLine="40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）标题（包括章、节、条、款、项）、正文要求： 采用</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pacing w:val="-6"/>
          <w:sz w:val="21"/>
          <w:szCs w:val="21"/>
          <w:highlight w:val="none"/>
        </w:rPr>
        <w:t>A4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6"/>
          <w:sz w:val="21"/>
          <w:szCs w:val="21"/>
          <w:highlight w:val="none"/>
        </w:rPr>
        <w:t>规格纸张，文字</w:t>
      </w:r>
      <w:r>
        <w:rPr>
          <w:rFonts w:ascii="宋体" w:hAnsi="宋体" w:eastAsia="宋体" w:cs="宋体"/>
          <w:color w:val="auto"/>
          <w:spacing w:val="-7"/>
          <w:sz w:val="21"/>
          <w:szCs w:val="21"/>
          <w:highlight w:val="none"/>
        </w:rPr>
        <w:t>为黑色小</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四号宋体，</w:t>
      </w:r>
      <w:r>
        <w:rPr>
          <w:rFonts w:ascii="宋体" w:hAnsi="宋体" w:eastAsia="宋体" w:cs="宋体"/>
          <w:color w:val="auto"/>
          <w:spacing w:val="20"/>
          <w:sz w:val="21"/>
          <w:szCs w:val="21"/>
          <w:highlight w:val="none"/>
        </w:rPr>
        <w:t xml:space="preserve"> </w:t>
      </w:r>
      <w:r>
        <w:rPr>
          <w:rFonts w:ascii="宋体" w:hAnsi="宋体" w:eastAsia="宋体" w:cs="宋体"/>
          <w:color w:val="auto"/>
          <w:spacing w:val="-15"/>
          <w:sz w:val="21"/>
          <w:szCs w:val="21"/>
          <w:highlight w:val="none"/>
        </w:rPr>
        <w:t>标题可加粗。</w:t>
      </w:r>
    </w:p>
    <w:p w14:paraId="19DD8E01">
      <w:pPr>
        <w:spacing w:before="106" w:line="293" w:lineRule="auto"/>
        <w:ind w:left="18" w:right="191"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）图表要求： 图表应尽可能采用</w:t>
      </w:r>
      <w:r>
        <w:rPr>
          <w:rFonts w:ascii="宋体" w:hAnsi="宋体" w:eastAsia="宋体" w:cs="宋体"/>
          <w:color w:val="auto"/>
          <w:spacing w:val="-5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A4 </w:t>
      </w:r>
      <w:r>
        <w:rPr>
          <w:rFonts w:ascii="宋体" w:hAnsi="宋体" w:eastAsia="宋体" w:cs="宋体"/>
          <w:color w:val="auto"/>
          <w:spacing w:val="-3"/>
          <w:sz w:val="21"/>
          <w:szCs w:val="21"/>
          <w:highlight w:val="none"/>
        </w:rPr>
        <w:t>规格白色</w:t>
      </w:r>
      <w:r>
        <w:rPr>
          <w:rFonts w:ascii="宋体" w:hAnsi="宋体" w:eastAsia="宋体" w:cs="宋体"/>
          <w:color w:val="auto"/>
          <w:spacing w:val="-4"/>
          <w:sz w:val="21"/>
          <w:szCs w:val="21"/>
          <w:highlight w:val="none"/>
        </w:rPr>
        <w:t>底色，对于比较大的图表可使用</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A3</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rPr>
        <w:t>规</w:t>
      </w:r>
      <w:r>
        <w:rPr>
          <w:rFonts w:ascii="宋体" w:hAnsi="宋体" w:eastAsia="宋体" w:cs="宋体"/>
          <w:color w:val="auto"/>
          <w:sz w:val="21"/>
          <w:szCs w:val="21"/>
          <w:highlight w:val="none"/>
        </w:rPr>
        <w:t xml:space="preserve"> 格白色底色。 图表中的文字采用黑色，字体、字号不限（不包括纯表格，纯表格中文字要</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rPr>
        <w:t>求同正文要求）。</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图表（包括框图、流程图、结构图等，不包括纯表</w:t>
      </w:r>
      <w:r>
        <w:rPr>
          <w:rFonts w:ascii="宋体" w:hAnsi="宋体" w:eastAsia="宋体" w:cs="宋体"/>
          <w:color w:val="auto"/>
          <w:spacing w:val="-8"/>
          <w:sz w:val="21"/>
          <w:szCs w:val="21"/>
          <w:highlight w:val="none"/>
        </w:rPr>
        <w:t>格）</w:t>
      </w:r>
      <w:r>
        <w:rPr>
          <w:rFonts w:ascii="宋体" w:hAnsi="宋体" w:eastAsia="宋体" w:cs="宋体"/>
          <w:color w:val="auto"/>
          <w:spacing w:val="43"/>
          <w:sz w:val="21"/>
          <w:szCs w:val="21"/>
          <w:highlight w:val="none"/>
        </w:rPr>
        <w:t xml:space="preserve"> </w:t>
      </w:r>
      <w:r>
        <w:rPr>
          <w:rFonts w:ascii="宋体" w:hAnsi="宋体" w:eastAsia="宋体" w:cs="宋体"/>
          <w:color w:val="auto"/>
          <w:spacing w:val="-8"/>
          <w:sz w:val="21"/>
          <w:szCs w:val="21"/>
          <w:highlight w:val="none"/>
        </w:rPr>
        <w:t>内容需转换为“图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片”格式插入到文件对应位置上。</w:t>
      </w:r>
    </w:p>
    <w:p w14:paraId="1A2C0D23">
      <w:pPr>
        <w:spacing w:before="109" w:line="268" w:lineRule="auto"/>
        <w:ind w:left="17" w:right="212"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）页眉和页脚（包括页码）设置要求：不允许出现页</w:t>
      </w:r>
      <w:r>
        <w:rPr>
          <w:rFonts w:ascii="宋体" w:hAnsi="宋体" w:eastAsia="宋体" w:cs="宋体"/>
          <w:color w:val="auto"/>
          <w:spacing w:val="-1"/>
          <w:sz w:val="21"/>
          <w:szCs w:val="21"/>
          <w:highlight w:val="none"/>
        </w:rPr>
        <w:t>眉，且页脚只准出现页码，页</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码格式采用阿拉伯数字格式， 字体为五号</w:t>
      </w:r>
      <w:r>
        <w:rPr>
          <w:rFonts w:ascii="宋体" w:hAnsi="宋体" w:eastAsia="宋体" w:cs="宋体"/>
          <w:color w:val="auto"/>
          <w:spacing w:val="-6"/>
          <w:sz w:val="21"/>
          <w:szCs w:val="21"/>
          <w:highlight w:val="none"/>
        </w:rPr>
        <w:t>宋体， 设在页脚居中位置，页码应当连续。</w:t>
      </w:r>
    </w:p>
    <w:p w14:paraId="1F762A30">
      <w:pPr>
        <w:spacing w:before="111"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）不允许有目录， 不允许涂改或删除痕迹，不允许字体涂色。</w:t>
      </w:r>
    </w:p>
    <w:p w14:paraId="5C3DBF7D">
      <w:pPr>
        <w:spacing w:before="108" w:line="269" w:lineRule="auto"/>
        <w:ind w:left="35" w:right="192" w:firstLine="41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）任何情况下，</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施工组织设计中不得出现投标人的名称和其它可以识别投标人身份</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的字符、徽标、人员名称等以及雷同性标记内容。</w:t>
      </w:r>
    </w:p>
    <w:p w14:paraId="20778DC9">
      <w:pPr>
        <w:spacing w:before="152" w:line="225"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4.</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2"/>
          <w:sz w:val="27"/>
          <w:szCs w:val="27"/>
          <w:highlight w:val="none"/>
        </w:rPr>
        <w:t>投标</w:t>
      </w:r>
    </w:p>
    <w:p w14:paraId="145F6C1A">
      <w:pPr>
        <w:spacing w:before="64"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4.1 </w:t>
      </w:r>
      <w:r>
        <w:rPr>
          <w:rFonts w:ascii="黑体" w:hAnsi="黑体" w:eastAsia="黑体" w:cs="黑体"/>
          <w:color w:val="auto"/>
          <w:sz w:val="24"/>
          <w:szCs w:val="24"/>
          <w:highlight w:val="none"/>
        </w:rPr>
        <w:t>投标文件的加密</w:t>
      </w:r>
    </w:p>
    <w:p w14:paraId="1C71B5A3">
      <w:pPr>
        <w:spacing w:before="100" w:line="269" w:lineRule="auto"/>
        <w:ind w:left="21" w:right="241" w:firstLine="4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投标人应当按照本章第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3.7.3</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4"/>
          <w:sz w:val="21"/>
          <w:szCs w:val="21"/>
          <w:highlight w:val="none"/>
        </w:rPr>
        <w:t>项要求制作投标文件， 并在投标时</w:t>
      </w:r>
      <w:r>
        <w:rPr>
          <w:rFonts w:ascii="宋体" w:hAnsi="宋体" w:eastAsia="宋体" w:cs="宋体"/>
          <w:color w:val="auto"/>
          <w:spacing w:val="-5"/>
          <w:sz w:val="21"/>
          <w:szCs w:val="21"/>
          <w:highlight w:val="none"/>
        </w:rPr>
        <w:t>上传加密的投标文件，</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未加密的投标文件， 招标人（电子招标投标系统）将拒收并提示。</w:t>
      </w:r>
    </w:p>
    <w:p w14:paraId="5CA77485">
      <w:pPr>
        <w:spacing w:before="84"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4.2 </w:t>
      </w:r>
      <w:r>
        <w:rPr>
          <w:rFonts w:ascii="黑体" w:hAnsi="黑体" w:eastAsia="黑体" w:cs="黑体"/>
          <w:color w:val="auto"/>
          <w:sz w:val="24"/>
          <w:szCs w:val="24"/>
          <w:highlight w:val="none"/>
        </w:rPr>
        <w:t>投标文件的递交</w:t>
      </w:r>
    </w:p>
    <w:p w14:paraId="77CFCED6">
      <w:pPr>
        <w:spacing w:before="101" w:line="22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4.2.1 </w:t>
      </w:r>
      <w:r>
        <w:rPr>
          <w:rFonts w:ascii="宋体" w:hAnsi="宋体" w:eastAsia="宋体" w:cs="宋体"/>
          <w:color w:val="auto"/>
          <w:sz w:val="21"/>
          <w:szCs w:val="21"/>
          <w:highlight w:val="none"/>
        </w:rPr>
        <w:t>投标人递交投标文件的截止时间（投标截止时间</w:t>
      </w:r>
      <w:r>
        <w:rPr>
          <w:rFonts w:ascii="宋体" w:hAnsi="宋体" w:eastAsia="宋体" w:cs="宋体"/>
          <w:color w:val="auto"/>
          <w:spacing w:val="-54"/>
          <w:w w:val="96"/>
          <w:sz w:val="21"/>
          <w:szCs w:val="21"/>
          <w:highlight w:val="none"/>
        </w:rPr>
        <w:t>）：</w:t>
      </w:r>
      <w:r>
        <w:rPr>
          <w:rFonts w:ascii="宋体" w:hAnsi="宋体" w:eastAsia="宋体" w:cs="宋体"/>
          <w:color w:val="auto"/>
          <w:sz w:val="21"/>
          <w:szCs w:val="21"/>
          <w:highlight w:val="none"/>
        </w:rPr>
        <w:t>见投标人须知前附表。</w:t>
      </w:r>
    </w:p>
    <w:p w14:paraId="7043163E">
      <w:pPr>
        <w:spacing w:before="110"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4.2.2</w:t>
      </w:r>
      <w:r>
        <w:rPr>
          <w:rFonts w:ascii="Times New Roman" w:hAnsi="Times New Roman" w:eastAsia="Times New Roman" w:cs="Times New Roman"/>
          <w:color w:val="auto"/>
          <w:spacing w:val="35"/>
          <w:sz w:val="21"/>
          <w:szCs w:val="21"/>
          <w:highlight w:val="none"/>
        </w:rPr>
        <w:t xml:space="preserve"> </w:t>
      </w:r>
      <w:r>
        <w:rPr>
          <w:rFonts w:ascii="宋体" w:hAnsi="宋体" w:eastAsia="宋体" w:cs="宋体"/>
          <w:color w:val="auto"/>
          <w:spacing w:val="-6"/>
          <w:sz w:val="21"/>
          <w:szCs w:val="21"/>
          <w:highlight w:val="none"/>
        </w:rPr>
        <w:t>投标人应当在投标截止时间前，</w:t>
      </w:r>
      <w:r>
        <w:rPr>
          <w:rFonts w:ascii="宋体" w:hAnsi="宋体" w:eastAsia="宋体" w:cs="宋体"/>
          <w:color w:val="auto"/>
          <w:spacing w:val="57"/>
          <w:sz w:val="21"/>
          <w:szCs w:val="21"/>
          <w:highlight w:val="none"/>
        </w:rPr>
        <w:t xml:space="preserve"> </w:t>
      </w:r>
      <w:r>
        <w:rPr>
          <w:rFonts w:ascii="宋体" w:hAnsi="宋体" w:eastAsia="宋体" w:cs="宋体"/>
          <w:color w:val="auto"/>
          <w:spacing w:val="-6"/>
          <w:sz w:val="21"/>
          <w:szCs w:val="21"/>
          <w:highlight w:val="none"/>
        </w:rPr>
        <w:t>通过电</w:t>
      </w:r>
      <w:r>
        <w:rPr>
          <w:rFonts w:ascii="宋体" w:hAnsi="宋体" w:eastAsia="宋体" w:cs="宋体"/>
          <w:color w:val="auto"/>
          <w:spacing w:val="-7"/>
          <w:sz w:val="21"/>
          <w:szCs w:val="21"/>
          <w:highlight w:val="none"/>
        </w:rPr>
        <w:t>子交易系统（投标盲盒工具）</w:t>
      </w:r>
      <w:r>
        <w:rPr>
          <w:rFonts w:ascii="宋体" w:hAnsi="宋体" w:eastAsia="宋体" w:cs="宋体"/>
          <w:color w:val="auto"/>
          <w:spacing w:val="22"/>
          <w:sz w:val="21"/>
          <w:szCs w:val="21"/>
          <w:highlight w:val="none"/>
        </w:rPr>
        <w:t xml:space="preserve"> </w:t>
      </w:r>
      <w:r>
        <w:rPr>
          <w:rFonts w:ascii="宋体" w:hAnsi="宋体" w:eastAsia="宋体" w:cs="宋体"/>
          <w:color w:val="auto"/>
          <w:spacing w:val="-7"/>
          <w:sz w:val="21"/>
          <w:szCs w:val="21"/>
          <w:highlight w:val="none"/>
        </w:rPr>
        <w:t>选择所投标</w:t>
      </w:r>
    </w:p>
    <w:p w14:paraId="2B1187DE">
      <w:pPr>
        <w:spacing w:line="221" w:lineRule="auto"/>
        <w:rPr>
          <w:rFonts w:ascii="宋体" w:hAnsi="宋体" w:eastAsia="宋体" w:cs="宋体"/>
          <w:color w:val="auto"/>
          <w:sz w:val="21"/>
          <w:szCs w:val="21"/>
          <w:highlight w:val="none"/>
        </w:rPr>
        <w:sectPr>
          <w:footerReference r:id="rId15" w:type="default"/>
          <w:pgSz w:w="11905" w:h="16839"/>
          <w:pgMar w:top="1431" w:right="1594" w:bottom="1036" w:left="1785" w:header="0" w:footer="847" w:gutter="0"/>
          <w:pgNumType w:fmt="decimal"/>
          <w:cols w:space="720" w:num="1"/>
        </w:sectPr>
      </w:pPr>
    </w:p>
    <w:p w14:paraId="4AA8ACC8">
      <w:pPr>
        <w:spacing w:before="114" w:line="285" w:lineRule="auto"/>
        <w:ind w:left="17" w:firstLine="1"/>
        <w:jc w:val="both"/>
        <w:rPr>
          <w:rFonts w:ascii="宋体" w:hAnsi="宋体" w:eastAsia="宋体" w:cs="宋体"/>
          <w:color w:val="auto"/>
          <w:sz w:val="21"/>
          <w:szCs w:val="21"/>
          <w:highlight w:val="none"/>
        </w:rPr>
      </w:pPr>
      <w:bookmarkStart w:id="82" w:name="bookmark94"/>
      <w:bookmarkEnd w:id="82"/>
      <w:r>
        <w:rPr>
          <w:rFonts w:ascii="宋体" w:hAnsi="宋体" w:eastAsia="宋体" w:cs="宋体"/>
          <w:color w:val="auto"/>
          <w:spacing w:val="-3"/>
          <w:sz w:val="21"/>
          <w:szCs w:val="21"/>
          <w:highlight w:val="none"/>
        </w:rPr>
        <w:t>段将加密的投标文件上传至电子招标投标系统（辽宁省工程建设项目数字化开标评标系统）。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投标人应充分考虑上传文件时的不可预见因素， 投标文件未在投标截止时间前完成上传的，</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视为逾期送达，招标人（电子交易系统）将拒收其</w:t>
      </w:r>
      <w:r>
        <w:rPr>
          <w:rFonts w:ascii="宋体" w:hAnsi="宋体" w:eastAsia="宋体" w:cs="宋体"/>
          <w:color w:val="auto"/>
          <w:spacing w:val="-1"/>
          <w:sz w:val="21"/>
          <w:szCs w:val="21"/>
          <w:highlight w:val="none"/>
        </w:rPr>
        <w:t>投标文件。</w:t>
      </w:r>
    </w:p>
    <w:p w14:paraId="13259A9F">
      <w:pPr>
        <w:spacing w:before="108" w:line="269" w:lineRule="auto"/>
        <w:ind w:left="34" w:right="187"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投标人完成投标文件上传成功后，电子交易系统向投标人发出电子签</w:t>
      </w:r>
      <w:r>
        <w:rPr>
          <w:rFonts w:ascii="宋体" w:hAnsi="宋体" w:eastAsia="宋体" w:cs="宋体"/>
          <w:color w:val="auto"/>
          <w:spacing w:val="2"/>
          <w:sz w:val="21"/>
          <w:szCs w:val="21"/>
          <w:highlight w:val="none"/>
        </w:rPr>
        <w:t>收凭证，递交时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间以电子签收凭证载明的时间为准。</w:t>
      </w:r>
    </w:p>
    <w:p w14:paraId="599EF233">
      <w:pPr>
        <w:spacing w:before="109" w:line="254" w:lineRule="auto"/>
        <w:ind w:left="13" w:right="1121" w:firstLine="422"/>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4.2.3</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4"/>
          <w:sz w:val="21"/>
          <w:szCs w:val="21"/>
          <w:highlight w:val="none"/>
        </w:rPr>
        <w:t>除投标人须知前附表另有规定外， 投标人</w:t>
      </w:r>
      <w:r>
        <w:rPr>
          <w:rFonts w:ascii="宋体" w:hAnsi="宋体" w:eastAsia="宋体" w:cs="宋体"/>
          <w:color w:val="auto"/>
          <w:spacing w:val="-5"/>
          <w:sz w:val="21"/>
          <w:szCs w:val="21"/>
          <w:highlight w:val="none"/>
        </w:rPr>
        <w:t>所递交的投标文件不予退还。</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4"/>
          <w:szCs w:val="24"/>
          <w:highlight w:val="none"/>
        </w:rPr>
        <w:t xml:space="preserve">4.3 </w:t>
      </w:r>
      <w:r>
        <w:rPr>
          <w:rFonts w:ascii="黑体" w:hAnsi="黑体" w:eastAsia="黑体" w:cs="黑体"/>
          <w:color w:val="auto"/>
          <w:sz w:val="24"/>
          <w:szCs w:val="24"/>
          <w:highlight w:val="none"/>
        </w:rPr>
        <w:t>投标文件的修改与撤回</w:t>
      </w:r>
    </w:p>
    <w:p w14:paraId="34C0EDC6">
      <w:pPr>
        <w:spacing w:before="99" w:line="269" w:lineRule="auto"/>
        <w:ind w:left="17" w:right="177"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4.3.1 </w:t>
      </w:r>
      <w:r>
        <w:rPr>
          <w:rFonts w:ascii="宋体" w:hAnsi="宋体" w:eastAsia="宋体" w:cs="宋体"/>
          <w:color w:val="auto"/>
          <w:spacing w:val="-1"/>
          <w:sz w:val="21"/>
          <w:szCs w:val="21"/>
          <w:highlight w:val="none"/>
        </w:rPr>
        <w:t>在本章第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4.2.1 </w:t>
      </w:r>
      <w:r>
        <w:rPr>
          <w:rFonts w:ascii="宋体" w:hAnsi="宋体" w:eastAsia="宋体" w:cs="宋体"/>
          <w:color w:val="auto"/>
          <w:spacing w:val="-1"/>
          <w:sz w:val="21"/>
          <w:szCs w:val="21"/>
          <w:highlight w:val="none"/>
        </w:rPr>
        <w:t>项规定的投标截止时间前，投标人可以修改或撤回已递交的投标文</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件。</w:t>
      </w:r>
    </w:p>
    <w:p w14:paraId="1D46C622">
      <w:pPr>
        <w:spacing w:before="108"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4.3.2 </w:t>
      </w:r>
      <w:r>
        <w:rPr>
          <w:rFonts w:ascii="宋体" w:hAnsi="宋体" w:eastAsia="宋体" w:cs="宋体"/>
          <w:color w:val="auto"/>
          <w:spacing w:val="-5"/>
          <w:sz w:val="21"/>
          <w:szCs w:val="21"/>
          <w:highlight w:val="none"/>
        </w:rPr>
        <w:t>投标人撤回投标文件的， 在电子交易系统（投标盲盒工具） 直接进行撤回操作。</w:t>
      </w:r>
    </w:p>
    <w:p w14:paraId="0A11CD18">
      <w:pPr>
        <w:spacing w:before="110" w:line="284" w:lineRule="auto"/>
        <w:ind w:left="19" w:right="175"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4.3.3 </w:t>
      </w:r>
      <w:r>
        <w:rPr>
          <w:rFonts w:ascii="宋体" w:hAnsi="宋体" w:eastAsia="宋体" w:cs="宋体"/>
          <w:color w:val="auto"/>
          <w:spacing w:val="-3"/>
          <w:sz w:val="21"/>
          <w:szCs w:val="21"/>
          <w:highlight w:val="none"/>
        </w:rPr>
        <w:t>投标人修改投标文件的， 应当先按本章第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4.3.2 </w:t>
      </w:r>
      <w:r>
        <w:rPr>
          <w:rFonts w:ascii="宋体" w:hAnsi="宋体" w:eastAsia="宋体" w:cs="宋体"/>
          <w:color w:val="auto"/>
          <w:spacing w:val="-3"/>
          <w:sz w:val="21"/>
          <w:szCs w:val="21"/>
          <w:highlight w:val="none"/>
        </w:rPr>
        <w:t>项的规定撤回投标文件，再使用投</w:t>
      </w:r>
      <w:r>
        <w:rPr>
          <w:rFonts w:ascii="宋体" w:hAnsi="宋体" w:eastAsia="宋体" w:cs="宋体"/>
          <w:color w:val="auto"/>
          <w:sz w:val="21"/>
          <w:szCs w:val="21"/>
          <w:highlight w:val="none"/>
        </w:rPr>
        <w:t xml:space="preserve"> 标文件制作软件制作成完整的投标文件，并按照本章第</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条、第</w:t>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 xml:space="preserve">条规定进行编制和递交， </w:t>
      </w:r>
      <w:r>
        <w:rPr>
          <w:rFonts w:ascii="宋体" w:hAnsi="宋体" w:eastAsia="宋体" w:cs="宋体"/>
          <w:color w:val="auto"/>
          <w:spacing w:val="-1"/>
          <w:sz w:val="21"/>
          <w:szCs w:val="21"/>
          <w:highlight w:val="none"/>
        </w:rPr>
        <w:t>递交时间以投标截止时间前最后完成上传的文件为准。</w:t>
      </w:r>
    </w:p>
    <w:p w14:paraId="3EABAF17">
      <w:pPr>
        <w:spacing w:before="154" w:line="227" w:lineRule="auto"/>
        <w:ind w:left="23"/>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5.</w:t>
      </w:r>
      <w:r>
        <w:rPr>
          <w:rFonts w:ascii="Times New Roman" w:hAnsi="Times New Roman" w:eastAsia="Times New Roman" w:cs="Times New Roman"/>
          <w:color w:val="auto"/>
          <w:spacing w:val="24"/>
          <w:sz w:val="27"/>
          <w:szCs w:val="27"/>
          <w:highlight w:val="none"/>
        </w:rPr>
        <w:t xml:space="preserve"> </w:t>
      </w:r>
      <w:r>
        <w:rPr>
          <w:rFonts w:ascii="黑体" w:hAnsi="黑体" w:eastAsia="黑体" w:cs="黑体"/>
          <w:color w:val="auto"/>
          <w:spacing w:val="-2"/>
          <w:sz w:val="27"/>
          <w:szCs w:val="27"/>
          <w:highlight w:val="none"/>
        </w:rPr>
        <w:t>开标</w:t>
      </w:r>
    </w:p>
    <w:p w14:paraId="7A7AAFF1">
      <w:pPr>
        <w:spacing w:before="61" w:line="220"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5.1</w:t>
      </w:r>
      <w:r>
        <w:rPr>
          <w:rFonts w:ascii="Times New Roman" w:hAnsi="Times New Roman" w:eastAsia="Times New Roman" w:cs="Times New Roman"/>
          <w:color w:val="auto"/>
          <w:spacing w:val="24"/>
          <w:w w:val="101"/>
          <w:sz w:val="24"/>
          <w:szCs w:val="24"/>
          <w:highlight w:val="none"/>
        </w:rPr>
        <w:t xml:space="preserve"> </w:t>
      </w:r>
      <w:r>
        <w:rPr>
          <w:rFonts w:ascii="黑体" w:hAnsi="黑体" w:eastAsia="黑体" w:cs="黑体"/>
          <w:color w:val="auto"/>
          <w:spacing w:val="-3"/>
          <w:sz w:val="24"/>
          <w:szCs w:val="24"/>
          <w:highlight w:val="none"/>
        </w:rPr>
        <w:t>开标时间和地点</w:t>
      </w:r>
    </w:p>
    <w:p w14:paraId="1C94E09F">
      <w:pPr>
        <w:spacing w:before="99" w:line="284" w:lineRule="auto"/>
        <w:ind w:left="19" w:right="179"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5.1.1</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2"/>
          <w:sz w:val="21"/>
          <w:szCs w:val="21"/>
          <w:highlight w:val="none"/>
        </w:rPr>
        <w:t xml:space="preserve">招标人在本章第 </w:t>
      </w:r>
      <w:r>
        <w:rPr>
          <w:rFonts w:ascii="Times New Roman" w:hAnsi="Times New Roman" w:eastAsia="Times New Roman" w:cs="Times New Roman"/>
          <w:color w:val="auto"/>
          <w:spacing w:val="-2"/>
          <w:sz w:val="21"/>
          <w:szCs w:val="21"/>
          <w:highlight w:val="none"/>
        </w:rPr>
        <w:t xml:space="preserve">4.2.1  </w:t>
      </w:r>
      <w:r>
        <w:rPr>
          <w:rFonts w:ascii="宋体" w:hAnsi="宋体" w:eastAsia="宋体" w:cs="宋体"/>
          <w:color w:val="auto"/>
          <w:spacing w:val="-2"/>
          <w:sz w:val="21"/>
          <w:szCs w:val="21"/>
          <w:highlight w:val="none"/>
        </w:rPr>
        <w:t>项规定的投标截止时间（开标时间） 在电子招标投标系统</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（辽宁省工程建设项目数字化开标评标系统）</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上公开进行开标， 所有投标人均应当参加开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标。招标人按照投标人须知前附表规定的方式组织开标。</w:t>
      </w:r>
    </w:p>
    <w:p w14:paraId="51665500">
      <w:pPr>
        <w:spacing w:before="110" w:line="285" w:lineRule="auto"/>
        <w:ind w:left="19" w:right="180"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5.1.2 </w:t>
      </w:r>
      <w:r>
        <w:rPr>
          <w:rFonts w:ascii="宋体" w:hAnsi="宋体" w:eastAsia="宋体" w:cs="宋体"/>
          <w:color w:val="auto"/>
          <w:spacing w:val="-2"/>
          <w:sz w:val="21"/>
          <w:szCs w:val="21"/>
          <w:highlight w:val="none"/>
        </w:rPr>
        <w:t>招标人在投标人须知前附表规定的地点组织开标，并在投标截止</w:t>
      </w:r>
      <w:r>
        <w:rPr>
          <w:rFonts w:ascii="宋体" w:hAnsi="宋体" w:eastAsia="宋体" w:cs="宋体"/>
          <w:color w:val="auto"/>
          <w:spacing w:val="-3"/>
          <w:sz w:val="21"/>
          <w:szCs w:val="21"/>
          <w:highlight w:val="none"/>
        </w:rPr>
        <w:t>时间</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30 </w:t>
      </w:r>
      <w:r>
        <w:rPr>
          <w:rFonts w:ascii="宋体" w:hAnsi="宋体" w:eastAsia="宋体" w:cs="宋体"/>
          <w:color w:val="auto"/>
          <w:spacing w:val="-3"/>
          <w:sz w:val="21"/>
          <w:szCs w:val="21"/>
          <w:highlight w:val="none"/>
        </w:rPr>
        <w:t>分钟前，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登录并进入电子招标投标系统（辽宁省工程建设项目数字化开标评标系统）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选择相应标段</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作开标的准备工作。</w:t>
      </w:r>
    </w:p>
    <w:p w14:paraId="219FA4A8">
      <w:pPr>
        <w:spacing w:before="106" w:line="293" w:lineRule="auto"/>
        <w:ind w:left="19" w:right="175"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5.1.3</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投标人应当在能够保证设施设备可靠、互联网畅通的任意地点，按照本章第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5.1.1</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项规定的组织方式，通过互联网远程在线或现场集中参加开标， 使用加密其投标文件的数</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字证书（</w:t>
      </w:r>
      <w:r>
        <w:rPr>
          <w:rFonts w:ascii="Times New Roman" w:hAnsi="Times New Roman" w:eastAsia="Times New Roman" w:cs="Times New Roman"/>
          <w:color w:val="auto"/>
          <w:spacing w:val="-2"/>
          <w:sz w:val="21"/>
          <w:szCs w:val="21"/>
          <w:highlight w:val="none"/>
        </w:rPr>
        <w:t>CA</w:t>
      </w:r>
      <w:r>
        <w:rPr>
          <w:rFonts w:ascii="宋体" w:hAnsi="宋体" w:eastAsia="宋体" w:cs="宋体"/>
          <w:color w:val="auto"/>
          <w:spacing w:val="-2"/>
          <w:sz w:val="21"/>
          <w:szCs w:val="21"/>
          <w:highlight w:val="none"/>
        </w:rPr>
        <w:t>）登录电子招标投标系统（辽宁省工程建设项目数字化开标评标系统） 选择所</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投标段进行签到，并实时关注招标人的操作情况。</w:t>
      </w:r>
    </w:p>
    <w:p w14:paraId="1DF2C3D7">
      <w:pPr>
        <w:spacing w:before="84"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5.2</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开标程序</w:t>
      </w:r>
    </w:p>
    <w:p w14:paraId="03DD6AD3">
      <w:pPr>
        <w:spacing w:before="101" w:line="269" w:lineRule="auto"/>
        <w:ind w:left="23" w:right="18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5.2.1</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1"/>
          <w:sz w:val="21"/>
          <w:szCs w:val="21"/>
          <w:highlight w:val="none"/>
        </w:rPr>
        <w:t>主持人按下列程序在电子招标投标系统（辽宁</w:t>
      </w:r>
      <w:r>
        <w:rPr>
          <w:rFonts w:ascii="宋体" w:hAnsi="宋体" w:eastAsia="宋体" w:cs="宋体"/>
          <w:color w:val="auto"/>
          <w:sz w:val="21"/>
          <w:szCs w:val="21"/>
          <w:highlight w:val="none"/>
        </w:rPr>
        <w:t xml:space="preserve">省工程建设项目数字化开标评标系 </w:t>
      </w:r>
      <w:r>
        <w:rPr>
          <w:rFonts w:ascii="宋体" w:hAnsi="宋体" w:eastAsia="宋体" w:cs="宋体"/>
          <w:color w:val="auto"/>
          <w:spacing w:val="-14"/>
          <w:sz w:val="21"/>
          <w:szCs w:val="21"/>
          <w:highlight w:val="none"/>
        </w:rPr>
        <w:t>统）</w:t>
      </w:r>
      <w:r>
        <w:rPr>
          <w:rFonts w:ascii="宋体" w:hAnsi="宋体" w:eastAsia="宋体" w:cs="宋体"/>
          <w:color w:val="auto"/>
          <w:spacing w:val="-41"/>
          <w:sz w:val="21"/>
          <w:szCs w:val="21"/>
          <w:highlight w:val="none"/>
        </w:rPr>
        <w:t xml:space="preserve"> </w:t>
      </w:r>
      <w:r>
        <w:rPr>
          <w:rFonts w:ascii="宋体" w:hAnsi="宋体" w:eastAsia="宋体" w:cs="宋体"/>
          <w:color w:val="auto"/>
          <w:spacing w:val="-14"/>
          <w:sz w:val="21"/>
          <w:szCs w:val="21"/>
          <w:highlight w:val="none"/>
        </w:rPr>
        <w:t>进行开标：</w:t>
      </w:r>
    </w:p>
    <w:p w14:paraId="534DB671">
      <w:pPr>
        <w:spacing w:before="108"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）宣布开标纪律；</w:t>
      </w:r>
    </w:p>
    <w:p w14:paraId="105FB091">
      <w:pPr>
        <w:spacing w:before="110" w:line="360" w:lineRule="exact"/>
        <w:ind w:left="44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宋体" w:hAnsi="宋体" w:eastAsia="宋体" w:cs="宋体"/>
          <w:color w:val="auto"/>
          <w:spacing w:val="-2"/>
          <w:position w:val="11"/>
          <w:sz w:val="21"/>
          <w:szCs w:val="21"/>
          <w:highlight w:val="none"/>
        </w:rPr>
        <w:t>）公布主持人、招标人代表、监标人等有关人员姓名；</w:t>
      </w:r>
    </w:p>
    <w:p w14:paraId="15480061">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）公布在投标截止时间前投标文件的递交情况；</w:t>
      </w:r>
    </w:p>
    <w:p w14:paraId="0BF22662">
      <w:pPr>
        <w:spacing w:before="109" w:line="285" w:lineRule="auto"/>
        <w:ind w:left="447" w:right="139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）公布投标保证金递交情况（对担保保函、保</w:t>
      </w:r>
      <w:r>
        <w:rPr>
          <w:rFonts w:ascii="宋体" w:hAnsi="宋体" w:eastAsia="宋体" w:cs="宋体"/>
          <w:color w:val="auto"/>
          <w:spacing w:val="-4"/>
          <w:sz w:val="21"/>
          <w:szCs w:val="21"/>
          <w:highlight w:val="none"/>
        </w:rPr>
        <w:t>证保险进行实时验真</w:t>
      </w:r>
      <w:r>
        <w:rPr>
          <w:rFonts w:ascii="宋体" w:hAnsi="宋体" w:eastAsia="宋体" w:cs="宋体"/>
          <w:color w:val="auto"/>
          <w:spacing w:val="-3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）投标人根据提示在投标人须知前附表规定</w:t>
      </w:r>
      <w:r>
        <w:rPr>
          <w:rFonts w:ascii="宋体" w:hAnsi="宋体" w:eastAsia="宋体" w:cs="宋体"/>
          <w:color w:val="auto"/>
          <w:spacing w:val="-1"/>
          <w:sz w:val="21"/>
          <w:szCs w:val="21"/>
          <w:highlight w:val="none"/>
        </w:rPr>
        <w:t>的时间内解密投标文件；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）读取已解密的投标文件的内容；</w:t>
      </w:r>
    </w:p>
    <w:p w14:paraId="2B31F9E4">
      <w:pPr>
        <w:spacing w:before="108" w:line="269" w:lineRule="auto"/>
        <w:ind w:left="17" w:right="202" w:firstLine="43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7</w:t>
      </w:r>
      <w:r>
        <w:rPr>
          <w:rFonts w:ascii="宋体" w:hAnsi="宋体" w:eastAsia="宋体" w:cs="宋体"/>
          <w:color w:val="auto"/>
          <w:spacing w:val="-5"/>
          <w:sz w:val="21"/>
          <w:szCs w:val="21"/>
          <w:highlight w:val="none"/>
        </w:rPr>
        <w:t>）公布投标人名称、</w:t>
      </w:r>
      <w:r>
        <w:rPr>
          <w:rFonts w:ascii="宋体" w:hAnsi="宋体" w:eastAsia="宋体" w:cs="宋体"/>
          <w:color w:val="auto"/>
          <w:spacing w:val="-28"/>
          <w:sz w:val="21"/>
          <w:szCs w:val="21"/>
          <w:highlight w:val="none"/>
        </w:rPr>
        <w:t xml:space="preserve"> </w:t>
      </w:r>
      <w:r>
        <w:rPr>
          <w:rFonts w:ascii="宋体" w:hAnsi="宋体" w:eastAsia="宋体" w:cs="宋体"/>
          <w:color w:val="auto"/>
          <w:spacing w:val="-5"/>
          <w:sz w:val="21"/>
          <w:szCs w:val="21"/>
          <w:highlight w:val="none"/>
        </w:rPr>
        <w:t>标段名称、投标保证金的递交情况、 投标报价</w:t>
      </w:r>
      <w:r>
        <w:rPr>
          <w:rFonts w:ascii="宋体" w:hAnsi="宋体" w:eastAsia="宋体" w:cs="宋体"/>
          <w:color w:val="auto"/>
          <w:spacing w:val="-6"/>
          <w:sz w:val="21"/>
          <w:szCs w:val="21"/>
          <w:highlight w:val="none"/>
        </w:rPr>
        <w:t>、项目经理姓名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及其他内容，并生成开标记录；</w:t>
      </w:r>
    </w:p>
    <w:p w14:paraId="2ABB2E75">
      <w:pPr>
        <w:spacing w:before="109" w:line="360" w:lineRule="exact"/>
        <w:ind w:left="447"/>
        <w:rPr>
          <w:rFonts w:ascii="宋体" w:hAnsi="宋体" w:eastAsia="宋体" w:cs="宋体"/>
          <w:color w:val="auto"/>
          <w:sz w:val="21"/>
          <w:szCs w:val="21"/>
          <w:highlight w:val="none"/>
        </w:rPr>
      </w:pPr>
      <w:r>
        <w:rPr>
          <w:rFonts w:ascii="宋体" w:hAnsi="宋体" w:eastAsia="宋体" w:cs="宋体"/>
          <w:color w:val="auto"/>
          <w:spacing w:val="-3"/>
          <w:position w:val="11"/>
          <w:sz w:val="21"/>
          <w:szCs w:val="21"/>
          <w:highlight w:val="none"/>
        </w:rPr>
        <w:t>（</w:t>
      </w:r>
      <w:r>
        <w:rPr>
          <w:rFonts w:ascii="Times New Roman" w:hAnsi="Times New Roman" w:eastAsia="Times New Roman" w:cs="Times New Roman"/>
          <w:color w:val="auto"/>
          <w:spacing w:val="-3"/>
          <w:position w:val="11"/>
          <w:sz w:val="21"/>
          <w:szCs w:val="21"/>
          <w:highlight w:val="none"/>
        </w:rPr>
        <w:t>8</w:t>
      </w:r>
      <w:r>
        <w:rPr>
          <w:rFonts w:ascii="宋体" w:hAnsi="宋体" w:eastAsia="宋体" w:cs="宋体"/>
          <w:color w:val="auto"/>
          <w:spacing w:val="-3"/>
          <w:position w:val="11"/>
          <w:sz w:val="21"/>
          <w:szCs w:val="21"/>
          <w:highlight w:val="none"/>
        </w:rPr>
        <w:t>）投标人对开标记录进行确认；</w:t>
      </w:r>
    </w:p>
    <w:p w14:paraId="7113DCA3">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宋体" w:hAnsi="宋体" w:eastAsia="宋体" w:cs="宋体"/>
          <w:color w:val="auto"/>
          <w:spacing w:val="-4"/>
          <w:sz w:val="21"/>
          <w:szCs w:val="21"/>
          <w:highlight w:val="none"/>
        </w:rPr>
        <w:t>）开标结束。</w:t>
      </w:r>
    </w:p>
    <w:p w14:paraId="5F51CE77">
      <w:pPr>
        <w:spacing w:line="220" w:lineRule="auto"/>
        <w:rPr>
          <w:rFonts w:ascii="宋体" w:hAnsi="宋体" w:eastAsia="宋体" w:cs="宋体"/>
          <w:color w:val="auto"/>
          <w:sz w:val="21"/>
          <w:szCs w:val="21"/>
          <w:highlight w:val="none"/>
        </w:rPr>
        <w:sectPr>
          <w:footerReference r:id="rId16" w:type="default"/>
          <w:pgSz w:w="11905" w:h="16839"/>
          <w:pgMar w:top="1431" w:right="1611" w:bottom="1036" w:left="1785" w:header="0" w:footer="847" w:gutter="0"/>
          <w:pgNumType w:fmt="decimal"/>
          <w:cols w:space="720" w:num="1"/>
        </w:sectPr>
      </w:pPr>
    </w:p>
    <w:p w14:paraId="37CA87B2">
      <w:pPr>
        <w:spacing w:before="114" w:line="285" w:lineRule="auto"/>
        <w:ind w:left="19" w:right="155" w:firstLine="423"/>
        <w:rPr>
          <w:rFonts w:ascii="宋体" w:hAnsi="宋体" w:eastAsia="宋体" w:cs="宋体"/>
          <w:color w:val="auto"/>
          <w:sz w:val="21"/>
          <w:szCs w:val="21"/>
          <w:highlight w:val="none"/>
        </w:rPr>
      </w:pPr>
      <w:bookmarkStart w:id="83" w:name="bookmark95"/>
      <w:bookmarkEnd w:id="83"/>
      <w:r>
        <w:rPr>
          <w:rFonts w:ascii="Times New Roman" w:hAnsi="Times New Roman" w:eastAsia="Times New Roman" w:cs="Times New Roman"/>
          <w:color w:val="auto"/>
          <w:spacing w:val="-1"/>
          <w:sz w:val="21"/>
          <w:szCs w:val="21"/>
          <w:highlight w:val="none"/>
        </w:rPr>
        <w:t xml:space="preserve">5.2.2 </w:t>
      </w:r>
      <w:r>
        <w:rPr>
          <w:rFonts w:ascii="宋体" w:hAnsi="宋体" w:eastAsia="宋体" w:cs="宋体"/>
          <w:color w:val="auto"/>
          <w:spacing w:val="-1"/>
          <w:sz w:val="21"/>
          <w:szCs w:val="21"/>
          <w:highlight w:val="none"/>
        </w:rPr>
        <w:t>生成开标记录后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10 </w:t>
      </w:r>
      <w:r>
        <w:rPr>
          <w:rFonts w:ascii="宋体" w:hAnsi="宋体" w:eastAsia="宋体" w:cs="宋体"/>
          <w:color w:val="auto"/>
          <w:spacing w:val="-1"/>
          <w:sz w:val="21"/>
          <w:szCs w:val="21"/>
          <w:highlight w:val="none"/>
        </w:rPr>
        <w:t>分钟内，投标人通</w:t>
      </w:r>
      <w:r>
        <w:rPr>
          <w:rFonts w:ascii="宋体" w:hAnsi="宋体" w:eastAsia="宋体" w:cs="宋体"/>
          <w:color w:val="auto"/>
          <w:spacing w:val="-2"/>
          <w:sz w:val="21"/>
          <w:szCs w:val="21"/>
          <w:highlight w:val="none"/>
        </w:rPr>
        <w:t>过电子招标投标系统（辽宁省工程建设项目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对开标结果予以确认。未在规定时间内确认或未确认的视</w:t>
      </w:r>
      <w:r>
        <w:rPr>
          <w:rFonts w:ascii="宋体" w:hAnsi="宋体" w:eastAsia="宋体" w:cs="宋体"/>
          <w:color w:val="auto"/>
          <w:sz w:val="21"/>
          <w:szCs w:val="21"/>
          <w:highlight w:val="none"/>
        </w:rPr>
        <w:t xml:space="preserve">为对开标 </w:t>
      </w:r>
      <w:r>
        <w:rPr>
          <w:rFonts w:ascii="宋体" w:hAnsi="宋体" w:eastAsia="宋体" w:cs="宋体"/>
          <w:color w:val="auto"/>
          <w:spacing w:val="-3"/>
          <w:sz w:val="21"/>
          <w:szCs w:val="21"/>
          <w:highlight w:val="none"/>
        </w:rPr>
        <w:t>过程及结果无异议。</w:t>
      </w:r>
    </w:p>
    <w:p w14:paraId="251B6BB0">
      <w:pPr>
        <w:spacing w:before="108" w:line="269" w:lineRule="auto"/>
        <w:ind w:left="41" w:firstLine="40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5.2.3</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pacing w:val="-1"/>
          <w:sz w:val="21"/>
          <w:szCs w:val="21"/>
          <w:highlight w:val="none"/>
        </w:rPr>
        <w:t xml:space="preserve">在本章第 </w:t>
      </w:r>
      <w:r>
        <w:rPr>
          <w:rFonts w:ascii="Times New Roman" w:hAnsi="Times New Roman" w:eastAsia="Times New Roman" w:cs="Times New Roman"/>
          <w:color w:val="auto"/>
          <w:spacing w:val="-1"/>
          <w:sz w:val="21"/>
          <w:szCs w:val="21"/>
          <w:highlight w:val="none"/>
        </w:rPr>
        <w:t>5.2.1</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）目规定的时间内，已解密的投标文件少于三个的，招标失败；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已解密的投标文件不少于三个，开标继续进行。</w:t>
      </w:r>
    </w:p>
    <w:p w14:paraId="23C95A74">
      <w:pPr>
        <w:spacing w:before="108" w:line="269" w:lineRule="auto"/>
        <w:ind w:left="20" w:right="170" w:firstLine="437"/>
        <w:rPr>
          <w:rFonts w:ascii="宋体" w:hAnsi="宋体" w:eastAsia="宋体" w:cs="宋体"/>
          <w:color w:val="auto"/>
          <w:sz w:val="21"/>
          <w:szCs w:val="21"/>
          <w:highlight w:val="none"/>
        </w:rPr>
      </w:pPr>
      <w:r>
        <w:rPr>
          <w:rFonts w:ascii="宋体" w:hAnsi="宋体" w:eastAsia="宋体" w:cs="宋体"/>
          <w:color w:val="auto"/>
          <w:sz w:val="21"/>
          <w:szCs w:val="21"/>
          <w:highlight w:val="none"/>
        </w:rPr>
        <w:t>因投标人原因（如数字证书（</w:t>
      </w:r>
      <w:r>
        <w:rPr>
          <w:rFonts w:ascii="Times New Roman" w:hAnsi="Times New Roman" w:eastAsia="Times New Roman" w:cs="Times New Roman"/>
          <w:color w:val="auto"/>
          <w:sz w:val="21"/>
          <w:szCs w:val="21"/>
          <w:highlight w:val="none"/>
        </w:rPr>
        <w:t>CA</w:t>
      </w:r>
      <w:r>
        <w:rPr>
          <w:rFonts w:ascii="宋体" w:hAnsi="宋体" w:eastAsia="宋体" w:cs="宋体"/>
          <w:color w:val="auto"/>
          <w:sz w:val="21"/>
          <w:szCs w:val="21"/>
          <w:highlight w:val="none"/>
        </w:rPr>
        <w:t>）损坏或密码丢失或输入错误、投标人自身网络中断</w:t>
      </w:r>
      <w:r>
        <w:rPr>
          <w:rFonts w:ascii="宋体" w:hAnsi="宋体" w:eastAsia="宋体" w:cs="宋体"/>
          <w:color w:val="auto"/>
          <w:spacing w:val="5"/>
          <w:sz w:val="21"/>
          <w:szCs w:val="21"/>
          <w:highlight w:val="none"/>
        </w:rPr>
        <w:t xml:space="preserve"> </w:t>
      </w:r>
      <w:r>
        <w:rPr>
          <w:rFonts w:ascii="宋体" w:hAnsi="宋体" w:eastAsia="宋体" w:cs="宋体"/>
          <w:color w:val="auto"/>
          <w:spacing w:val="-4"/>
          <w:sz w:val="21"/>
          <w:szCs w:val="21"/>
          <w:highlight w:val="none"/>
        </w:rPr>
        <w:t>等非开标系统原因） 造成投标文件未解密的，视为投标人撤回投标</w:t>
      </w:r>
      <w:r>
        <w:rPr>
          <w:rFonts w:ascii="宋体" w:hAnsi="宋体" w:eastAsia="宋体" w:cs="宋体"/>
          <w:color w:val="auto"/>
          <w:spacing w:val="-5"/>
          <w:sz w:val="21"/>
          <w:szCs w:val="21"/>
          <w:highlight w:val="none"/>
        </w:rPr>
        <w:t>文件。</w:t>
      </w:r>
    </w:p>
    <w:p w14:paraId="133F7DF8">
      <w:pPr>
        <w:spacing w:before="107" w:line="293" w:lineRule="auto"/>
        <w:ind w:left="19" w:right="159"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因投标人之外原因，如因网络、开标系统故障等非投标人自身原因，</w:t>
      </w:r>
      <w:r>
        <w:rPr>
          <w:rFonts w:ascii="宋体" w:hAnsi="宋体" w:eastAsia="宋体" w:cs="宋体"/>
          <w:color w:val="auto"/>
          <w:spacing w:val="-1"/>
          <w:sz w:val="21"/>
          <w:szCs w:val="21"/>
          <w:highlight w:val="none"/>
        </w:rPr>
        <w:t xml:space="preserve"> 招标代理机构工</w:t>
      </w:r>
      <w:r>
        <w:rPr>
          <w:rFonts w:ascii="宋体" w:hAnsi="宋体" w:eastAsia="宋体" w:cs="宋体"/>
          <w:color w:val="auto"/>
          <w:sz w:val="21"/>
          <w:szCs w:val="21"/>
          <w:highlight w:val="none"/>
        </w:rPr>
        <w:t xml:space="preserve"> 作人员应及时将情况反馈到交易平台运营单位、项目监管部门以及相关技术服务单位， 在</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监管部门指导下将立即启动应急响应机制，积极排查和</w:t>
      </w:r>
      <w:r>
        <w:rPr>
          <w:rFonts w:ascii="宋体" w:hAnsi="宋体" w:eastAsia="宋体" w:cs="宋体"/>
          <w:color w:val="auto"/>
          <w:spacing w:val="-3"/>
          <w:sz w:val="21"/>
          <w:szCs w:val="21"/>
          <w:highlight w:val="none"/>
        </w:rPr>
        <w:t>解决问题， 投标人应予以配合， 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管部门应根据现场实际适当延长解密时间。</w:t>
      </w:r>
    </w:p>
    <w:p w14:paraId="3314E2CA">
      <w:pPr>
        <w:spacing w:before="84"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5.3</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开标异议</w:t>
      </w:r>
    </w:p>
    <w:p w14:paraId="25BA6FDE">
      <w:pPr>
        <w:spacing w:before="101" w:line="284" w:lineRule="auto"/>
        <w:ind w:left="17" w:right="161"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5.3.1</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pacing w:val="-1"/>
          <w:sz w:val="21"/>
          <w:szCs w:val="21"/>
          <w:highlight w:val="none"/>
        </w:rPr>
        <w:t>投标人对开标有异议的，应当在开标过程中提出；招标人当场对异议作出答复，</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并记入开标记录。异议与答复应通过电子招标投标系统（辽宁省工程建设项目数字化开标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评标系统）以书面形式进行。</w:t>
      </w:r>
    </w:p>
    <w:p w14:paraId="548DC4AB">
      <w:pPr>
        <w:spacing w:before="108" w:line="269" w:lineRule="auto"/>
        <w:ind w:left="19" w:right="18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本条所称异议是指投标人在开标过程中对投标文件提交、投标截止时间、开标程序、</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开标记录以及投标人和招标人或者投标人相互之间存在利益冲突的情形等提出的质疑。</w:t>
      </w:r>
    </w:p>
    <w:p w14:paraId="7BA32710">
      <w:pPr>
        <w:spacing w:before="109" w:line="269" w:lineRule="auto"/>
        <w:ind w:left="20"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5.3.2</w:t>
      </w:r>
      <w:r>
        <w:rPr>
          <w:rFonts w:ascii="Times New Roman" w:hAnsi="Times New Roman" w:eastAsia="Times New Roman" w:cs="Times New Roman"/>
          <w:color w:val="auto"/>
          <w:spacing w:val="50"/>
          <w:w w:val="101"/>
          <w:sz w:val="21"/>
          <w:szCs w:val="21"/>
          <w:highlight w:val="none"/>
        </w:rPr>
        <w:t xml:space="preserve"> </w:t>
      </w:r>
      <w:r>
        <w:rPr>
          <w:rFonts w:ascii="宋体" w:hAnsi="宋体" w:eastAsia="宋体" w:cs="宋体"/>
          <w:color w:val="auto"/>
          <w:spacing w:val="-1"/>
          <w:sz w:val="21"/>
          <w:szCs w:val="21"/>
          <w:highlight w:val="none"/>
        </w:rPr>
        <w:t>投标人异议成立的，招标人将及时采取纠正措施，或者提交评标委员会评审确认；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投标人异议不成立的，招标人将当场给予解释说明。</w:t>
      </w:r>
    </w:p>
    <w:p w14:paraId="48816CFF">
      <w:pPr>
        <w:spacing w:before="109" w:line="254" w:lineRule="auto"/>
        <w:ind w:left="21" w:right="476" w:firstLine="421"/>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 xml:space="preserve">5.3.3 </w:t>
      </w:r>
      <w:r>
        <w:rPr>
          <w:rFonts w:ascii="宋体" w:hAnsi="宋体" w:eastAsia="宋体" w:cs="宋体"/>
          <w:color w:val="auto"/>
          <w:spacing w:val="-4"/>
          <w:sz w:val="21"/>
          <w:szCs w:val="21"/>
          <w:highlight w:val="none"/>
        </w:rPr>
        <w:t>投标人未在开标现场提出异议， 视为异议权利灭失，不可再对开标提出异议。</w:t>
      </w:r>
      <w:r>
        <w:rPr>
          <w:rFonts w:ascii="宋体" w:hAnsi="宋体" w:eastAsia="宋体" w:cs="宋体"/>
          <w:color w:val="auto"/>
          <w:spacing w:val="12"/>
          <w:sz w:val="21"/>
          <w:szCs w:val="21"/>
          <w:highlight w:val="none"/>
        </w:rPr>
        <w:t xml:space="preserve"> </w:t>
      </w:r>
      <w:r>
        <w:rPr>
          <w:rFonts w:ascii="Times New Roman" w:hAnsi="Times New Roman" w:eastAsia="Times New Roman" w:cs="Times New Roman"/>
          <w:color w:val="auto"/>
          <w:spacing w:val="-1"/>
          <w:sz w:val="24"/>
          <w:szCs w:val="24"/>
          <w:highlight w:val="none"/>
        </w:rPr>
        <w:t xml:space="preserve">5.4 </w:t>
      </w:r>
      <w:r>
        <w:rPr>
          <w:rFonts w:ascii="黑体" w:hAnsi="黑体" w:eastAsia="黑体" w:cs="黑体"/>
          <w:color w:val="auto"/>
          <w:spacing w:val="-1"/>
          <w:sz w:val="24"/>
          <w:szCs w:val="24"/>
          <w:highlight w:val="none"/>
        </w:rPr>
        <w:t>特殊情况的处置</w:t>
      </w:r>
    </w:p>
    <w:p w14:paraId="389F96E2">
      <w:pPr>
        <w:spacing w:before="99" w:line="285" w:lineRule="auto"/>
        <w:ind w:left="20" w:right="154"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5.4.1  </w:t>
      </w:r>
      <w:r>
        <w:rPr>
          <w:rFonts w:ascii="宋体" w:hAnsi="宋体" w:eastAsia="宋体" w:cs="宋体"/>
          <w:color w:val="auto"/>
          <w:spacing w:val="-3"/>
          <w:sz w:val="21"/>
          <w:szCs w:val="21"/>
          <w:highlight w:val="none"/>
        </w:rPr>
        <w:t>因电子招标投标系统（辽宁省工程建设项目数字化开标评标系统）</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故障导致无法</w:t>
      </w:r>
      <w:r>
        <w:rPr>
          <w:rFonts w:ascii="宋体" w:hAnsi="宋体" w:eastAsia="宋体" w:cs="宋体"/>
          <w:color w:val="auto"/>
          <w:sz w:val="21"/>
          <w:szCs w:val="21"/>
          <w:highlight w:val="none"/>
        </w:rPr>
        <w:t xml:space="preserve"> 投标的，管理部门及时通知招标人，招标人视情况决定是否顺延投标截止时间。 因投标人</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自身原因导致无法完成投标的，由投标人自行承担后果。</w:t>
      </w:r>
    </w:p>
    <w:p w14:paraId="0BB514D4">
      <w:pPr>
        <w:spacing w:before="108" w:line="269" w:lineRule="auto"/>
        <w:ind w:left="22" w:right="154"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5.4.2  </w:t>
      </w:r>
      <w:r>
        <w:rPr>
          <w:rFonts w:ascii="宋体" w:hAnsi="宋体" w:eastAsia="宋体" w:cs="宋体"/>
          <w:color w:val="auto"/>
          <w:spacing w:val="-3"/>
          <w:sz w:val="21"/>
          <w:szCs w:val="21"/>
          <w:highlight w:val="none"/>
        </w:rPr>
        <w:t>因电子招标投标系统（辽宁省工程建设项目数字化开标评标系统）</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故障导致无法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正常开标的，招标人将暂停开标，待系统恢复正常后</w:t>
      </w:r>
      <w:r>
        <w:rPr>
          <w:rFonts w:ascii="宋体" w:hAnsi="宋体" w:eastAsia="宋体" w:cs="宋体"/>
          <w:color w:val="auto"/>
          <w:spacing w:val="-2"/>
          <w:sz w:val="21"/>
          <w:szCs w:val="21"/>
          <w:highlight w:val="none"/>
        </w:rPr>
        <w:t>继续开标。</w:t>
      </w:r>
    </w:p>
    <w:p w14:paraId="5DD2294C">
      <w:pPr>
        <w:spacing w:before="110" w:line="268" w:lineRule="auto"/>
        <w:ind w:left="22" w:right="155" w:firstLine="443"/>
        <w:rPr>
          <w:rFonts w:ascii="宋体" w:hAnsi="宋体" w:eastAsia="宋体" w:cs="宋体"/>
          <w:color w:val="auto"/>
          <w:sz w:val="21"/>
          <w:szCs w:val="21"/>
          <w:highlight w:val="none"/>
        </w:rPr>
      </w:pPr>
      <w:r>
        <w:rPr>
          <w:rFonts w:ascii="宋体" w:hAnsi="宋体" w:eastAsia="宋体" w:cs="宋体"/>
          <w:color w:val="auto"/>
          <w:sz w:val="21"/>
          <w:szCs w:val="21"/>
          <w:highlight w:val="none"/>
        </w:rPr>
        <w:t>电子招标投标系统（辽宁省工程建设项目数字化开标评标系统）</w:t>
      </w:r>
      <w:r>
        <w:rPr>
          <w:rFonts w:ascii="宋体" w:hAnsi="宋体" w:eastAsia="宋体" w:cs="宋体"/>
          <w:color w:val="auto"/>
          <w:spacing w:val="-12"/>
          <w:sz w:val="21"/>
          <w:szCs w:val="21"/>
          <w:highlight w:val="none"/>
        </w:rPr>
        <w:t xml:space="preserve"> </w:t>
      </w:r>
      <w:r>
        <w:rPr>
          <w:rFonts w:ascii="宋体" w:hAnsi="宋体" w:eastAsia="宋体" w:cs="宋体"/>
          <w:color w:val="auto"/>
          <w:sz w:val="21"/>
          <w:szCs w:val="21"/>
          <w:highlight w:val="none"/>
        </w:rPr>
        <w:t xml:space="preserve">技术服务单位将立即 </w:t>
      </w:r>
      <w:r>
        <w:rPr>
          <w:rFonts w:ascii="宋体" w:hAnsi="宋体" w:eastAsia="宋体" w:cs="宋体"/>
          <w:color w:val="auto"/>
          <w:spacing w:val="-6"/>
          <w:sz w:val="21"/>
          <w:szCs w:val="21"/>
          <w:highlight w:val="none"/>
        </w:rPr>
        <w:t>启动应急响应机制， 积极排查系统故障，解决问题。</w:t>
      </w:r>
    </w:p>
    <w:p w14:paraId="5E9A10B5">
      <w:pPr>
        <w:spacing w:before="110" w:line="270" w:lineRule="auto"/>
        <w:ind w:left="20" w:right="15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5.4.3  </w:t>
      </w:r>
      <w:r>
        <w:rPr>
          <w:rFonts w:ascii="宋体" w:hAnsi="宋体" w:eastAsia="宋体" w:cs="宋体"/>
          <w:color w:val="auto"/>
          <w:spacing w:val="-3"/>
          <w:sz w:val="21"/>
          <w:szCs w:val="21"/>
          <w:highlight w:val="none"/>
        </w:rPr>
        <w:t>电子招标投标系统（辽宁省工程建设项目数字化开标评标系统）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故障是指下列情</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形：</w:t>
      </w:r>
    </w:p>
    <w:p w14:paraId="59DB20A8">
      <w:pPr>
        <w:spacing w:before="106"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）系统服务器发生故障，无法访问或无法使用系统；</w:t>
      </w:r>
    </w:p>
    <w:p w14:paraId="31055BA6">
      <w:pPr>
        <w:spacing w:before="109" w:line="360" w:lineRule="exact"/>
        <w:ind w:left="44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宋体" w:hAnsi="宋体" w:eastAsia="宋体" w:cs="宋体"/>
          <w:color w:val="auto"/>
          <w:spacing w:val="-2"/>
          <w:position w:val="11"/>
          <w:sz w:val="21"/>
          <w:szCs w:val="21"/>
          <w:highlight w:val="none"/>
        </w:rPr>
        <w:t>）系统的软件或数据库出现错误，不能进行正常操作；</w:t>
      </w:r>
    </w:p>
    <w:p w14:paraId="52AA8D2A">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）系统发现有安全漏洞，有潜在的泄密危险；</w:t>
      </w:r>
    </w:p>
    <w:p w14:paraId="3BEE67FB">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）系统出现网络攻击；</w:t>
      </w:r>
    </w:p>
    <w:p w14:paraId="3AFE556F">
      <w:pPr>
        <w:spacing w:before="10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）出现断电、断网事故；</w:t>
      </w:r>
    </w:p>
    <w:p w14:paraId="57784A04">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）出现法定不可抗力因素；</w:t>
      </w:r>
    </w:p>
    <w:p w14:paraId="7A5EE482">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）其他无法保证招投标过程正常进行的情形。</w:t>
      </w:r>
    </w:p>
    <w:p w14:paraId="63222793">
      <w:pPr>
        <w:spacing w:line="221" w:lineRule="auto"/>
        <w:rPr>
          <w:rFonts w:ascii="宋体" w:hAnsi="宋体" w:eastAsia="宋体" w:cs="宋体"/>
          <w:color w:val="auto"/>
          <w:sz w:val="21"/>
          <w:szCs w:val="21"/>
          <w:highlight w:val="none"/>
        </w:rPr>
        <w:sectPr>
          <w:footerReference r:id="rId17" w:type="default"/>
          <w:pgSz w:w="11905" w:h="16839"/>
          <w:pgMar w:top="1431" w:right="1632" w:bottom="1036" w:left="1785" w:header="0" w:footer="847" w:gutter="0"/>
          <w:pgNumType w:fmt="decimal"/>
          <w:cols w:space="720" w:num="1"/>
        </w:sectPr>
      </w:pPr>
    </w:p>
    <w:p w14:paraId="7DA89457">
      <w:pPr>
        <w:spacing w:before="57" w:line="225" w:lineRule="auto"/>
        <w:ind w:left="22"/>
        <w:rPr>
          <w:rFonts w:ascii="黑体" w:hAnsi="黑体" w:eastAsia="黑体" w:cs="黑体"/>
          <w:color w:val="auto"/>
          <w:sz w:val="27"/>
          <w:szCs w:val="27"/>
          <w:highlight w:val="none"/>
        </w:rPr>
      </w:pPr>
      <w:r>
        <w:rPr>
          <w:rFonts w:ascii="Times New Roman" w:hAnsi="Times New Roman" w:eastAsia="Times New Roman" w:cs="Times New Roman"/>
          <w:color w:val="auto"/>
          <w:sz w:val="27"/>
          <w:szCs w:val="27"/>
          <w:highlight w:val="none"/>
        </w:rPr>
        <w:t>6.</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z w:val="27"/>
          <w:szCs w:val="27"/>
          <w:highlight w:val="none"/>
        </w:rPr>
        <w:t>评标</w:t>
      </w:r>
    </w:p>
    <w:p w14:paraId="5A03BB06">
      <w:pPr>
        <w:spacing w:before="64"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6.1 </w:t>
      </w:r>
      <w:r>
        <w:rPr>
          <w:rFonts w:ascii="黑体" w:hAnsi="黑体" w:eastAsia="黑体" w:cs="黑体"/>
          <w:color w:val="auto"/>
          <w:spacing w:val="-1"/>
          <w:sz w:val="24"/>
          <w:szCs w:val="24"/>
          <w:highlight w:val="none"/>
        </w:rPr>
        <w:t>评标委员会</w:t>
      </w:r>
    </w:p>
    <w:p w14:paraId="79D39F13">
      <w:pPr>
        <w:spacing w:before="102" w:line="284" w:lineRule="auto"/>
        <w:ind w:left="17" w:right="8" w:firstLine="424"/>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6.1.1</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1"/>
          <w:sz w:val="21"/>
          <w:szCs w:val="21"/>
          <w:highlight w:val="none"/>
        </w:rPr>
        <w:t>评标由招标人依法组建的评标委员会负责。评标</w:t>
      </w:r>
      <w:r>
        <w:rPr>
          <w:rFonts w:ascii="宋体" w:hAnsi="宋体" w:eastAsia="宋体" w:cs="宋体"/>
          <w:color w:val="auto"/>
          <w:sz w:val="21"/>
          <w:szCs w:val="21"/>
          <w:highlight w:val="none"/>
        </w:rPr>
        <w:t xml:space="preserve">委员会由招标人或其委托的招标 </w:t>
      </w:r>
      <w:r>
        <w:rPr>
          <w:rFonts w:ascii="宋体" w:hAnsi="宋体" w:eastAsia="宋体" w:cs="宋体"/>
          <w:color w:val="auto"/>
          <w:spacing w:val="3"/>
          <w:sz w:val="21"/>
          <w:szCs w:val="21"/>
          <w:highlight w:val="none"/>
        </w:rPr>
        <w:t>代理机构熟悉相关业务的代表，以及有关技术、经济等方面的专家组成。评标</w:t>
      </w:r>
      <w:r>
        <w:rPr>
          <w:rFonts w:ascii="宋体" w:hAnsi="宋体" w:eastAsia="宋体" w:cs="宋体"/>
          <w:color w:val="auto"/>
          <w:spacing w:val="2"/>
          <w:sz w:val="21"/>
          <w:szCs w:val="21"/>
          <w:highlight w:val="none"/>
        </w:rPr>
        <w:t>委员会成员</w:t>
      </w:r>
      <w:r>
        <w:rPr>
          <w:rFonts w:ascii="宋体" w:hAnsi="宋体" w:eastAsia="宋体" w:cs="宋体"/>
          <w:color w:val="auto"/>
          <w:sz w:val="21"/>
          <w:szCs w:val="21"/>
          <w:highlight w:val="none"/>
        </w:rPr>
        <w:t xml:space="preserve"> 人数以及技术、经济等方面专家的确定方式见投标人须知</w:t>
      </w:r>
      <w:r>
        <w:rPr>
          <w:rFonts w:ascii="宋体" w:hAnsi="宋体" w:eastAsia="宋体" w:cs="宋体"/>
          <w:color w:val="auto"/>
          <w:spacing w:val="-1"/>
          <w:sz w:val="21"/>
          <w:szCs w:val="21"/>
          <w:highlight w:val="none"/>
        </w:rPr>
        <w:t>前附表。</w:t>
      </w:r>
    </w:p>
    <w:p w14:paraId="1B656FE0">
      <w:pPr>
        <w:spacing w:before="109" w:line="220"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6.1.2 </w:t>
      </w:r>
      <w:r>
        <w:rPr>
          <w:rFonts w:ascii="宋体" w:hAnsi="宋体" w:eastAsia="宋体" w:cs="宋体"/>
          <w:color w:val="auto"/>
          <w:spacing w:val="-2"/>
          <w:sz w:val="21"/>
          <w:szCs w:val="21"/>
          <w:highlight w:val="none"/>
        </w:rPr>
        <w:t>评标委员会成员有下列情形之一的，应当回避：</w:t>
      </w:r>
    </w:p>
    <w:p w14:paraId="5C742F14">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）投标人或投标人的主要负责人的近亲</w:t>
      </w:r>
      <w:r>
        <w:rPr>
          <w:rFonts w:ascii="宋体" w:hAnsi="宋体" w:eastAsia="宋体" w:cs="宋体"/>
          <w:color w:val="auto"/>
          <w:spacing w:val="-3"/>
          <w:sz w:val="21"/>
          <w:szCs w:val="21"/>
          <w:highlight w:val="none"/>
        </w:rPr>
        <w:t>属；</w:t>
      </w:r>
    </w:p>
    <w:p w14:paraId="6527E400">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）项目主管部门或者行政监督部门的人</w:t>
      </w:r>
      <w:r>
        <w:rPr>
          <w:rFonts w:ascii="宋体" w:hAnsi="宋体" w:eastAsia="宋体" w:cs="宋体"/>
          <w:color w:val="auto"/>
          <w:spacing w:val="-3"/>
          <w:sz w:val="21"/>
          <w:szCs w:val="21"/>
          <w:highlight w:val="none"/>
        </w:rPr>
        <w:t>员；</w:t>
      </w:r>
    </w:p>
    <w:p w14:paraId="386988CA">
      <w:pPr>
        <w:spacing w:before="110"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）与投标人有经济利益关系或其他利害关系，可能</w:t>
      </w:r>
      <w:r>
        <w:rPr>
          <w:rFonts w:ascii="宋体" w:hAnsi="宋体" w:eastAsia="宋体" w:cs="宋体"/>
          <w:color w:val="auto"/>
          <w:spacing w:val="-2"/>
          <w:sz w:val="21"/>
          <w:szCs w:val="21"/>
          <w:highlight w:val="none"/>
        </w:rPr>
        <w:t>影响对投标公正评审的；</w:t>
      </w:r>
    </w:p>
    <w:p w14:paraId="74BBAAA9">
      <w:pPr>
        <w:spacing w:before="109" w:line="221" w:lineRule="auto"/>
        <w:ind w:right="25"/>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）曾因在招标、评标以及其他与招标投标有</w:t>
      </w:r>
      <w:r>
        <w:rPr>
          <w:rFonts w:ascii="宋体" w:hAnsi="宋体" w:eastAsia="宋体" w:cs="宋体"/>
          <w:color w:val="auto"/>
          <w:spacing w:val="-1"/>
          <w:sz w:val="21"/>
          <w:szCs w:val="21"/>
          <w:highlight w:val="none"/>
        </w:rPr>
        <w:t>关活动中从事违法行为而受过行政处罚</w:t>
      </w:r>
    </w:p>
    <w:p w14:paraId="5C68633E">
      <w:pPr>
        <w:spacing w:before="108" w:line="335" w:lineRule="exact"/>
        <w:ind w:left="20"/>
        <w:rPr>
          <w:rFonts w:ascii="宋体" w:hAnsi="宋体" w:eastAsia="宋体" w:cs="宋体"/>
          <w:color w:val="auto"/>
          <w:sz w:val="21"/>
          <w:szCs w:val="21"/>
          <w:highlight w:val="none"/>
        </w:rPr>
      </w:pPr>
      <w:r>
        <w:rPr>
          <w:rFonts w:ascii="宋体" w:hAnsi="宋体" w:eastAsia="宋体" w:cs="宋体"/>
          <w:color w:val="auto"/>
          <w:spacing w:val="-4"/>
          <w:position w:val="9"/>
          <w:sz w:val="21"/>
          <w:szCs w:val="21"/>
          <w:highlight w:val="none"/>
        </w:rPr>
        <w:t>或刑事处罚的。</w:t>
      </w:r>
    </w:p>
    <w:p w14:paraId="5152E65B">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6.2</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评标原则</w:t>
      </w:r>
    </w:p>
    <w:p w14:paraId="343E999F">
      <w:pPr>
        <w:spacing w:before="100" w:line="336" w:lineRule="exact"/>
        <w:ind w:left="440"/>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评标活动遵循公平、公正、科学和择优的原则。</w:t>
      </w:r>
    </w:p>
    <w:p w14:paraId="66BEFF7E">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6.3</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3"/>
          <w:sz w:val="24"/>
          <w:szCs w:val="24"/>
          <w:highlight w:val="none"/>
        </w:rPr>
        <w:t>评标</w:t>
      </w:r>
    </w:p>
    <w:p w14:paraId="78586709">
      <w:pPr>
        <w:spacing w:before="101" w:line="268" w:lineRule="auto"/>
        <w:ind w:left="16" w:right="6"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评标委员会按照第三章“评标办法”规定的方法、评审因素、标准和程序对投标文件 </w:t>
      </w:r>
      <w:r>
        <w:rPr>
          <w:rFonts w:ascii="宋体" w:hAnsi="宋体" w:eastAsia="宋体" w:cs="宋体"/>
          <w:color w:val="auto"/>
          <w:spacing w:val="-1"/>
          <w:sz w:val="21"/>
          <w:szCs w:val="21"/>
          <w:highlight w:val="none"/>
        </w:rPr>
        <w:t>进行评审。第三章“评标办法”没有规定的方法、评审因素和标准，不作为评标依据。</w:t>
      </w:r>
    </w:p>
    <w:p w14:paraId="1C485A47">
      <w:pPr>
        <w:spacing w:before="110" w:line="335" w:lineRule="exact"/>
        <w:ind w:left="440"/>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评标采用方式详见投标人须知前附表。</w:t>
      </w:r>
    </w:p>
    <w:p w14:paraId="73BFBBDB">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6.4 </w:t>
      </w:r>
      <w:r>
        <w:rPr>
          <w:rFonts w:ascii="黑体" w:hAnsi="黑体" w:eastAsia="黑体" w:cs="黑体"/>
          <w:color w:val="auto"/>
          <w:spacing w:val="-1"/>
          <w:sz w:val="24"/>
          <w:szCs w:val="24"/>
          <w:highlight w:val="none"/>
        </w:rPr>
        <w:t>评标结果公示</w:t>
      </w:r>
    </w:p>
    <w:p w14:paraId="19FBD188">
      <w:pPr>
        <w:spacing w:before="102" w:line="292" w:lineRule="auto"/>
        <w:ind w:left="17" w:right="6"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招标人将自收到评标报告之日起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0"/>
          <w:sz w:val="21"/>
          <w:szCs w:val="21"/>
          <w:highlight w:val="none"/>
        </w:rPr>
        <w:t xml:space="preserve">  </w:t>
      </w:r>
      <w:r>
        <w:rPr>
          <w:rFonts w:ascii="宋体" w:hAnsi="宋体" w:eastAsia="宋体" w:cs="宋体"/>
          <w:color w:val="auto"/>
          <w:spacing w:val="-2"/>
          <w:sz w:val="21"/>
          <w:szCs w:val="21"/>
          <w:highlight w:val="none"/>
        </w:rPr>
        <w:t>日内，完成审查评标委员会提交的书面评标报告，</w:t>
      </w:r>
      <w:r>
        <w:rPr>
          <w:rFonts w:ascii="宋体" w:hAnsi="宋体" w:eastAsia="宋体" w:cs="宋体"/>
          <w:color w:val="auto"/>
          <w:sz w:val="21"/>
          <w:szCs w:val="21"/>
          <w:highlight w:val="none"/>
        </w:rPr>
        <w:t xml:space="preserve"> 并在投标人须知前附表规定的媒介公示中标候选人。公示期不少于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日。招标人在中标候</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选人公示前将对评标委员会提交的评标报告进行审查，</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发现异常情形的，依照法定程序进</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行复核，确认存在问题的，依照法定程序予以纠正。</w:t>
      </w:r>
    </w:p>
    <w:p w14:paraId="06AD8DB3">
      <w:pPr>
        <w:spacing w:before="112" w:line="292" w:lineRule="auto"/>
        <w:ind w:left="21"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投标人或者其他利害关系人对评标结果有异议的，应当在中标候选人公示（评标结果</w:t>
      </w:r>
      <w:r>
        <w:rPr>
          <w:rFonts w:ascii="宋体" w:hAnsi="宋体" w:eastAsia="宋体" w:cs="宋体"/>
          <w:color w:val="auto"/>
          <w:sz w:val="21"/>
          <w:szCs w:val="21"/>
          <w:highlight w:val="none"/>
        </w:rPr>
        <w:t xml:space="preserve"> 公示）期间提出。招标人自收到异议之日起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日内作出答复；作出答复前，暂停招标投标</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活动。在法定时间期限内未提出视为投标人权利灭失。 异议与答复应通过电子招标投标系</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统（辽宁省工程建设项目招标投标异议投诉处理系统）以书面形式</w:t>
      </w:r>
      <w:r>
        <w:rPr>
          <w:rFonts w:ascii="宋体" w:hAnsi="宋体" w:eastAsia="宋体" w:cs="宋体"/>
          <w:color w:val="auto"/>
          <w:spacing w:val="-2"/>
          <w:sz w:val="21"/>
          <w:szCs w:val="21"/>
          <w:highlight w:val="none"/>
        </w:rPr>
        <w:t>进行。</w:t>
      </w:r>
    </w:p>
    <w:p w14:paraId="77579A38">
      <w:pPr>
        <w:spacing w:before="85" w:line="219"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7"/>
          <w:sz w:val="24"/>
          <w:szCs w:val="24"/>
          <w:highlight w:val="none"/>
        </w:rPr>
        <w:t xml:space="preserve">6.5 </w:t>
      </w:r>
      <w:r>
        <w:rPr>
          <w:rFonts w:ascii="黑体" w:hAnsi="黑体" w:eastAsia="黑体" w:cs="黑体"/>
          <w:color w:val="auto"/>
          <w:spacing w:val="-7"/>
          <w:sz w:val="24"/>
          <w:szCs w:val="24"/>
          <w:highlight w:val="none"/>
        </w:rPr>
        <w:t>履约能力的核查 （如有）</w:t>
      </w:r>
    </w:p>
    <w:p w14:paraId="4CA21254">
      <w:pPr>
        <w:spacing w:before="99" w:line="285" w:lineRule="auto"/>
        <w:ind w:left="18" w:right="6"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如果中标候选人的经营、财务状况发生较大变化或者存在违法行为， 招标人认为可能</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影响其履约能力的，将在发出中标通知书前报请行政监督部门后， 召集原评标委员会按照</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招标文件规定的标准和方法核查确认。</w:t>
      </w:r>
    </w:p>
    <w:p w14:paraId="73B31137">
      <w:pPr>
        <w:spacing w:before="153" w:line="393" w:lineRule="exact"/>
        <w:ind w:left="20"/>
        <w:rPr>
          <w:rFonts w:ascii="黑体" w:hAnsi="黑体" w:eastAsia="黑体" w:cs="黑体"/>
          <w:color w:val="auto"/>
          <w:sz w:val="27"/>
          <w:szCs w:val="27"/>
          <w:highlight w:val="none"/>
        </w:rPr>
      </w:pPr>
      <w:r>
        <w:rPr>
          <w:rFonts w:ascii="Times New Roman" w:hAnsi="Times New Roman" w:eastAsia="Times New Roman" w:cs="Times New Roman"/>
          <w:color w:val="auto"/>
          <w:spacing w:val="2"/>
          <w:position w:val="8"/>
          <w:sz w:val="27"/>
          <w:szCs w:val="27"/>
          <w:highlight w:val="none"/>
        </w:rPr>
        <w:t>7.</w:t>
      </w:r>
      <w:r>
        <w:rPr>
          <w:rFonts w:ascii="Times New Roman" w:hAnsi="Times New Roman" w:eastAsia="Times New Roman" w:cs="Times New Roman"/>
          <w:color w:val="auto"/>
          <w:spacing w:val="24"/>
          <w:position w:val="8"/>
          <w:sz w:val="27"/>
          <w:szCs w:val="27"/>
          <w:highlight w:val="none"/>
        </w:rPr>
        <w:t xml:space="preserve"> </w:t>
      </w:r>
      <w:r>
        <w:rPr>
          <w:rFonts w:ascii="黑体" w:hAnsi="黑体" w:eastAsia="黑体" w:cs="黑体"/>
          <w:color w:val="auto"/>
          <w:spacing w:val="2"/>
          <w:position w:val="8"/>
          <w:sz w:val="27"/>
          <w:szCs w:val="27"/>
          <w:highlight w:val="none"/>
        </w:rPr>
        <w:t>合同授予</w:t>
      </w:r>
    </w:p>
    <w:p w14:paraId="09856016">
      <w:pPr>
        <w:spacing w:line="218"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7.1 </w:t>
      </w:r>
      <w:r>
        <w:rPr>
          <w:rFonts w:ascii="黑体" w:hAnsi="黑体" w:eastAsia="黑体" w:cs="黑体"/>
          <w:color w:val="auto"/>
          <w:spacing w:val="-1"/>
          <w:sz w:val="24"/>
          <w:szCs w:val="24"/>
          <w:highlight w:val="none"/>
        </w:rPr>
        <w:t>定标方式</w:t>
      </w:r>
    </w:p>
    <w:p w14:paraId="24CA050E">
      <w:pPr>
        <w:spacing w:before="102" w:line="284" w:lineRule="auto"/>
        <w:ind w:left="17" w:right="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除投标人须知前附表规定评标委员会直接确定中标人外，招标</w:t>
      </w:r>
      <w:r>
        <w:rPr>
          <w:rFonts w:ascii="宋体" w:hAnsi="宋体" w:eastAsia="宋体" w:cs="宋体"/>
          <w:color w:val="auto"/>
          <w:spacing w:val="2"/>
          <w:sz w:val="21"/>
          <w:szCs w:val="21"/>
          <w:highlight w:val="none"/>
        </w:rPr>
        <w:t>人依据评标委员会推荐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的中标候选人确定中标人或从评标委员会推荐的中标候选人范围内自主研究确定中标人，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评标委员会推荐中标候选人的人数见投标人须知前附表。</w:t>
      </w:r>
    </w:p>
    <w:p w14:paraId="578FAF1A">
      <w:pPr>
        <w:spacing w:before="109" w:line="285" w:lineRule="auto"/>
        <w:ind w:left="17" w:right="6"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招标人从评标委员会推荐的中标候选人范围内自主研究确定中标人的，招标人按照定</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标办法规定的规则组建定标委员会，定标委员会按照定标办法规定的方法、规则、标准和</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程序在中标候选人中定标，确定中标人。 定标办法没有规定的方法、规则、标准，</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不得作</w:t>
      </w:r>
    </w:p>
    <w:p w14:paraId="6B33FABC">
      <w:pPr>
        <w:spacing w:line="285" w:lineRule="auto"/>
        <w:rPr>
          <w:rFonts w:ascii="宋体" w:hAnsi="宋体" w:eastAsia="宋体" w:cs="宋体"/>
          <w:color w:val="auto"/>
          <w:sz w:val="21"/>
          <w:szCs w:val="21"/>
          <w:highlight w:val="none"/>
        </w:rPr>
        <w:sectPr>
          <w:footerReference r:id="rId18" w:type="default"/>
          <w:pgSz w:w="11905" w:h="16839"/>
          <w:pgMar w:top="1431" w:right="1785" w:bottom="1036" w:left="1785" w:header="0" w:footer="847" w:gutter="0"/>
          <w:pgNumType w:fmt="decimal"/>
          <w:cols w:space="720" w:num="1"/>
        </w:sectPr>
      </w:pPr>
    </w:p>
    <w:p w14:paraId="3F6F310F">
      <w:pPr>
        <w:spacing w:before="115"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为定标依据。</w:t>
      </w:r>
    </w:p>
    <w:p w14:paraId="20FD2C7C">
      <w:pPr>
        <w:spacing w:before="84" w:line="220"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7.2</w:t>
      </w:r>
      <w:r>
        <w:rPr>
          <w:rFonts w:ascii="Times New Roman" w:hAnsi="Times New Roman" w:eastAsia="Times New Roman" w:cs="Times New Roman"/>
          <w:color w:val="auto"/>
          <w:spacing w:val="31"/>
          <w:sz w:val="24"/>
          <w:szCs w:val="24"/>
          <w:highlight w:val="none"/>
        </w:rPr>
        <w:t xml:space="preserve"> </w:t>
      </w:r>
      <w:r>
        <w:rPr>
          <w:rFonts w:ascii="黑体" w:hAnsi="黑体" w:eastAsia="黑体" w:cs="黑体"/>
          <w:color w:val="auto"/>
          <w:spacing w:val="-4"/>
          <w:sz w:val="24"/>
          <w:szCs w:val="24"/>
          <w:highlight w:val="none"/>
        </w:rPr>
        <w:t>中标通知</w:t>
      </w:r>
    </w:p>
    <w:p w14:paraId="2B68F4E3">
      <w:pPr>
        <w:spacing w:before="99" w:line="285" w:lineRule="auto"/>
        <w:ind w:left="38" w:right="152"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评标结果公示期满后，在本章第</w:t>
      </w:r>
      <w:r>
        <w:rPr>
          <w:rFonts w:ascii="宋体" w:hAnsi="宋体" w:eastAsia="宋体" w:cs="宋体"/>
          <w:color w:val="auto"/>
          <w:spacing w:val="-57"/>
          <w:sz w:val="21"/>
          <w:szCs w:val="21"/>
          <w:highlight w:val="none"/>
        </w:rPr>
        <w:t xml:space="preserve"> </w:t>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款规定</w:t>
      </w:r>
      <w:r>
        <w:rPr>
          <w:rFonts w:ascii="宋体" w:hAnsi="宋体" w:eastAsia="宋体" w:cs="宋体"/>
          <w:color w:val="auto"/>
          <w:spacing w:val="-1"/>
          <w:sz w:val="21"/>
          <w:szCs w:val="21"/>
          <w:highlight w:val="none"/>
        </w:rPr>
        <w:t>的投标有效期内，招标人通过电子交易系统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以书面形式向中标人发出经电子监督系统验证备案的中标通知书，</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rPr>
        <w:t>同时</w:t>
      </w:r>
      <w:r>
        <w:rPr>
          <w:rFonts w:ascii="宋体" w:hAnsi="宋体" w:eastAsia="宋体" w:cs="宋体"/>
          <w:color w:val="auto"/>
          <w:spacing w:val="-2"/>
          <w:sz w:val="21"/>
          <w:szCs w:val="21"/>
          <w:highlight w:val="none"/>
        </w:rPr>
        <w:t>将中标结果通知未</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中标的投标人。</w:t>
      </w:r>
    </w:p>
    <w:p w14:paraId="1641F633">
      <w:pPr>
        <w:spacing w:before="108" w:line="269" w:lineRule="auto"/>
        <w:ind w:left="22" w:right="154" w:firstLine="4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中标通知书发出的同时，招标人将在投标人须知前附表第</w:t>
      </w:r>
      <w:r>
        <w:rPr>
          <w:rFonts w:ascii="宋体" w:hAnsi="宋体" w:eastAsia="宋体" w:cs="宋体"/>
          <w:color w:val="auto"/>
          <w:spacing w:val="-55"/>
          <w:sz w:val="21"/>
          <w:szCs w:val="21"/>
          <w:highlight w:val="none"/>
        </w:rPr>
        <w:t xml:space="preserve"> </w:t>
      </w:r>
      <w:r>
        <w:rPr>
          <w:rFonts w:ascii="Times New Roman" w:hAnsi="Times New Roman" w:eastAsia="Times New Roman" w:cs="Times New Roman"/>
          <w:color w:val="auto"/>
          <w:spacing w:val="-1"/>
          <w:sz w:val="21"/>
          <w:szCs w:val="21"/>
          <w:highlight w:val="none"/>
        </w:rPr>
        <w:t>6.4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款规定的媒介发布</w:t>
      </w:r>
      <w:r>
        <w:rPr>
          <w:rFonts w:ascii="宋体" w:hAnsi="宋体" w:eastAsia="宋体" w:cs="宋体"/>
          <w:color w:val="auto"/>
          <w:spacing w:val="-2"/>
          <w:sz w:val="21"/>
          <w:szCs w:val="21"/>
          <w:highlight w:val="none"/>
        </w:rPr>
        <w:t>中标结</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果公示。</w:t>
      </w:r>
    </w:p>
    <w:p w14:paraId="451BF037">
      <w:pPr>
        <w:spacing w:before="83" w:line="219"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7.3 </w:t>
      </w:r>
      <w:r>
        <w:rPr>
          <w:rFonts w:ascii="黑体" w:hAnsi="黑体" w:eastAsia="黑体" w:cs="黑体"/>
          <w:color w:val="auto"/>
          <w:spacing w:val="-1"/>
          <w:sz w:val="24"/>
          <w:szCs w:val="24"/>
          <w:highlight w:val="none"/>
        </w:rPr>
        <w:t>履约保证金</w:t>
      </w:r>
    </w:p>
    <w:p w14:paraId="51FBAF5A">
      <w:pPr>
        <w:spacing w:before="102" w:line="292" w:lineRule="auto"/>
        <w:ind w:left="18" w:right="155"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7.3.1</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在签订合同前，中标人应按投标人须知前</w:t>
      </w:r>
      <w:r>
        <w:rPr>
          <w:rFonts w:ascii="宋体" w:hAnsi="宋体" w:eastAsia="宋体" w:cs="宋体"/>
          <w:color w:val="auto"/>
          <w:sz w:val="21"/>
          <w:szCs w:val="21"/>
          <w:highlight w:val="none"/>
        </w:rPr>
        <w:t xml:space="preserve">附表规定的金额、担保形式和招标文件 </w:t>
      </w:r>
      <w:r>
        <w:rPr>
          <w:rFonts w:ascii="宋体" w:hAnsi="宋体" w:eastAsia="宋体" w:cs="宋体"/>
          <w:color w:val="auto"/>
          <w:spacing w:val="3"/>
          <w:sz w:val="21"/>
          <w:szCs w:val="21"/>
          <w:highlight w:val="none"/>
        </w:rPr>
        <w:t>第四章“合同条款及格式”规定的履约保证金格式或者事先经过招标人书面</w:t>
      </w:r>
      <w:r>
        <w:rPr>
          <w:rFonts w:ascii="宋体" w:hAnsi="宋体" w:eastAsia="宋体" w:cs="宋体"/>
          <w:color w:val="auto"/>
          <w:spacing w:val="2"/>
          <w:sz w:val="21"/>
          <w:szCs w:val="21"/>
          <w:highlight w:val="none"/>
        </w:rPr>
        <w:t>认可的履约保</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证金格式向招标人提交履约担保。联合体中标的，其履约保证金由牵头人递</w:t>
      </w:r>
      <w:r>
        <w:rPr>
          <w:rFonts w:ascii="宋体" w:hAnsi="宋体" w:eastAsia="宋体" w:cs="宋体"/>
          <w:color w:val="auto"/>
          <w:spacing w:val="2"/>
          <w:sz w:val="21"/>
          <w:szCs w:val="21"/>
          <w:highlight w:val="none"/>
        </w:rPr>
        <w:t>交，并应符合</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投标人须知前附表的规定。</w:t>
      </w:r>
    </w:p>
    <w:p w14:paraId="30D4B414">
      <w:pPr>
        <w:spacing w:before="108" w:line="285" w:lineRule="auto"/>
        <w:ind w:left="18" w:right="155"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7.3.2</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中标人不能按本章第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项要求提交履约保证</w:t>
      </w:r>
      <w:r>
        <w:rPr>
          <w:rFonts w:ascii="宋体" w:hAnsi="宋体" w:eastAsia="宋体" w:cs="宋体"/>
          <w:color w:val="auto"/>
          <w:spacing w:val="-2"/>
          <w:sz w:val="21"/>
          <w:szCs w:val="21"/>
          <w:highlight w:val="none"/>
        </w:rPr>
        <w:t>金的，视为放弃中标，其投标保证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金不予退还， 给招标人造成的损失超过投标保证金数</w:t>
      </w:r>
      <w:r>
        <w:rPr>
          <w:rFonts w:ascii="宋体" w:hAnsi="宋体" w:eastAsia="宋体" w:cs="宋体"/>
          <w:color w:val="auto"/>
          <w:spacing w:val="-3"/>
          <w:sz w:val="21"/>
          <w:szCs w:val="21"/>
          <w:highlight w:val="none"/>
        </w:rPr>
        <w:t>额的， 中标人还应当对超过部分予以</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赔偿。</w:t>
      </w:r>
    </w:p>
    <w:p w14:paraId="48D60BBA">
      <w:pPr>
        <w:spacing w:before="85" w:line="220"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7.4</w:t>
      </w:r>
      <w:r>
        <w:rPr>
          <w:rFonts w:ascii="Times New Roman" w:hAnsi="Times New Roman" w:eastAsia="Times New Roman" w:cs="Times New Roman"/>
          <w:color w:val="auto"/>
          <w:spacing w:val="12"/>
          <w:sz w:val="24"/>
          <w:szCs w:val="24"/>
          <w:highlight w:val="none"/>
        </w:rPr>
        <w:t xml:space="preserve"> </w:t>
      </w:r>
      <w:r>
        <w:rPr>
          <w:rFonts w:ascii="黑体" w:hAnsi="黑体" w:eastAsia="黑体" w:cs="黑体"/>
          <w:color w:val="auto"/>
          <w:spacing w:val="-2"/>
          <w:sz w:val="24"/>
          <w:szCs w:val="24"/>
          <w:highlight w:val="none"/>
        </w:rPr>
        <w:t>签订合同</w:t>
      </w:r>
    </w:p>
    <w:p w14:paraId="14E6D08E">
      <w:pPr>
        <w:spacing w:before="100" w:line="297" w:lineRule="auto"/>
        <w:ind w:left="19"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7.4.1 </w:t>
      </w:r>
      <w:r>
        <w:rPr>
          <w:rFonts w:ascii="宋体" w:hAnsi="宋体" w:eastAsia="宋体" w:cs="宋体"/>
          <w:color w:val="auto"/>
          <w:spacing w:val="-2"/>
          <w:sz w:val="21"/>
          <w:szCs w:val="21"/>
          <w:highlight w:val="none"/>
        </w:rPr>
        <w:t>招标人和中标人应当在投标有效期内并自</w:t>
      </w:r>
      <w:r>
        <w:rPr>
          <w:rFonts w:ascii="宋体" w:hAnsi="宋体" w:eastAsia="宋体" w:cs="宋体"/>
          <w:color w:val="auto"/>
          <w:spacing w:val="-3"/>
          <w:sz w:val="21"/>
          <w:szCs w:val="21"/>
          <w:highlight w:val="none"/>
        </w:rPr>
        <w:t>中标通知书发出之日起</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3"/>
          <w:sz w:val="21"/>
          <w:szCs w:val="21"/>
          <w:highlight w:val="none"/>
        </w:rPr>
        <w:t>30</w:t>
      </w:r>
      <w:r>
        <w:rPr>
          <w:rFonts w:ascii="Times New Roman" w:hAnsi="Times New Roman" w:eastAsia="Times New Roman" w:cs="Times New Roman"/>
          <w:color w:val="auto"/>
          <w:spacing w:val="25"/>
          <w:w w:val="101"/>
          <w:sz w:val="21"/>
          <w:szCs w:val="21"/>
          <w:highlight w:val="none"/>
        </w:rPr>
        <w:t xml:space="preserve"> </w:t>
      </w:r>
      <w:r>
        <w:rPr>
          <w:rFonts w:ascii="宋体" w:hAnsi="宋体" w:eastAsia="宋体" w:cs="宋体"/>
          <w:color w:val="auto"/>
          <w:spacing w:val="-3"/>
          <w:sz w:val="21"/>
          <w:szCs w:val="21"/>
          <w:highlight w:val="none"/>
        </w:rPr>
        <w:t xml:space="preserve">日内，根据招  </w:t>
      </w:r>
      <w:r>
        <w:rPr>
          <w:rFonts w:ascii="宋体" w:hAnsi="宋体" w:eastAsia="宋体" w:cs="宋体"/>
          <w:color w:val="auto"/>
          <w:spacing w:val="2"/>
          <w:sz w:val="21"/>
          <w:szCs w:val="21"/>
          <w:highlight w:val="none"/>
        </w:rPr>
        <w:t xml:space="preserve">标文件和中标人的投标文件（以经评标委员会评审的文件版本为准）订立书面合同。中标  </w:t>
      </w:r>
      <w:r>
        <w:rPr>
          <w:rFonts w:ascii="宋体" w:hAnsi="宋体" w:eastAsia="宋体" w:cs="宋体"/>
          <w:color w:val="auto"/>
          <w:spacing w:val="-1"/>
          <w:sz w:val="21"/>
          <w:szCs w:val="21"/>
          <w:highlight w:val="none"/>
        </w:rPr>
        <w:t>人无正当理由拒签合同或在签订合同时向招标人提出附加条件的， 招标人取消其中标资格，</w:t>
      </w:r>
      <w:r>
        <w:rPr>
          <w:rFonts w:ascii="宋体" w:hAnsi="宋体" w:eastAsia="宋体" w:cs="宋体"/>
          <w:color w:val="auto"/>
          <w:sz w:val="21"/>
          <w:szCs w:val="21"/>
          <w:highlight w:val="none"/>
        </w:rPr>
        <w:t xml:space="preserve"> 其投标保证金不予退还；给招标人造成的损失超</w:t>
      </w:r>
      <w:r>
        <w:rPr>
          <w:rFonts w:ascii="宋体" w:hAnsi="宋体" w:eastAsia="宋体" w:cs="宋体"/>
          <w:color w:val="auto"/>
          <w:spacing w:val="-1"/>
          <w:sz w:val="21"/>
          <w:szCs w:val="21"/>
          <w:highlight w:val="none"/>
        </w:rPr>
        <w:t xml:space="preserve">过投标保证金数额的， 中标人还应当对超  </w:t>
      </w:r>
      <w:r>
        <w:rPr>
          <w:rFonts w:ascii="宋体" w:hAnsi="宋体" w:eastAsia="宋体" w:cs="宋体"/>
          <w:color w:val="auto"/>
          <w:spacing w:val="-4"/>
          <w:sz w:val="21"/>
          <w:szCs w:val="21"/>
          <w:highlight w:val="none"/>
        </w:rPr>
        <w:t>过部分予以赔偿。</w:t>
      </w:r>
    </w:p>
    <w:p w14:paraId="28AF46BC">
      <w:pPr>
        <w:spacing w:before="108" w:line="269" w:lineRule="auto"/>
        <w:ind w:left="18" w:right="160"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7.4.2</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1"/>
          <w:sz w:val="21"/>
          <w:szCs w:val="21"/>
          <w:highlight w:val="none"/>
        </w:rPr>
        <w:t>发出中标通知书后，招标人无正当理由拒</w:t>
      </w:r>
      <w:r>
        <w:rPr>
          <w:rFonts w:ascii="宋体" w:hAnsi="宋体" w:eastAsia="宋体" w:cs="宋体"/>
          <w:color w:val="auto"/>
          <w:sz w:val="21"/>
          <w:szCs w:val="21"/>
          <w:highlight w:val="none"/>
        </w:rPr>
        <w:t xml:space="preserve">签合同的，招标人向中标人退还投标保 </w:t>
      </w:r>
      <w:r>
        <w:rPr>
          <w:rFonts w:ascii="宋体" w:hAnsi="宋体" w:eastAsia="宋体" w:cs="宋体"/>
          <w:color w:val="auto"/>
          <w:spacing w:val="-6"/>
          <w:sz w:val="21"/>
          <w:szCs w:val="21"/>
          <w:highlight w:val="none"/>
        </w:rPr>
        <w:t>证金；给中标人造成损失的， 还应当赔偿损失。</w:t>
      </w:r>
    </w:p>
    <w:p w14:paraId="0611D27F">
      <w:pPr>
        <w:spacing w:before="109" w:line="269" w:lineRule="auto"/>
        <w:ind w:left="19" w:right="160"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7.4.3</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联合体中标的，联合体各方应当共同与招标人签</w:t>
      </w:r>
      <w:r>
        <w:rPr>
          <w:rFonts w:ascii="宋体" w:hAnsi="宋体" w:eastAsia="宋体" w:cs="宋体"/>
          <w:color w:val="auto"/>
          <w:sz w:val="21"/>
          <w:szCs w:val="21"/>
          <w:highlight w:val="none"/>
        </w:rPr>
        <w:t xml:space="preserve">订合同，就中标项目向招标人承 </w:t>
      </w:r>
      <w:r>
        <w:rPr>
          <w:rFonts w:ascii="宋体" w:hAnsi="宋体" w:eastAsia="宋体" w:cs="宋体"/>
          <w:color w:val="auto"/>
          <w:spacing w:val="-1"/>
          <w:sz w:val="21"/>
          <w:szCs w:val="21"/>
          <w:highlight w:val="none"/>
        </w:rPr>
        <w:t>担连带责任。</w:t>
      </w:r>
    </w:p>
    <w:p w14:paraId="6548F128">
      <w:pPr>
        <w:spacing w:before="109" w:line="219"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7.4.4 </w:t>
      </w:r>
      <w:r>
        <w:rPr>
          <w:rFonts w:ascii="宋体" w:hAnsi="宋体" w:eastAsia="宋体" w:cs="宋体"/>
          <w:color w:val="auto"/>
          <w:spacing w:val="-2"/>
          <w:sz w:val="21"/>
          <w:szCs w:val="21"/>
          <w:highlight w:val="none"/>
        </w:rPr>
        <w:t>签约合同价的确定原则如下：</w:t>
      </w:r>
    </w:p>
    <w:p w14:paraId="3DF04E75">
      <w:pPr>
        <w:spacing w:before="111" w:line="284" w:lineRule="auto"/>
        <w:ind w:left="20" w:right="158"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开标时投标函中大写投标总价应为签约合同价。按照第三章“评标办法”的规定，如</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投标报价有算术错误的，修正的价格经投标人书面确认后， 以修正后的投标总价为签约合</w:t>
      </w:r>
      <w:r>
        <w:rPr>
          <w:rFonts w:ascii="宋体" w:hAnsi="宋体" w:eastAsia="宋体" w:cs="宋体"/>
          <w:color w:val="auto"/>
          <w:spacing w:val="4"/>
          <w:sz w:val="21"/>
          <w:szCs w:val="21"/>
          <w:highlight w:val="none"/>
        </w:rPr>
        <w:t xml:space="preserve"> </w:t>
      </w:r>
      <w:r>
        <w:rPr>
          <w:rFonts w:ascii="宋体" w:hAnsi="宋体" w:eastAsia="宋体" w:cs="宋体"/>
          <w:color w:val="auto"/>
          <w:spacing w:val="-9"/>
          <w:sz w:val="21"/>
          <w:szCs w:val="21"/>
          <w:highlight w:val="none"/>
        </w:rPr>
        <w:t>同价。</w:t>
      </w:r>
    </w:p>
    <w:p w14:paraId="3D4CF731">
      <w:pPr>
        <w:spacing w:before="112" w:line="284" w:lineRule="auto"/>
        <w:ind w:left="17" w:right="15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7.4.5 </w:t>
      </w:r>
      <w:r>
        <w:rPr>
          <w:rFonts w:ascii="宋体" w:hAnsi="宋体" w:eastAsia="宋体" w:cs="宋体"/>
          <w:color w:val="auto"/>
          <w:spacing w:val="-2"/>
          <w:sz w:val="21"/>
          <w:szCs w:val="21"/>
          <w:highlight w:val="none"/>
        </w:rPr>
        <w:t>招标人和中标人应当在中标通知书发出之日起</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30</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2"/>
          <w:sz w:val="21"/>
          <w:szCs w:val="21"/>
          <w:highlight w:val="none"/>
        </w:rPr>
        <w:t>日内，登录辽宁省工程建设项目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合同履约管理系统签订合同并向电子监督系统提交电子合</w:t>
      </w:r>
      <w:r>
        <w:rPr>
          <w:rFonts w:ascii="宋体" w:hAnsi="宋体" w:eastAsia="宋体" w:cs="宋体"/>
          <w:color w:val="auto"/>
          <w:spacing w:val="3"/>
          <w:sz w:val="21"/>
          <w:szCs w:val="21"/>
          <w:highlight w:val="none"/>
        </w:rPr>
        <w:t>同文件归档</w:t>
      </w:r>
      <w:r>
        <w:rPr>
          <w:rFonts w:ascii="宋体" w:hAnsi="宋体" w:eastAsia="宋体" w:cs="宋体"/>
          <w:color w:val="auto"/>
          <w:spacing w:val="3"/>
          <w:sz w:val="19"/>
          <w:szCs w:val="19"/>
          <w:highlight w:val="none"/>
        </w:rPr>
        <w:t>。</w:t>
      </w:r>
      <w:r>
        <w:rPr>
          <w:rFonts w:ascii="宋体" w:hAnsi="宋体" w:eastAsia="宋体" w:cs="宋体"/>
          <w:color w:val="auto"/>
          <w:spacing w:val="3"/>
          <w:sz w:val="21"/>
          <w:szCs w:val="21"/>
          <w:highlight w:val="none"/>
        </w:rPr>
        <w:t>按照信息公示规定</w:t>
      </w:r>
      <w:r>
        <w:rPr>
          <w:rFonts w:ascii="宋体" w:hAnsi="宋体" w:eastAsia="宋体" w:cs="宋体"/>
          <w:color w:val="auto"/>
          <w:sz w:val="21"/>
          <w:szCs w:val="21"/>
          <w:highlight w:val="none"/>
        </w:rPr>
        <w:t xml:space="preserve"> 对合同签订等信息进行公示公开，依法应当保护的商业秘</w:t>
      </w:r>
      <w:r>
        <w:rPr>
          <w:rFonts w:ascii="宋体" w:hAnsi="宋体" w:eastAsia="宋体" w:cs="宋体"/>
          <w:color w:val="auto"/>
          <w:spacing w:val="-1"/>
          <w:sz w:val="21"/>
          <w:szCs w:val="21"/>
          <w:highlight w:val="none"/>
        </w:rPr>
        <w:t>密除外。</w:t>
      </w:r>
    </w:p>
    <w:p w14:paraId="1A19883C">
      <w:pPr>
        <w:spacing w:before="153" w:line="393" w:lineRule="exact"/>
        <w:ind w:left="27"/>
        <w:rPr>
          <w:rFonts w:ascii="黑体" w:hAnsi="黑体" w:eastAsia="黑体" w:cs="黑体"/>
          <w:color w:val="auto"/>
          <w:sz w:val="27"/>
          <w:szCs w:val="27"/>
          <w:highlight w:val="none"/>
        </w:rPr>
      </w:pPr>
      <w:r>
        <w:rPr>
          <w:rFonts w:ascii="Times New Roman" w:hAnsi="Times New Roman" w:eastAsia="Times New Roman" w:cs="Times New Roman"/>
          <w:color w:val="auto"/>
          <w:spacing w:val="6"/>
          <w:position w:val="8"/>
          <w:sz w:val="27"/>
          <w:szCs w:val="27"/>
          <w:highlight w:val="none"/>
        </w:rPr>
        <w:t>8.</w:t>
      </w:r>
      <w:r>
        <w:rPr>
          <w:rFonts w:ascii="Times New Roman" w:hAnsi="Times New Roman" w:eastAsia="Times New Roman" w:cs="Times New Roman"/>
          <w:color w:val="auto"/>
          <w:spacing w:val="30"/>
          <w:w w:val="101"/>
          <w:position w:val="8"/>
          <w:sz w:val="27"/>
          <w:szCs w:val="27"/>
          <w:highlight w:val="none"/>
        </w:rPr>
        <w:t xml:space="preserve"> </w:t>
      </w:r>
      <w:r>
        <w:rPr>
          <w:rFonts w:ascii="黑体" w:hAnsi="黑体" w:eastAsia="黑体" w:cs="黑体"/>
          <w:color w:val="auto"/>
          <w:spacing w:val="6"/>
          <w:position w:val="8"/>
          <w:sz w:val="27"/>
          <w:szCs w:val="27"/>
          <w:highlight w:val="none"/>
        </w:rPr>
        <w:t>重新招标、不再招标和终止招标</w:t>
      </w:r>
    </w:p>
    <w:p w14:paraId="7ECA474A">
      <w:pPr>
        <w:spacing w:before="1" w:line="218"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8.1</w:t>
      </w:r>
      <w:r>
        <w:rPr>
          <w:rFonts w:ascii="Times New Roman" w:hAnsi="Times New Roman" w:eastAsia="Times New Roman" w:cs="Times New Roman"/>
          <w:color w:val="auto"/>
          <w:spacing w:val="21"/>
          <w:sz w:val="24"/>
          <w:szCs w:val="24"/>
          <w:highlight w:val="none"/>
        </w:rPr>
        <w:t xml:space="preserve"> </w:t>
      </w:r>
      <w:r>
        <w:rPr>
          <w:rFonts w:ascii="黑体" w:hAnsi="黑体" w:eastAsia="黑体" w:cs="黑体"/>
          <w:color w:val="auto"/>
          <w:spacing w:val="-4"/>
          <w:sz w:val="24"/>
          <w:szCs w:val="24"/>
          <w:highlight w:val="none"/>
        </w:rPr>
        <w:t>重新招标</w:t>
      </w:r>
    </w:p>
    <w:p w14:paraId="7E8F3B2B">
      <w:pPr>
        <w:spacing w:before="100" w:line="221" w:lineRule="auto"/>
        <w:ind w:left="37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有下列情形之一的，</w:t>
      </w:r>
      <w:r>
        <w:rPr>
          <w:rFonts w:ascii="宋体" w:hAnsi="宋体" w:eastAsia="宋体" w:cs="宋体"/>
          <w:color w:val="auto"/>
          <w:spacing w:val="-20"/>
          <w:sz w:val="21"/>
          <w:szCs w:val="21"/>
          <w:highlight w:val="none"/>
        </w:rPr>
        <w:t xml:space="preserve"> </w:t>
      </w:r>
      <w:r>
        <w:rPr>
          <w:rFonts w:ascii="宋体" w:hAnsi="宋体" w:eastAsia="宋体" w:cs="宋体"/>
          <w:color w:val="auto"/>
          <w:spacing w:val="-5"/>
          <w:sz w:val="21"/>
          <w:szCs w:val="21"/>
          <w:highlight w:val="none"/>
        </w:rPr>
        <w:t>招标人将重新招标：</w:t>
      </w:r>
    </w:p>
    <w:p w14:paraId="39A51435">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）投标截止时间止，投标人少于</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个的；</w:t>
      </w:r>
    </w:p>
    <w:p w14:paraId="6E060AB5">
      <w:pPr>
        <w:spacing w:before="109" w:line="220" w:lineRule="auto"/>
        <w:ind w:left="3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）经评标委员会评审后否决所有投标的；</w:t>
      </w:r>
    </w:p>
    <w:p w14:paraId="2AD9C2E7">
      <w:pPr>
        <w:spacing w:before="110"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）第一中标候选人或所有中标候选人存在不同程度的问题，</w:t>
      </w:r>
      <w:r>
        <w:rPr>
          <w:rFonts w:ascii="宋体" w:hAnsi="宋体" w:eastAsia="宋体" w:cs="宋体"/>
          <w:color w:val="auto"/>
          <w:spacing w:val="61"/>
          <w:sz w:val="21"/>
          <w:szCs w:val="21"/>
          <w:highlight w:val="none"/>
        </w:rPr>
        <w:t xml:space="preserve"> </w:t>
      </w:r>
      <w:r>
        <w:rPr>
          <w:rFonts w:ascii="宋体" w:hAnsi="宋体" w:eastAsia="宋体" w:cs="宋体"/>
          <w:color w:val="auto"/>
          <w:spacing w:val="-6"/>
          <w:sz w:val="21"/>
          <w:szCs w:val="21"/>
          <w:highlight w:val="none"/>
        </w:rPr>
        <w:t>不能签订合同的；</w:t>
      </w:r>
    </w:p>
    <w:p w14:paraId="6B665082">
      <w:pPr>
        <w:spacing w:line="221" w:lineRule="auto"/>
        <w:rPr>
          <w:rFonts w:ascii="宋体" w:hAnsi="宋体" w:eastAsia="宋体" w:cs="宋体"/>
          <w:color w:val="auto"/>
          <w:sz w:val="21"/>
          <w:szCs w:val="21"/>
          <w:highlight w:val="none"/>
        </w:rPr>
        <w:sectPr>
          <w:footerReference r:id="rId19" w:type="default"/>
          <w:pgSz w:w="11905" w:h="16839"/>
          <w:pgMar w:top="1431" w:right="1633" w:bottom="1036" w:left="1785" w:header="0" w:footer="847" w:gutter="0"/>
          <w:pgNumType w:fmt="decimal"/>
          <w:cols w:space="720" w:num="1"/>
        </w:sectPr>
      </w:pPr>
    </w:p>
    <w:p w14:paraId="05B0C5F8">
      <w:pPr>
        <w:spacing w:before="115" w:line="360"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宋体" w:hAnsi="宋体" w:eastAsia="宋体" w:cs="宋体"/>
          <w:color w:val="auto"/>
          <w:spacing w:val="-1"/>
          <w:position w:val="11"/>
          <w:sz w:val="21"/>
          <w:szCs w:val="21"/>
          <w:highlight w:val="none"/>
        </w:rPr>
        <w:t>）在投标有效期内同意延长投标有效期的投标人少于三个的；</w:t>
      </w:r>
    </w:p>
    <w:p w14:paraId="6C630772">
      <w:pPr>
        <w:spacing w:line="220" w:lineRule="auto"/>
        <w:ind w:left="3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）法律、法规规定的其他情形。</w:t>
      </w:r>
    </w:p>
    <w:p w14:paraId="1FC564E7">
      <w:pPr>
        <w:spacing w:before="84" w:line="219"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8.2</w:t>
      </w:r>
      <w:r>
        <w:rPr>
          <w:rFonts w:ascii="Times New Roman" w:hAnsi="Times New Roman" w:eastAsia="Times New Roman" w:cs="Times New Roman"/>
          <w:color w:val="auto"/>
          <w:spacing w:val="20"/>
          <w:w w:val="101"/>
          <w:sz w:val="24"/>
          <w:szCs w:val="24"/>
          <w:highlight w:val="none"/>
        </w:rPr>
        <w:t xml:space="preserve"> </w:t>
      </w:r>
      <w:r>
        <w:rPr>
          <w:rFonts w:ascii="黑体" w:hAnsi="黑体" w:eastAsia="黑体" w:cs="黑体"/>
          <w:color w:val="auto"/>
          <w:spacing w:val="-4"/>
          <w:sz w:val="24"/>
          <w:szCs w:val="24"/>
          <w:highlight w:val="none"/>
        </w:rPr>
        <w:t>不再招标</w:t>
      </w:r>
    </w:p>
    <w:p w14:paraId="5D62DDBE">
      <w:pPr>
        <w:spacing w:before="99" w:line="269" w:lineRule="auto"/>
        <w:ind w:left="21" w:right="171"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重新招标后投标人仍少于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1"/>
          <w:sz w:val="21"/>
          <w:szCs w:val="21"/>
          <w:highlight w:val="none"/>
        </w:rPr>
        <w:t>个或者所有投标被否</w:t>
      </w:r>
      <w:r>
        <w:rPr>
          <w:rFonts w:ascii="宋体" w:hAnsi="宋体" w:eastAsia="宋体" w:cs="宋体"/>
          <w:color w:val="auto"/>
          <w:sz w:val="21"/>
          <w:szCs w:val="21"/>
          <w:highlight w:val="none"/>
        </w:rPr>
        <w:t xml:space="preserve">决的，属于必须审批或核准的工程建 </w:t>
      </w:r>
      <w:r>
        <w:rPr>
          <w:rFonts w:ascii="宋体" w:hAnsi="宋体" w:eastAsia="宋体" w:cs="宋体"/>
          <w:color w:val="auto"/>
          <w:spacing w:val="-1"/>
          <w:sz w:val="21"/>
          <w:szCs w:val="21"/>
          <w:highlight w:val="none"/>
        </w:rPr>
        <w:t>设项目，经原审批或核准部门批准后不再进行招标。</w:t>
      </w:r>
    </w:p>
    <w:p w14:paraId="4F62DCB0">
      <w:pPr>
        <w:spacing w:before="84" w:line="220"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8.3</w:t>
      </w:r>
      <w:r>
        <w:rPr>
          <w:rFonts w:ascii="Times New Roman" w:hAnsi="Times New Roman" w:eastAsia="Times New Roman" w:cs="Times New Roman"/>
          <w:color w:val="auto"/>
          <w:spacing w:val="12"/>
          <w:sz w:val="24"/>
          <w:szCs w:val="24"/>
          <w:highlight w:val="none"/>
        </w:rPr>
        <w:t xml:space="preserve"> </w:t>
      </w:r>
      <w:r>
        <w:rPr>
          <w:rFonts w:ascii="黑体" w:hAnsi="黑体" w:eastAsia="黑体" w:cs="黑体"/>
          <w:color w:val="auto"/>
          <w:spacing w:val="-3"/>
          <w:sz w:val="24"/>
          <w:szCs w:val="24"/>
          <w:highlight w:val="none"/>
        </w:rPr>
        <w:t>终止招标</w:t>
      </w:r>
    </w:p>
    <w:p w14:paraId="70136C6C">
      <w:pPr>
        <w:spacing w:before="97" w:line="293" w:lineRule="auto"/>
        <w:ind w:left="20" w:right="171" w:firstLine="437"/>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因不可抗力等原因，招标人终止招标的， 将通过法定公告公示信息发布媒介</w:t>
      </w:r>
      <w:r>
        <w:rPr>
          <w:rFonts w:ascii="宋体" w:hAnsi="宋体" w:eastAsia="宋体" w:cs="宋体"/>
          <w:color w:val="auto"/>
          <w:spacing w:val="-1"/>
          <w:sz w:val="21"/>
          <w:szCs w:val="21"/>
          <w:highlight w:val="none"/>
        </w:rPr>
        <w:t>、电子交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易系统（投标盲盒工具）等渠道及时发布公告，或者以书面形式通知被邀请</w:t>
      </w:r>
      <w:r>
        <w:rPr>
          <w:rFonts w:ascii="宋体" w:hAnsi="宋体" w:eastAsia="宋体" w:cs="宋体"/>
          <w:color w:val="auto"/>
          <w:spacing w:val="2"/>
          <w:sz w:val="21"/>
          <w:szCs w:val="21"/>
          <w:highlight w:val="none"/>
        </w:rPr>
        <w:t>的或者已经获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取招标文件的潜在投标人。已经收取投标保证金的，招标人将及时退还所</w:t>
      </w:r>
      <w:r>
        <w:rPr>
          <w:rFonts w:ascii="宋体" w:hAnsi="宋体" w:eastAsia="宋体" w:cs="宋体"/>
          <w:color w:val="auto"/>
          <w:spacing w:val="2"/>
          <w:sz w:val="21"/>
          <w:szCs w:val="21"/>
          <w:highlight w:val="none"/>
        </w:rPr>
        <w:t>收取的投标保证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金及银行同期存款利息。</w:t>
      </w:r>
    </w:p>
    <w:p w14:paraId="693466BF">
      <w:pPr>
        <w:spacing w:before="152" w:line="224" w:lineRule="auto"/>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9.</w:t>
      </w:r>
      <w:r>
        <w:rPr>
          <w:rFonts w:ascii="Times New Roman" w:hAnsi="Times New Roman" w:eastAsia="Times New Roman" w:cs="Times New Roman"/>
          <w:color w:val="auto"/>
          <w:spacing w:val="29"/>
          <w:sz w:val="27"/>
          <w:szCs w:val="27"/>
          <w:highlight w:val="none"/>
        </w:rPr>
        <w:t xml:space="preserve"> </w:t>
      </w:r>
      <w:r>
        <w:rPr>
          <w:rFonts w:ascii="黑体" w:hAnsi="黑体" w:eastAsia="黑体" w:cs="黑体"/>
          <w:color w:val="auto"/>
          <w:spacing w:val="2"/>
          <w:sz w:val="27"/>
          <w:szCs w:val="27"/>
          <w:highlight w:val="none"/>
        </w:rPr>
        <w:t>纪律和监督</w:t>
      </w:r>
    </w:p>
    <w:p w14:paraId="60C04E28">
      <w:pPr>
        <w:spacing w:before="65"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9.1 </w:t>
      </w:r>
      <w:r>
        <w:rPr>
          <w:rFonts w:ascii="黑体" w:hAnsi="黑体" w:eastAsia="黑体" w:cs="黑体"/>
          <w:color w:val="auto"/>
          <w:spacing w:val="-1"/>
          <w:sz w:val="24"/>
          <w:szCs w:val="24"/>
          <w:highlight w:val="none"/>
        </w:rPr>
        <w:t>对招标人的纪律要求</w:t>
      </w:r>
    </w:p>
    <w:p w14:paraId="3F0F8193">
      <w:pPr>
        <w:spacing w:before="100" w:line="268"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招标人不得泄漏招标投标活动中应当保密的情况和资料，不得与投标人串通损害国家</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利益、社会公共利益或者他人合法权益。</w:t>
      </w:r>
    </w:p>
    <w:p w14:paraId="69A8964A">
      <w:pPr>
        <w:spacing w:before="85"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9.2 </w:t>
      </w:r>
      <w:r>
        <w:rPr>
          <w:rFonts w:ascii="黑体" w:hAnsi="黑体" w:eastAsia="黑体" w:cs="黑体"/>
          <w:color w:val="auto"/>
          <w:spacing w:val="-1"/>
          <w:sz w:val="24"/>
          <w:szCs w:val="24"/>
          <w:highlight w:val="none"/>
        </w:rPr>
        <w:t>对投标人的纪律要求</w:t>
      </w:r>
    </w:p>
    <w:p w14:paraId="33EC0BC5">
      <w:pPr>
        <w:spacing w:before="100" w:line="284" w:lineRule="auto"/>
        <w:ind w:left="21" w:right="174"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投标人不得相互串通投标或者与招标人串通投标，不得向招标人或者评标委员会成员</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行贿谋取中标，不得以他人名义投标或者以其他方式弄虚作假骗取中</w:t>
      </w:r>
      <w:r>
        <w:rPr>
          <w:rFonts w:ascii="宋体" w:hAnsi="宋体" w:eastAsia="宋体" w:cs="宋体"/>
          <w:color w:val="auto"/>
          <w:spacing w:val="2"/>
          <w:sz w:val="21"/>
          <w:szCs w:val="21"/>
          <w:highlight w:val="none"/>
        </w:rPr>
        <w:t>标；投标人不得以任</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何方式干扰、影响评标工作。</w:t>
      </w:r>
    </w:p>
    <w:p w14:paraId="414422D7">
      <w:pPr>
        <w:spacing w:before="86"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9.3 </w:t>
      </w:r>
      <w:r>
        <w:rPr>
          <w:rFonts w:ascii="黑体" w:hAnsi="黑体" w:eastAsia="黑体" w:cs="黑体"/>
          <w:color w:val="auto"/>
          <w:spacing w:val="-1"/>
          <w:sz w:val="24"/>
          <w:szCs w:val="24"/>
          <w:highlight w:val="none"/>
        </w:rPr>
        <w:t>对评标委员会成员的纪律要求</w:t>
      </w:r>
    </w:p>
    <w:p w14:paraId="0538996B">
      <w:pPr>
        <w:spacing w:before="104" w:line="300" w:lineRule="auto"/>
        <w:ind w:left="19" w:right="174"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评标委员会应当根据招标文件规定的评标标准和方法， 对投标文件进行系统地评审和</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比较， 第三章“评标办法”没有规定的评审因素和标准不能作为评标依据。评标委员会成</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员不得对其他评标委员会成员的独立评审施加不当影响，不得与任何投标人</w:t>
      </w:r>
      <w:r>
        <w:rPr>
          <w:rFonts w:ascii="宋体" w:hAnsi="宋体" w:eastAsia="宋体" w:cs="宋体"/>
          <w:color w:val="auto"/>
          <w:spacing w:val="2"/>
          <w:sz w:val="21"/>
          <w:szCs w:val="21"/>
          <w:highlight w:val="none"/>
        </w:rPr>
        <w:t>或者与招标结</w:t>
      </w:r>
      <w:r>
        <w:rPr>
          <w:rFonts w:ascii="宋体" w:hAnsi="宋体" w:eastAsia="宋体" w:cs="宋体"/>
          <w:color w:val="auto"/>
          <w:sz w:val="21"/>
          <w:szCs w:val="21"/>
          <w:highlight w:val="none"/>
        </w:rPr>
        <w:t xml:space="preserve"> 果有利害关系的人进行私下接触， 不得收受投标人、中介人、其他利害关系人的财物或者</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其他好处，不得向他人透漏对投标文件的评审和比较、中标候选人的推荐情</w:t>
      </w:r>
      <w:r>
        <w:rPr>
          <w:rFonts w:ascii="宋体" w:hAnsi="宋体" w:eastAsia="宋体" w:cs="宋体"/>
          <w:color w:val="auto"/>
          <w:spacing w:val="2"/>
          <w:sz w:val="21"/>
          <w:szCs w:val="21"/>
          <w:highlight w:val="none"/>
        </w:rPr>
        <w:t>况以及评标有</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关的其他情况。在评标活动中，评标委员会成员不得应当回避</w:t>
      </w:r>
      <w:r>
        <w:rPr>
          <w:rFonts w:ascii="宋体" w:hAnsi="宋体" w:eastAsia="宋体" w:cs="宋体"/>
          <w:color w:val="auto"/>
          <w:spacing w:val="2"/>
          <w:sz w:val="21"/>
          <w:szCs w:val="21"/>
          <w:highlight w:val="none"/>
        </w:rPr>
        <w:t>而不回避，不得擅离职守，</w:t>
      </w:r>
    </w:p>
    <w:p w14:paraId="4475314F">
      <w:pPr>
        <w:spacing w:before="112" w:line="297"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影响评标程序正常进行，不得向招标人征询其确定中标人的意向， 不得接受任何单位</w:t>
      </w:r>
      <w:r>
        <w:rPr>
          <w:rFonts w:ascii="宋体" w:hAnsi="宋体" w:eastAsia="宋体" w:cs="宋体"/>
          <w:color w:val="auto"/>
          <w:spacing w:val="-1"/>
          <w:sz w:val="21"/>
          <w:szCs w:val="21"/>
          <w:highlight w:val="none"/>
        </w:rPr>
        <w:t xml:space="preserve">或者  </w:t>
      </w:r>
      <w:r>
        <w:rPr>
          <w:rFonts w:ascii="宋体" w:hAnsi="宋体" w:eastAsia="宋体" w:cs="宋体"/>
          <w:color w:val="auto"/>
          <w:sz w:val="21"/>
          <w:szCs w:val="21"/>
          <w:highlight w:val="none"/>
        </w:rPr>
        <w:t>个人明示或者暗示提出的倾向或者排斥特定投标人的要求， 不得对依法应当否决的投</w:t>
      </w:r>
      <w:r>
        <w:rPr>
          <w:rFonts w:ascii="宋体" w:hAnsi="宋体" w:eastAsia="宋体" w:cs="宋体"/>
          <w:color w:val="auto"/>
          <w:spacing w:val="-1"/>
          <w:sz w:val="21"/>
          <w:szCs w:val="21"/>
          <w:highlight w:val="none"/>
        </w:rPr>
        <w:t xml:space="preserve">标不  </w:t>
      </w:r>
      <w:r>
        <w:rPr>
          <w:rFonts w:ascii="宋体" w:hAnsi="宋体" w:eastAsia="宋体" w:cs="宋体"/>
          <w:color w:val="auto"/>
          <w:spacing w:val="2"/>
          <w:sz w:val="21"/>
          <w:szCs w:val="21"/>
          <w:highlight w:val="none"/>
        </w:rPr>
        <w:t>提出否决意见，不得暗示或者诱导投标人作出澄清、说明或者接受投标人主动提出的澄清、</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说明， 不得敷衍塞责随意评标，不得在合法的评标劳务费之外额外索取、接受报酬或</w:t>
      </w:r>
      <w:r>
        <w:rPr>
          <w:rFonts w:ascii="宋体" w:hAnsi="宋体" w:eastAsia="宋体" w:cs="宋体"/>
          <w:color w:val="auto"/>
          <w:spacing w:val="-1"/>
          <w:sz w:val="21"/>
          <w:szCs w:val="21"/>
          <w:highlight w:val="none"/>
        </w:rPr>
        <w:t xml:space="preserve">者其  </w:t>
      </w:r>
      <w:r>
        <w:rPr>
          <w:rFonts w:ascii="宋体" w:hAnsi="宋体" w:eastAsia="宋体" w:cs="宋体"/>
          <w:color w:val="auto"/>
          <w:spacing w:val="-7"/>
          <w:sz w:val="21"/>
          <w:szCs w:val="21"/>
          <w:highlight w:val="none"/>
        </w:rPr>
        <w:t>他好处。</w:t>
      </w:r>
    </w:p>
    <w:p w14:paraId="532B7866">
      <w:pPr>
        <w:spacing w:before="85"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9.4 </w:t>
      </w:r>
      <w:r>
        <w:rPr>
          <w:rFonts w:ascii="黑体" w:hAnsi="黑体" w:eastAsia="黑体" w:cs="黑体"/>
          <w:color w:val="auto"/>
          <w:spacing w:val="-1"/>
          <w:sz w:val="24"/>
          <w:szCs w:val="24"/>
          <w:highlight w:val="none"/>
        </w:rPr>
        <w:t>对与评标活动有关的工作人员的纪律要求</w:t>
      </w:r>
    </w:p>
    <w:p w14:paraId="36A3B255">
      <w:pPr>
        <w:spacing w:before="100" w:line="285" w:lineRule="auto"/>
        <w:ind w:left="19" w:right="174"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与评标活动有关的工作人员不得收受他人的财物或者其他好处， 不得向他人透漏对投</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标文件的评审和比较、中标候选人的推荐情况以及评标有关的</w:t>
      </w:r>
      <w:r>
        <w:rPr>
          <w:rFonts w:ascii="宋体" w:hAnsi="宋体" w:eastAsia="宋体" w:cs="宋体"/>
          <w:color w:val="auto"/>
          <w:spacing w:val="2"/>
          <w:sz w:val="21"/>
          <w:szCs w:val="21"/>
          <w:highlight w:val="none"/>
        </w:rPr>
        <w:t>其他情况。在评标活动中，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与评标活动有关的工作人员不得擅离职守，影响评标程序正常进行。</w:t>
      </w:r>
    </w:p>
    <w:p w14:paraId="16C9B285">
      <w:pPr>
        <w:spacing w:before="85" w:line="217"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9.5</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3"/>
          <w:sz w:val="24"/>
          <w:szCs w:val="24"/>
          <w:highlight w:val="none"/>
        </w:rPr>
        <w:t>投诉</w:t>
      </w:r>
    </w:p>
    <w:p w14:paraId="541783C8">
      <w:pPr>
        <w:spacing w:before="102" w:line="284" w:lineRule="auto"/>
        <w:ind w:left="17" w:right="169"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投标人和其他利害关系人认为本次招标活动违反法律、法规和规章规定的， 有权自知</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 xml:space="preserve">道或者应当知道之日起 </w:t>
      </w:r>
      <w:r>
        <w:rPr>
          <w:rFonts w:ascii="Times New Roman" w:hAnsi="Times New Roman" w:eastAsia="Times New Roman" w:cs="Times New Roman"/>
          <w:color w:val="auto"/>
          <w:spacing w:val="-2"/>
          <w:sz w:val="21"/>
          <w:szCs w:val="21"/>
          <w:highlight w:val="none"/>
        </w:rPr>
        <w:t>10</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pacing w:val="-2"/>
          <w:sz w:val="21"/>
          <w:szCs w:val="21"/>
          <w:highlight w:val="none"/>
        </w:rPr>
        <w:t>日内向有关行政监督部门投诉，其中对招标文件的内容（包括最</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高投标限价）、开标、评标结果进行投诉的，应当按本章第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 xml:space="preserve">2.4 </w:t>
      </w:r>
      <w:r>
        <w:rPr>
          <w:rFonts w:ascii="宋体" w:hAnsi="宋体" w:eastAsia="宋体" w:cs="宋体"/>
          <w:color w:val="auto"/>
          <w:spacing w:val="-4"/>
          <w:sz w:val="21"/>
          <w:szCs w:val="21"/>
          <w:highlight w:val="none"/>
        </w:rPr>
        <w:t>款、第</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5.3 </w:t>
      </w:r>
      <w:r>
        <w:rPr>
          <w:rFonts w:ascii="宋体" w:hAnsi="宋体" w:eastAsia="宋体" w:cs="宋体"/>
          <w:color w:val="auto"/>
          <w:spacing w:val="-4"/>
          <w:sz w:val="21"/>
          <w:szCs w:val="21"/>
          <w:highlight w:val="none"/>
        </w:rPr>
        <w:t>款、第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4"/>
          <w:sz w:val="21"/>
          <w:szCs w:val="21"/>
          <w:highlight w:val="none"/>
        </w:rPr>
        <w:t xml:space="preserve">6.4 </w:t>
      </w:r>
      <w:r>
        <w:rPr>
          <w:rFonts w:ascii="宋体" w:hAnsi="宋体" w:eastAsia="宋体" w:cs="宋体"/>
          <w:color w:val="auto"/>
          <w:spacing w:val="-4"/>
          <w:sz w:val="21"/>
          <w:szCs w:val="21"/>
          <w:highlight w:val="none"/>
        </w:rPr>
        <w:t>款的规</w:t>
      </w:r>
    </w:p>
    <w:p w14:paraId="1BC1AC9A">
      <w:pPr>
        <w:spacing w:line="284" w:lineRule="auto"/>
        <w:rPr>
          <w:rFonts w:ascii="宋体" w:hAnsi="宋体" w:eastAsia="宋体" w:cs="宋体"/>
          <w:color w:val="auto"/>
          <w:sz w:val="21"/>
          <w:szCs w:val="21"/>
          <w:highlight w:val="none"/>
        </w:rPr>
        <w:sectPr>
          <w:footerReference r:id="rId20" w:type="default"/>
          <w:pgSz w:w="11905" w:h="16839"/>
          <w:pgMar w:top="1431" w:right="1617" w:bottom="1036" w:left="1785" w:header="0" w:footer="847" w:gutter="0"/>
          <w:pgNumType w:fmt="decimal"/>
          <w:cols w:space="720" w:num="1"/>
        </w:sectPr>
      </w:pPr>
    </w:p>
    <w:p w14:paraId="4A4CD198">
      <w:pPr>
        <w:spacing w:before="114" w:line="269" w:lineRule="auto"/>
        <w:ind w:left="17" w:right="179" w:firstLine="5"/>
        <w:rPr>
          <w:rFonts w:ascii="宋体" w:hAnsi="宋体" w:eastAsia="宋体" w:cs="宋体"/>
          <w:color w:val="auto"/>
          <w:sz w:val="21"/>
          <w:szCs w:val="21"/>
          <w:highlight w:val="none"/>
        </w:rPr>
      </w:pPr>
      <w:r>
        <w:rPr>
          <w:rFonts w:ascii="宋体" w:hAnsi="宋体" w:eastAsia="宋体" w:cs="宋体"/>
          <w:color w:val="auto"/>
          <w:sz w:val="21"/>
          <w:szCs w:val="21"/>
          <w:highlight w:val="none"/>
        </w:rPr>
        <w:t>定先向招标人提出异议后，方可向有关行政监督部门投诉， 异议答复期不计算在规定的投</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诉时效期限内。</w:t>
      </w:r>
    </w:p>
    <w:p w14:paraId="1D58AC18">
      <w:pPr>
        <w:spacing w:before="109" w:line="269" w:lineRule="auto"/>
        <w:ind w:left="35" w:right="188"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投标人和其他利害关系人的投诉应按照《工程建设项目招标投标</w:t>
      </w:r>
      <w:r>
        <w:rPr>
          <w:rFonts w:ascii="宋体" w:hAnsi="宋体" w:eastAsia="宋体" w:cs="宋体"/>
          <w:color w:val="auto"/>
          <w:spacing w:val="2"/>
          <w:sz w:val="21"/>
          <w:szCs w:val="21"/>
          <w:highlight w:val="none"/>
        </w:rPr>
        <w:t>活动投诉处理办法》</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的规定进行。</w:t>
      </w:r>
    </w:p>
    <w:p w14:paraId="6B24BBCE">
      <w:pPr>
        <w:spacing w:before="10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有关行政监督部门的联系方式见投标人须知前附表。</w:t>
      </w:r>
    </w:p>
    <w:p w14:paraId="45ED0DDB">
      <w:pPr>
        <w:spacing w:before="152" w:line="393" w:lineRule="exact"/>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3"/>
          <w:position w:val="8"/>
          <w:sz w:val="27"/>
          <w:szCs w:val="27"/>
          <w:highlight w:val="none"/>
        </w:rPr>
        <w:t>10.</w:t>
      </w:r>
      <w:r>
        <w:rPr>
          <w:rFonts w:ascii="Times New Roman" w:hAnsi="Times New Roman" w:eastAsia="Times New Roman" w:cs="Times New Roman"/>
          <w:color w:val="auto"/>
          <w:spacing w:val="28"/>
          <w:position w:val="8"/>
          <w:sz w:val="27"/>
          <w:szCs w:val="27"/>
          <w:highlight w:val="none"/>
        </w:rPr>
        <w:t xml:space="preserve"> </w:t>
      </w:r>
      <w:r>
        <w:rPr>
          <w:rFonts w:ascii="黑体" w:hAnsi="黑体" w:eastAsia="黑体" w:cs="黑体"/>
          <w:color w:val="auto"/>
          <w:spacing w:val="3"/>
          <w:position w:val="8"/>
          <w:sz w:val="27"/>
          <w:szCs w:val="27"/>
          <w:highlight w:val="none"/>
        </w:rPr>
        <w:t>需要补充的其他内容</w:t>
      </w:r>
    </w:p>
    <w:p w14:paraId="22630500">
      <w:pPr>
        <w:spacing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10.1</w:t>
      </w:r>
      <w:r>
        <w:rPr>
          <w:rFonts w:ascii="Times New Roman" w:hAnsi="Times New Roman" w:eastAsia="Times New Roman" w:cs="Times New Roman"/>
          <w:color w:val="auto"/>
          <w:spacing w:val="19"/>
          <w:sz w:val="24"/>
          <w:szCs w:val="24"/>
          <w:highlight w:val="none"/>
        </w:rPr>
        <w:t xml:space="preserve"> </w:t>
      </w:r>
      <w:r>
        <w:rPr>
          <w:rFonts w:ascii="黑体" w:hAnsi="黑体" w:eastAsia="黑体" w:cs="黑体"/>
          <w:color w:val="auto"/>
          <w:spacing w:val="-5"/>
          <w:sz w:val="24"/>
          <w:szCs w:val="24"/>
          <w:highlight w:val="none"/>
        </w:rPr>
        <w:t>词语定义</w:t>
      </w:r>
    </w:p>
    <w:p w14:paraId="5604228D">
      <w:pPr>
        <w:spacing w:before="100"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词语定义规定：见投标人须知前附表。</w:t>
      </w:r>
    </w:p>
    <w:p w14:paraId="5EADDFB6">
      <w:pPr>
        <w:spacing w:before="85"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10.2</w:t>
      </w:r>
      <w:r>
        <w:rPr>
          <w:rFonts w:ascii="Times New Roman" w:hAnsi="Times New Roman" w:eastAsia="Times New Roman" w:cs="Times New Roman"/>
          <w:color w:val="auto"/>
          <w:spacing w:val="39"/>
          <w:w w:val="101"/>
          <w:sz w:val="24"/>
          <w:szCs w:val="24"/>
          <w:highlight w:val="none"/>
        </w:rPr>
        <w:t xml:space="preserve"> </w:t>
      </w:r>
      <w:r>
        <w:rPr>
          <w:rFonts w:ascii="黑体" w:hAnsi="黑体" w:eastAsia="黑体" w:cs="黑体"/>
          <w:color w:val="auto"/>
          <w:spacing w:val="-5"/>
          <w:sz w:val="24"/>
          <w:szCs w:val="24"/>
          <w:highlight w:val="none"/>
        </w:rPr>
        <w:t>中标人的投标文件</w:t>
      </w:r>
    </w:p>
    <w:p w14:paraId="49CBD864">
      <w:pPr>
        <w:spacing w:before="99" w:line="255" w:lineRule="auto"/>
        <w:ind w:left="38" w:firstLine="422"/>
        <w:rPr>
          <w:rFonts w:ascii="黑体" w:hAnsi="黑体" w:eastAsia="黑体" w:cs="黑体"/>
          <w:color w:val="auto"/>
          <w:sz w:val="24"/>
          <w:szCs w:val="24"/>
          <w:highlight w:val="none"/>
        </w:rPr>
      </w:pPr>
      <w:r>
        <w:rPr>
          <w:rFonts w:ascii="宋体" w:hAnsi="宋体" w:eastAsia="宋体" w:cs="宋体"/>
          <w:color w:val="auto"/>
          <w:spacing w:val="-1"/>
          <w:sz w:val="21"/>
          <w:szCs w:val="21"/>
          <w:highlight w:val="none"/>
        </w:rPr>
        <w:t>中标人在签订合同前须向招标人另行提交的纸质投标文件份数： 见投标人须知前附</w:t>
      </w:r>
      <w:r>
        <w:rPr>
          <w:rFonts w:ascii="宋体" w:hAnsi="宋体" w:eastAsia="宋体" w:cs="宋体"/>
          <w:color w:val="auto"/>
          <w:spacing w:val="-2"/>
          <w:sz w:val="21"/>
          <w:szCs w:val="21"/>
          <w:highlight w:val="none"/>
        </w:rPr>
        <w:t>表。</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10.3</w:t>
      </w:r>
      <w:r>
        <w:rPr>
          <w:rFonts w:ascii="Times New Roman" w:hAnsi="Times New Roman" w:eastAsia="Times New Roman" w:cs="Times New Roman"/>
          <w:color w:val="auto"/>
          <w:spacing w:val="20"/>
          <w:sz w:val="24"/>
          <w:szCs w:val="24"/>
          <w:highlight w:val="none"/>
        </w:rPr>
        <w:t xml:space="preserve"> </w:t>
      </w:r>
      <w:r>
        <w:rPr>
          <w:rFonts w:ascii="黑体" w:hAnsi="黑体" w:eastAsia="黑体" w:cs="黑体"/>
          <w:color w:val="auto"/>
          <w:spacing w:val="-5"/>
          <w:sz w:val="24"/>
          <w:szCs w:val="24"/>
          <w:highlight w:val="none"/>
        </w:rPr>
        <w:t>知识产权</w:t>
      </w:r>
    </w:p>
    <w:p w14:paraId="31ED3C18">
      <w:pPr>
        <w:spacing w:before="101" w:line="284" w:lineRule="auto"/>
        <w:ind w:left="20" w:right="179"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构成本招标文件各个组成部分的文件，未经招标人书面同意，投标人不得擅自复印和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用于非本招标项目所需的其他目的。招标人全部或者部分使用未中标人投</w:t>
      </w:r>
      <w:r>
        <w:rPr>
          <w:rFonts w:ascii="宋体" w:hAnsi="宋体" w:eastAsia="宋体" w:cs="宋体"/>
          <w:color w:val="auto"/>
          <w:spacing w:val="2"/>
          <w:sz w:val="21"/>
          <w:szCs w:val="21"/>
          <w:highlight w:val="none"/>
        </w:rPr>
        <w:t>标文件中的技术</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成果或技术方案时，</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需征得其书面同意，并不得擅自复印或提供</w:t>
      </w:r>
      <w:r>
        <w:rPr>
          <w:rFonts w:ascii="宋体" w:hAnsi="宋体" w:eastAsia="宋体" w:cs="宋体"/>
          <w:color w:val="auto"/>
          <w:spacing w:val="-5"/>
          <w:sz w:val="21"/>
          <w:szCs w:val="21"/>
          <w:highlight w:val="none"/>
        </w:rPr>
        <w:t>给第三人。</w:t>
      </w:r>
    </w:p>
    <w:p w14:paraId="4774C029">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10.4</w:t>
      </w:r>
      <w:r>
        <w:rPr>
          <w:rFonts w:ascii="Times New Roman" w:hAnsi="Times New Roman" w:eastAsia="Times New Roman" w:cs="Times New Roman"/>
          <w:color w:val="auto"/>
          <w:spacing w:val="29"/>
          <w:w w:val="101"/>
          <w:sz w:val="24"/>
          <w:szCs w:val="24"/>
          <w:highlight w:val="none"/>
        </w:rPr>
        <w:t xml:space="preserve"> </w:t>
      </w:r>
      <w:r>
        <w:rPr>
          <w:rFonts w:ascii="黑体" w:hAnsi="黑体" w:eastAsia="黑体" w:cs="黑体"/>
          <w:color w:val="auto"/>
          <w:spacing w:val="-6"/>
          <w:sz w:val="24"/>
          <w:szCs w:val="24"/>
          <w:highlight w:val="none"/>
        </w:rPr>
        <w:t>同义词语</w:t>
      </w:r>
    </w:p>
    <w:p w14:paraId="0DEA7C62">
      <w:pPr>
        <w:spacing w:before="98" w:line="285" w:lineRule="auto"/>
        <w:ind w:left="4" w:right="174" w:firstLine="439"/>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构成招标文件组成部分的“通用合同条款”、“专用合同条款”、“技术标准和要求”和</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“工程量清单”等章节中出现的措辞“发包人”和“承包人”，在招标投标阶段应当分</w:t>
      </w:r>
      <w:r>
        <w:rPr>
          <w:rFonts w:ascii="宋体" w:hAnsi="宋体" w:eastAsia="宋体" w:cs="宋体"/>
          <w:color w:val="auto"/>
          <w:spacing w:val="-3"/>
          <w:sz w:val="21"/>
          <w:szCs w:val="21"/>
          <w:highlight w:val="none"/>
        </w:rPr>
        <w:t>别按</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“招标人”和“投标人”进行理解。</w:t>
      </w:r>
    </w:p>
    <w:p w14:paraId="36142615">
      <w:pPr>
        <w:spacing w:before="84"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10.5</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解释权</w:t>
      </w:r>
    </w:p>
    <w:p w14:paraId="0F4460A6">
      <w:pPr>
        <w:spacing w:before="99" w:line="298" w:lineRule="auto"/>
        <w:ind w:left="19" w:right="5" w:firstLine="424"/>
        <w:jc w:val="both"/>
        <w:rPr>
          <w:rFonts w:ascii="黑体" w:hAnsi="黑体" w:eastAsia="黑体" w:cs="黑体"/>
          <w:color w:val="auto"/>
          <w:sz w:val="24"/>
          <w:szCs w:val="24"/>
          <w:highlight w:val="none"/>
        </w:rPr>
      </w:pPr>
      <w:r>
        <w:rPr>
          <w:rFonts w:ascii="宋体" w:hAnsi="宋体" w:eastAsia="宋体" w:cs="宋体"/>
          <w:color w:val="auto"/>
          <w:sz w:val="21"/>
          <w:szCs w:val="21"/>
          <w:highlight w:val="none"/>
        </w:rPr>
        <w:t>构成本招标文件的各个组成文件应互为解释，互为说明；如有不明确或</w:t>
      </w:r>
      <w:r>
        <w:rPr>
          <w:rFonts w:ascii="宋体" w:hAnsi="宋体" w:eastAsia="宋体" w:cs="宋体"/>
          <w:color w:val="auto"/>
          <w:spacing w:val="-1"/>
          <w:sz w:val="21"/>
          <w:szCs w:val="21"/>
          <w:highlight w:val="none"/>
        </w:rPr>
        <w:t xml:space="preserve">不一致， 构成  </w:t>
      </w:r>
      <w:r>
        <w:rPr>
          <w:rFonts w:ascii="宋体" w:hAnsi="宋体" w:eastAsia="宋体" w:cs="宋体"/>
          <w:color w:val="auto"/>
          <w:sz w:val="21"/>
          <w:szCs w:val="21"/>
          <w:highlight w:val="none"/>
        </w:rPr>
        <w:t>合同文件组成内容的， 以合同文件约定内容为准，且以专用合同条款约定的合同文件</w:t>
      </w:r>
      <w:r>
        <w:rPr>
          <w:rFonts w:ascii="宋体" w:hAnsi="宋体" w:eastAsia="宋体" w:cs="宋体"/>
          <w:color w:val="auto"/>
          <w:spacing w:val="-1"/>
          <w:sz w:val="21"/>
          <w:szCs w:val="21"/>
          <w:highlight w:val="none"/>
        </w:rPr>
        <w:t xml:space="preserve">优先  </w:t>
      </w:r>
      <w:r>
        <w:rPr>
          <w:rFonts w:ascii="宋体" w:hAnsi="宋体" w:eastAsia="宋体" w:cs="宋体"/>
          <w:color w:val="auto"/>
          <w:sz w:val="21"/>
          <w:szCs w:val="21"/>
          <w:highlight w:val="none"/>
        </w:rPr>
        <w:t>顺序解释；除招标文件中有特别规定外， 仅适用于招标投标阶段的规定，按招标公告</w:t>
      </w:r>
      <w:r>
        <w:rPr>
          <w:rFonts w:ascii="宋体" w:hAnsi="宋体" w:eastAsia="宋体" w:cs="宋体"/>
          <w:color w:val="auto"/>
          <w:spacing w:val="-1"/>
          <w:sz w:val="21"/>
          <w:szCs w:val="21"/>
          <w:highlight w:val="none"/>
        </w:rPr>
        <w:t xml:space="preserve">（投  </w:t>
      </w:r>
      <w:r>
        <w:rPr>
          <w:rFonts w:ascii="宋体" w:hAnsi="宋体" w:eastAsia="宋体" w:cs="宋体"/>
          <w:color w:val="auto"/>
          <w:spacing w:val="-3"/>
          <w:sz w:val="21"/>
          <w:szCs w:val="21"/>
          <w:highlight w:val="none"/>
        </w:rPr>
        <w:t xml:space="preserve">标邀请书）、投标人须知、评标办法、投标文件格式的先后顺序解释；同一组成文件中就同  </w:t>
      </w:r>
      <w:r>
        <w:rPr>
          <w:rFonts w:ascii="宋体" w:hAnsi="宋体" w:eastAsia="宋体" w:cs="宋体"/>
          <w:color w:val="auto"/>
          <w:spacing w:val="3"/>
          <w:sz w:val="21"/>
          <w:szCs w:val="21"/>
          <w:highlight w:val="none"/>
        </w:rPr>
        <w:t>一事项的规定或约定不一致的，以编排顺序</w:t>
      </w:r>
      <w:r>
        <w:rPr>
          <w:rFonts w:ascii="宋体" w:hAnsi="宋体" w:eastAsia="宋体" w:cs="宋体"/>
          <w:color w:val="auto"/>
          <w:spacing w:val="2"/>
          <w:sz w:val="21"/>
          <w:szCs w:val="21"/>
          <w:highlight w:val="none"/>
        </w:rPr>
        <w:t xml:space="preserve">在后者为准；同一组成文件不同版本之间有不  </w:t>
      </w:r>
      <w:r>
        <w:rPr>
          <w:rFonts w:ascii="宋体" w:hAnsi="宋体" w:eastAsia="宋体" w:cs="宋体"/>
          <w:color w:val="auto"/>
          <w:spacing w:val="-1"/>
          <w:sz w:val="21"/>
          <w:szCs w:val="21"/>
          <w:highlight w:val="none"/>
        </w:rPr>
        <w:t>一致的，以形成时间在后者为准。按本款前述规定仍不能形成结论的， 由招标人负责解释。</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1"/>
          <w:sz w:val="24"/>
          <w:szCs w:val="24"/>
          <w:highlight w:val="none"/>
        </w:rPr>
        <w:t xml:space="preserve">10.6 </w:t>
      </w:r>
      <w:r>
        <w:rPr>
          <w:rFonts w:ascii="黑体" w:hAnsi="黑体" w:eastAsia="黑体" w:cs="黑体"/>
          <w:color w:val="auto"/>
          <w:spacing w:val="-1"/>
          <w:sz w:val="24"/>
          <w:szCs w:val="24"/>
          <w:highlight w:val="none"/>
        </w:rPr>
        <w:t>招标人补充的其他内容</w:t>
      </w:r>
    </w:p>
    <w:p w14:paraId="4425BDC8">
      <w:pPr>
        <w:spacing w:before="99"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招标人补充的其他内容：见投标人须知前附表。</w:t>
      </w:r>
    </w:p>
    <w:p w14:paraId="21CD6C8B">
      <w:pPr>
        <w:spacing w:line="220" w:lineRule="auto"/>
        <w:rPr>
          <w:rFonts w:ascii="宋体" w:hAnsi="宋体" w:eastAsia="宋体" w:cs="宋体"/>
          <w:color w:val="auto"/>
          <w:sz w:val="21"/>
          <w:szCs w:val="21"/>
          <w:highlight w:val="none"/>
        </w:rPr>
        <w:sectPr>
          <w:footerReference r:id="rId21" w:type="default"/>
          <w:pgSz w:w="11905" w:h="16839"/>
          <w:pgMar w:top="1431" w:right="1612" w:bottom="1036" w:left="1785" w:header="0" w:footer="847" w:gutter="0"/>
          <w:pgNumType w:fmt="decimal"/>
          <w:cols w:space="720" w:num="1"/>
        </w:sectPr>
      </w:pPr>
    </w:p>
    <w:p w14:paraId="26E1194F">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附表一：招标文件澄清申请函</w:t>
      </w:r>
    </w:p>
    <w:p w14:paraId="3D5554A6">
      <w:pPr>
        <w:pStyle w:val="5"/>
        <w:spacing w:line="253" w:lineRule="auto"/>
        <w:rPr>
          <w:color w:val="auto"/>
          <w:highlight w:val="none"/>
        </w:rPr>
      </w:pPr>
    </w:p>
    <w:p w14:paraId="46B5509C">
      <w:pPr>
        <w:pStyle w:val="5"/>
        <w:spacing w:line="253" w:lineRule="auto"/>
        <w:rPr>
          <w:color w:val="auto"/>
          <w:highlight w:val="none"/>
        </w:rPr>
      </w:pPr>
    </w:p>
    <w:p w14:paraId="6E6E5C31">
      <w:pPr>
        <w:pStyle w:val="5"/>
        <w:spacing w:line="253" w:lineRule="auto"/>
        <w:rPr>
          <w:color w:val="auto"/>
          <w:highlight w:val="none"/>
        </w:rPr>
      </w:pPr>
    </w:p>
    <w:p w14:paraId="298143F1">
      <w:pPr>
        <w:pStyle w:val="5"/>
        <w:spacing w:line="253" w:lineRule="auto"/>
        <w:rPr>
          <w:color w:val="auto"/>
          <w:highlight w:val="none"/>
        </w:rPr>
      </w:pPr>
    </w:p>
    <w:p w14:paraId="0053BAE1">
      <w:pPr>
        <w:pStyle w:val="5"/>
        <w:spacing w:line="253" w:lineRule="auto"/>
        <w:rPr>
          <w:color w:val="auto"/>
          <w:highlight w:val="none"/>
        </w:rPr>
      </w:pPr>
    </w:p>
    <w:p w14:paraId="3272F1D4">
      <w:pPr>
        <w:pStyle w:val="5"/>
        <w:spacing w:line="254" w:lineRule="auto"/>
        <w:rPr>
          <w:color w:val="auto"/>
          <w:highlight w:val="none"/>
        </w:rPr>
      </w:pPr>
    </w:p>
    <w:p w14:paraId="0F462C3E">
      <w:pPr>
        <w:spacing w:before="88" w:line="225" w:lineRule="auto"/>
        <w:ind w:left="2915"/>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招标文件澄清申请函</w:t>
      </w:r>
    </w:p>
    <w:p w14:paraId="47E2B09A">
      <w:pPr>
        <w:pStyle w:val="5"/>
        <w:spacing w:line="474" w:lineRule="auto"/>
        <w:rPr>
          <w:color w:val="auto"/>
          <w:highlight w:val="none"/>
        </w:rPr>
      </w:pPr>
    </w:p>
    <w:p w14:paraId="1B7D3A25">
      <w:pPr>
        <w:spacing w:before="68" w:line="221" w:lineRule="auto"/>
        <w:ind w:left="621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1D537465">
      <w:pPr>
        <w:pStyle w:val="5"/>
        <w:spacing w:line="250" w:lineRule="auto"/>
        <w:rPr>
          <w:color w:val="auto"/>
          <w:highlight w:val="none"/>
        </w:rPr>
      </w:pPr>
    </w:p>
    <w:p w14:paraId="1A74640A">
      <w:pPr>
        <w:pStyle w:val="5"/>
        <w:spacing w:line="250" w:lineRule="auto"/>
        <w:rPr>
          <w:color w:val="auto"/>
          <w:highlight w:val="none"/>
        </w:rPr>
      </w:pPr>
    </w:p>
    <w:p w14:paraId="6F1ADBB2">
      <w:pPr>
        <w:pStyle w:val="5"/>
        <w:spacing w:line="251" w:lineRule="auto"/>
        <w:rPr>
          <w:color w:val="auto"/>
          <w:highlight w:val="none"/>
        </w:rPr>
      </w:pPr>
    </w:p>
    <w:p w14:paraId="0614DC8D">
      <w:pPr>
        <w:tabs>
          <w:tab w:val="left" w:pos="2218"/>
        </w:tabs>
        <w:spacing w:before="69"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（招标人名称</w:t>
      </w:r>
      <w:r>
        <w:rPr>
          <w:rFonts w:ascii="宋体" w:hAnsi="宋体" w:eastAsia="宋体" w:cs="宋体"/>
          <w:color w:val="auto"/>
          <w:spacing w:val="-55"/>
          <w:w w:val="98"/>
          <w:sz w:val="21"/>
          <w:szCs w:val="21"/>
          <w:highlight w:val="none"/>
        </w:rPr>
        <w:t>）：</w:t>
      </w:r>
    </w:p>
    <w:p w14:paraId="3BCB1661">
      <w:pPr>
        <w:spacing w:before="305" w:line="494"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经过仔细阅读</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（标段名称）</w:t>
      </w:r>
      <w:r>
        <w:rPr>
          <w:rFonts w:ascii="宋体" w:hAnsi="宋体" w:eastAsia="宋体" w:cs="宋体"/>
          <w:color w:val="auto"/>
          <w:spacing w:val="-21"/>
          <w:sz w:val="21"/>
          <w:szCs w:val="21"/>
          <w:highlight w:val="none"/>
        </w:rPr>
        <w:t xml:space="preserve"> </w:t>
      </w:r>
      <w:r>
        <w:rPr>
          <w:rFonts w:ascii="宋体" w:hAnsi="宋体" w:eastAsia="宋体" w:cs="宋体"/>
          <w:color w:val="auto"/>
          <w:spacing w:val="-5"/>
          <w:sz w:val="21"/>
          <w:szCs w:val="21"/>
          <w:highlight w:val="none"/>
        </w:rPr>
        <w:t>项目（标段</w:t>
      </w:r>
      <w:r>
        <w:rPr>
          <w:rFonts w:ascii="宋体" w:hAnsi="宋体" w:eastAsia="宋体" w:cs="宋体"/>
          <w:color w:val="auto"/>
          <w:spacing w:val="-6"/>
          <w:sz w:val="21"/>
          <w:szCs w:val="21"/>
          <w:highlight w:val="none"/>
        </w:rPr>
        <w:t>唯一标识码</w:t>
      </w:r>
      <w:r>
        <w:rPr>
          <w:rFonts w:ascii="宋体" w:hAnsi="宋体" w:eastAsia="宋体" w:cs="宋体"/>
          <w:color w:val="auto"/>
          <w:spacing w:val="-12"/>
          <w:sz w:val="21"/>
          <w:szCs w:val="21"/>
          <w:highlight w:val="none"/>
        </w:rPr>
        <w:t>：</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6"/>
          <w:sz w:val="21"/>
          <w:szCs w:val="21"/>
          <w:highlight w:val="none"/>
        </w:rPr>
        <w:t>招</w:t>
      </w:r>
    </w:p>
    <w:p w14:paraId="16C120C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标文件后，</w:t>
      </w:r>
      <w:r>
        <w:rPr>
          <w:rFonts w:ascii="宋体" w:hAnsi="宋体" w:eastAsia="宋体" w:cs="宋体"/>
          <w:color w:val="auto"/>
          <w:spacing w:val="54"/>
          <w:sz w:val="21"/>
          <w:szCs w:val="21"/>
          <w:highlight w:val="none"/>
        </w:rPr>
        <w:t xml:space="preserve"> </w:t>
      </w:r>
      <w:r>
        <w:rPr>
          <w:rFonts w:ascii="宋体" w:hAnsi="宋体" w:eastAsia="宋体" w:cs="宋体"/>
          <w:color w:val="auto"/>
          <w:spacing w:val="-10"/>
          <w:sz w:val="21"/>
          <w:szCs w:val="21"/>
          <w:highlight w:val="none"/>
        </w:rPr>
        <w:t>我方申请对以下问题予以澄清：</w:t>
      </w:r>
    </w:p>
    <w:p w14:paraId="14E82FC7">
      <w:pPr>
        <w:pStyle w:val="5"/>
        <w:spacing w:line="241" w:lineRule="auto"/>
        <w:rPr>
          <w:color w:val="auto"/>
          <w:highlight w:val="none"/>
        </w:rPr>
      </w:pPr>
    </w:p>
    <w:p w14:paraId="3BA40F5D">
      <w:pPr>
        <w:spacing w:before="68"/>
        <w:ind w:left="35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p>
    <w:p w14:paraId="5EE00D05">
      <w:pPr>
        <w:spacing w:before="284"/>
        <w:ind w:left="3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2ED278E0">
      <w:pPr>
        <w:spacing w:before="28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600BD4A">
      <w:pPr>
        <w:pStyle w:val="5"/>
        <w:spacing w:line="258" w:lineRule="auto"/>
        <w:rPr>
          <w:color w:val="auto"/>
          <w:highlight w:val="none"/>
        </w:rPr>
      </w:pPr>
    </w:p>
    <w:p w14:paraId="0B37107F">
      <w:pPr>
        <w:pStyle w:val="5"/>
        <w:spacing w:line="258" w:lineRule="auto"/>
        <w:rPr>
          <w:color w:val="auto"/>
          <w:highlight w:val="none"/>
        </w:rPr>
      </w:pPr>
    </w:p>
    <w:p w14:paraId="0DFB1C9C">
      <w:pPr>
        <w:pStyle w:val="5"/>
        <w:spacing w:line="258" w:lineRule="auto"/>
        <w:rPr>
          <w:color w:val="auto"/>
          <w:highlight w:val="none"/>
        </w:rPr>
      </w:pPr>
    </w:p>
    <w:p w14:paraId="69088D4E">
      <w:pPr>
        <w:pStyle w:val="5"/>
        <w:spacing w:line="259" w:lineRule="auto"/>
        <w:rPr>
          <w:color w:val="auto"/>
          <w:highlight w:val="none"/>
        </w:rPr>
      </w:pPr>
    </w:p>
    <w:p w14:paraId="62D62348">
      <w:pPr>
        <w:spacing w:before="69" w:line="220" w:lineRule="auto"/>
        <w:ind w:right="14"/>
        <w:jc w:val="right"/>
        <w:rPr>
          <w:rFonts w:ascii="宋体" w:hAnsi="宋体" w:eastAsia="宋体" w:cs="宋体"/>
          <w:color w:val="auto"/>
          <w:sz w:val="21"/>
          <w:szCs w:val="21"/>
          <w:highlight w:val="none"/>
        </w:rPr>
      </w:pPr>
      <w:r>
        <w:rPr>
          <w:rFonts w:ascii="宋体" w:hAnsi="宋体" w:eastAsia="宋体" w:cs="宋体"/>
          <w:color w:val="auto"/>
          <w:spacing w:val="-23"/>
          <w:sz w:val="21"/>
          <w:szCs w:val="21"/>
          <w:highlight w:val="none"/>
        </w:rPr>
        <w:t>投标人</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2"/>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23"/>
          <w:sz w:val="21"/>
          <w:szCs w:val="21"/>
          <w:highlight w:val="none"/>
        </w:rPr>
        <w:t>盖单位章）</w:t>
      </w:r>
    </w:p>
    <w:p w14:paraId="352419E1">
      <w:pPr>
        <w:pStyle w:val="5"/>
        <w:spacing w:line="465" w:lineRule="auto"/>
        <w:rPr>
          <w:color w:val="auto"/>
          <w:highlight w:val="none"/>
        </w:rPr>
      </w:pPr>
    </w:p>
    <w:p w14:paraId="32A5F8B0">
      <w:pPr>
        <w:tabs>
          <w:tab w:val="left" w:pos="6842"/>
        </w:tabs>
        <w:spacing w:before="69" w:line="221" w:lineRule="auto"/>
        <w:ind w:left="589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6F650A20">
      <w:pPr>
        <w:spacing w:line="221" w:lineRule="auto"/>
        <w:rPr>
          <w:rFonts w:ascii="宋体" w:hAnsi="宋体" w:eastAsia="宋体" w:cs="宋体"/>
          <w:color w:val="auto"/>
          <w:sz w:val="21"/>
          <w:szCs w:val="21"/>
          <w:highlight w:val="none"/>
        </w:rPr>
        <w:sectPr>
          <w:footerReference r:id="rId22" w:type="default"/>
          <w:pgSz w:w="11905" w:h="16839"/>
          <w:pgMar w:top="1431" w:right="1785" w:bottom="1036" w:left="1785" w:header="0" w:footer="847" w:gutter="0"/>
          <w:pgNumType w:fmt="decimal"/>
          <w:cols w:space="720" w:num="1"/>
        </w:sectPr>
      </w:pPr>
    </w:p>
    <w:p w14:paraId="4E9B9251">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11"/>
          <w:sz w:val="24"/>
          <w:szCs w:val="24"/>
          <w:highlight w:val="none"/>
        </w:rPr>
        <w:t>附表二： 招标文件澄清通知</w:t>
      </w:r>
    </w:p>
    <w:p w14:paraId="3BE6C0C3">
      <w:pPr>
        <w:pStyle w:val="5"/>
        <w:spacing w:line="266" w:lineRule="auto"/>
        <w:rPr>
          <w:color w:val="auto"/>
          <w:highlight w:val="none"/>
        </w:rPr>
      </w:pPr>
    </w:p>
    <w:p w14:paraId="5A683FAF">
      <w:pPr>
        <w:pStyle w:val="5"/>
        <w:spacing w:line="266" w:lineRule="auto"/>
        <w:rPr>
          <w:color w:val="auto"/>
          <w:highlight w:val="none"/>
        </w:rPr>
      </w:pPr>
    </w:p>
    <w:p w14:paraId="74F03133">
      <w:pPr>
        <w:pStyle w:val="5"/>
        <w:spacing w:line="266" w:lineRule="auto"/>
        <w:rPr>
          <w:color w:val="auto"/>
          <w:highlight w:val="none"/>
        </w:rPr>
      </w:pPr>
    </w:p>
    <w:p w14:paraId="3049550D">
      <w:pPr>
        <w:pStyle w:val="5"/>
        <w:spacing w:line="266" w:lineRule="auto"/>
        <w:rPr>
          <w:color w:val="auto"/>
          <w:highlight w:val="none"/>
        </w:rPr>
      </w:pPr>
    </w:p>
    <w:p w14:paraId="72BF24A6">
      <w:pPr>
        <w:pStyle w:val="5"/>
        <w:spacing w:line="266" w:lineRule="auto"/>
        <w:rPr>
          <w:color w:val="auto"/>
          <w:highlight w:val="none"/>
        </w:rPr>
      </w:pPr>
    </w:p>
    <w:p w14:paraId="6D0F2A27">
      <w:pPr>
        <w:pStyle w:val="5"/>
        <w:spacing w:line="266" w:lineRule="auto"/>
        <w:rPr>
          <w:color w:val="auto"/>
          <w:highlight w:val="none"/>
        </w:rPr>
      </w:pPr>
    </w:p>
    <w:p w14:paraId="4D38D494">
      <w:pPr>
        <w:spacing w:before="87" w:line="225" w:lineRule="auto"/>
        <w:ind w:left="3054"/>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招标文件澄清通知</w:t>
      </w:r>
    </w:p>
    <w:p w14:paraId="39B1E7F8">
      <w:pPr>
        <w:pStyle w:val="5"/>
        <w:spacing w:line="474" w:lineRule="auto"/>
        <w:rPr>
          <w:color w:val="auto"/>
          <w:highlight w:val="none"/>
        </w:rPr>
      </w:pPr>
    </w:p>
    <w:p w14:paraId="23EE6224">
      <w:pPr>
        <w:spacing w:before="68" w:line="221" w:lineRule="auto"/>
        <w:ind w:left="6007"/>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2819A4A1">
      <w:pPr>
        <w:pStyle w:val="5"/>
        <w:spacing w:line="465" w:lineRule="auto"/>
        <w:rPr>
          <w:color w:val="auto"/>
          <w:highlight w:val="none"/>
        </w:rPr>
      </w:pPr>
    </w:p>
    <w:p w14:paraId="18E12C9C">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各投标人：</w:t>
      </w:r>
    </w:p>
    <w:p w14:paraId="53A4D998">
      <w:pPr>
        <w:pStyle w:val="5"/>
        <w:rPr>
          <w:color w:val="auto"/>
          <w:highlight w:val="none"/>
        </w:rPr>
      </w:pPr>
    </w:p>
    <w:p w14:paraId="147743AA">
      <w:pPr>
        <w:spacing w:before="69" w:line="490" w:lineRule="auto"/>
        <w:ind w:right="1"/>
        <w:jc w:val="right"/>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经研究，对</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8"/>
          <w:sz w:val="21"/>
          <w:szCs w:val="21"/>
          <w:highlight w:val="none"/>
        </w:rPr>
        <w:t xml:space="preserve"> （标段名称）</w:t>
      </w:r>
      <w:r>
        <w:rPr>
          <w:rFonts w:ascii="宋体" w:hAnsi="宋体" w:eastAsia="宋体" w:cs="宋体"/>
          <w:color w:val="auto"/>
          <w:spacing w:val="-25"/>
          <w:sz w:val="21"/>
          <w:szCs w:val="21"/>
          <w:highlight w:val="none"/>
        </w:rPr>
        <w:t xml:space="preserve"> </w:t>
      </w:r>
      <w:r>
        <w:rPr>
          <w:rFonts w:ascii="宋体" w:hAnsi="宋体" w:eastAsia="宋体" w:cs="宋体"/>
          <w:color w:val="auto"/>
          <w:spacing w:val="-8"/>
          <w:sz w:val="21"/>
          <w:szCs w:val="21"/>
          <w:highlight w:val="none"/>
        </w:rPr>
        <w:t>项目（标段唯一标识码</w:t>
      </w:r>
      <w:r>
        <w:rPr>
          <w:rFonts w:ascii="宋体" w:hAnsi="宋体" w:eastAsia="宋体" w:cs="宋体"/>
          <w:color w:val="auto"/>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z w:val="21"/>
          <w:szCs w:val="21"/>
          <w:highlight w:val="none"/>
        </w:rPr>
        <w:t>）</w:t>
      </w:r>
    </w:p>
    <w:p w14:paraId="5ACECA4B">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招标文件，</w:t>
      </w:r>
      <w:r>
        <w:rPr>
          <w:rFonts w:ascii="宋体" w:hAnsi="宋体" w:eastAsia="宋体" w:cs="宋体"/>
          <w:color w:val="auto"/>
          <w:spacing w:val="52"/>
          <w:sz w:val="21"/>
          <w:szCs w:val="21"/>
          <w:highlight w:val="none"/>
        </w:rPr>
        <w:t xml:space="preserve"> </w:t>
      </w:r>
      <w:r>
        <w:rPr>
          <w:rFonts w:ascii="宋体" w:hAnsi="宋体" w:eastAsia="宋体" w:cs="宋体"/>
          <w:color w:val="auto"/>
          <w:spacing w:val="-17"/>
          <w:sz w:val="21"/>
          <w:szCs w:val="21"/>
          <w:highlight w:val="none"/>
        </w:rPr>
        <w:t>作如下澄清：</w:t>
      </w:r>
    </w:p>
    <w:p w14:paraId="1DDF266F">
      <w:pPr>
        <w:pStyle w:val="5"/>
        <w:rPr>
          <w:color w:val="auto"/>
          <w:highlight w:val="none"/>
        </w:rPr>
      </w:pPr>
    </w:p>
    <w:p w14:paraId="33752DC0">
      <w:pPr>
        <w:spacing w:before="69" w:line="562" w:lineRule="exact"/>
        <w:ind w:left="456"/>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14:paraId="023E1156">
      <w:pPr>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7C14DF6E">
      <w:pPr>
        <w:spacing w:before="284"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2DEC5107">
      <w:pPr>
        <w:pStyle w:val="5"/>
        <w:spacing w:line="268" w:lineRule="auto"/>
        <w:rPr>
          <w:color w:val="auto"/>
          <w:highlight w:val="none"/>
        </w:rPr>
      </w:pPr>
    </w:p>
    <w:p w14:paraId="59D8D7E7">
      <w:pPr>
        <w:pStyle w:val="5"/>
        <w:spacing w:line="268" w:lineRule="auto"/>
        <w:rPr>
          <w:color w:val="auto"/>
          <w:highlight w:val="none"/>
        </w:rPr>
      </w:pPr>
    </w:p>
    <w:p w14:paraId="3AFCD841">
      <w:pPr>
        <w:pStyle w:val="5"/>
        <w:spacing w:line="268" w:lineRule="auto"/>
        <w:rPr>
          <w:color w:val="auto"/>
          <w:highlight w:val="none"/>
        </w:rPr>
      </w:pPr>
    </w:p>
    <w:p w14:paraId="7D3BBC70">
      <w:pPr>
        <w:pStyle w:val="5"/>
        <w:spacing w:line="269" w:lineRule="auto"/>
        <w:rPr>
          <w:color w:val="auto"/>
          <w:highlight w:val="none"/>
        </w:rPr>
      </w:pPr>
    </w:p>
    <w:p w14:paraId="1F3E507A">
      <w:pPr>
        <w:pStyle w:val="5"/>
        <w:spacing w:line="269" w:lineRule="auto"/>
        <w:rPr>
          <w:color w:val="auto"/>
          <w:highlight w:val="none"/>
        </w:rPr>
      </w:pPr>
    </w:p>
    <w:p w14:paraId="00FFF670">
      <w:pPr>
        <w:pStyle w:val="5"/>
        <w:spacing w:line="269" w:lineRule="auto"/>
        <w:rPr>
          <w:color w:val="auto"/>
          <w:highlight w:val="none"/>
        </w:rPr>
      </w:pPr>
    </w:p>
    <w:p w14:paraId="7B036FA6">
      <w:pPr>
        <w:pStyle w:val="5"/>
        <w:spacing w:line="269" w:lineRule="auto"/>
        <w:rPr>
          <w:color w:val="auto"/>
          <w:highlight w:val="none"/>
        </w:rPr>
      </w:pPr>
    </w:p>
    <w:p w14:paraId="79B1B079">
      <w:pPr>
        <w:pStyle w:val="5"/>
        <w:spacing w:line="269" w:lineRule="auto"/>
        <w:rPr>
          <w:color w:val="auto"/>
          <w:highlight w:val="none"/>
        </w:rPr>
      </w:pPr>
    </w:p>
    <w:p w14:paraId="6E6BC8A6">
      <w:pPr>
        <w:spacing w:before="69" w:line="220" w:lineRule="auto"/>
        <w:ind w:right="15"/>
        <w:jc w:val="righ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招标人</w:t>
      </w:r>
      <w:r>
        <w:rPr>
          <w:rFonts w:ascii="宋体" w:hAnsi="宋体" w:eastAsia="宋体" w:cs="宋体"/>
          <w:color w:val="auto"/>
          <w:spacing w:val="-1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2"/>
          <w:sz w:val="21"/>
          <w:szCs w:val="21"/>
          <w:highlight w:val="none"/>
        </w:rPr>
        <w:t>盖单位章）</w:t>
      </w:r>
    </w:p>
    <w:p w14:paraId="2586F508">
      <w:pPr>
        <w:pStyle w:val="5"/>
        <w:spacing w:line="249" w:lineRule="auto"/>
        <w:rPr>
          <w:color w:val="auto"/>
          <w:highlight w:val="none"/>
        </w:rPr>
      </w:pPr>
    </w:p>
    <w:p w14:paraId="443D1E62">
      <w:pPr>
        <w:pStyle w:val="5"/>
        <w:spacing w:line="249" w:lineRule="auto"/>
        <w:rPr>
          <w:color w:val="auto"/>
          <w:highlight w:val="none"/>
        </w:rPr>
      </w:pPr>
    </w:p>
    <w:p w14:paraId="2E0BCCE8">
      <w:pPr>
        <w:pStyle w:val="5"/>
        <w:spacing w:line="249" w:lineRule="auto"/>
        <w:rPr>
          <w:color w:val="auto"/>
          <w:highlight w:val="none"/>
        </w:rPr>
      </w:pPr>
    </w:p>
    <w:p w14:paraId="14951412">
      <w:pPr>
        <w:tabs>
          <w:tab w:val="left" w:pos="6842"/>
        </w:tabs>
        <w:spacing w:before="69" w:line="221" w:lineRule="auto"/>
        <w:ind w:left="589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6A2E0916">
      <w:pPr>
        <w:spacing w:line="221" w:lineRule="auto"/>
        <w:rPr>
          <w:rFonts w:ascii="宋体" w:hAnsi="宋体" w:eastAsia="宋体" w:cs="宋体"/>
          <w:color w:val="auto"/>
          <w:sz w:val="21"/>
          <w:szCs w:val="21"/>
          <w:highlight w:val="none"/>
        </w:rPr>
        <w:sectPr>
          <w:footerReference r:id="rId23" w:type="default"/>
          <w:pgSz w:w="11905" w:h="16839"/>
          <w:pgMar w:top="1431" w:right="1785" w:bottom="1036" w:left="1785" w:header="0" w:footer="847" w:gutter="0"/>
          <w:pgNumType w:fmt="decimal"/>
          <w:cols w:space="720" w:num="1"/>
        </w:sectPr>
      </w:pPr>
    </w:p>
    <w:p w14:paraId="563F1AE4">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11"/>
          <w:sz w:val="24"/>
          <w:szCs w:val="24"/>
          <w:highlight w:val="none"/>
        </w:rPr>
        <w:t>附表三： 招标文件修改通知</w:t>
      </w:r>
    </w:p>
    <w:p w14:paraId="693C0BC4">
      <w:pPr>
        <w:pStyle w:val="5"/>
        <w:spacing w:line="266" w:lineRule="auto"/>
        <w:rPr>
          <w:color w:val="auto"/>
          <w:highlight w:val="none"/>
        </w:rPr>
      </w:pPr>
    </w:p>
    <w:p w14:paraId="21AEED6D">
      <w:pPr>
        <w:pStyle w:val="5"/>
        <w:spacing w:line="266" w:lineRule="auto"/>
        <w:rPr>
          <w:color w:val="auto"/>
          <w:highlight w:val="none"/>
        </w:rPr>
      </w:pPr>
    </w:p>
    <w:p w14:paraId="184BBE96">
      <w:pPr>
        <w:pStyle w:val="5"/>
        <w:spacing w:line="266" w:lineRule="auto"/>
        <w:rPr>
          <w:color w:val="auto"/>
          <w:highlight w:val="none"/>
        </w:rPr>
      </w:pPr>
    </w:p>
    <w:p w14:paraId="75E364D5">
      <w:pPr>
        <w:pStyle w:val="5"/>
        <w:spacing w:line="266" w:lineRule="auto"/>
        <w:rPr>
          <w:color w:val="auto"/>
          <w:highlight w:val="none"/>
        </w:rPr>
      </w:pPr>
    </w:p>
    <w:p w14:paraId="273BD93B">
      <w:pPr>
        <w:pStyle w:val="5"/>
        <w:spacing w:line="266" w:lineRule="auto"/>
        <w:rPr>
          <w:color w:val="auto"/>
          <w:highlight w:val="none"/>
        </w:rPr>
      </w:pPr>
    </w:p>
    <w:p w14:paraId="44E6F080">
      <w:pPr>
        <w:pStyle w:val="5"/>
        <w:spacing w:line="266" w:lineRule="auto"/>
        <w:rPr>
          <w:color w:val="auto"/>
          <w:highlight w:val="none"/>
        </w:rPr>
      </w:pPr>
    </w:p>
    <w:p w14:paraId="2F555BF3">
      <w:pPr>
        <w:spacing w:before="87" w:line="225" w:lineRule="auto"/>
        <w:ind w:left="3054"/>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招标文件修改通知</w:t>
      </w:r>
    </w:p>
    <w:p w14:paraId="556DA3DA">
      <w:pPr>
        <w:pStyle w:val="5"/>
        <w:spacing w:line="248" w:lineRule="auto"/>
        <w:rPr>
          <w:color w:val="auto"/>
          <w:highlight w:val="none"/>
        </w:rPr>
      </w:pPr>
    </w:p>
    <w:p w14:paraId="42C9316C">
      <w:pPr>
        <w:pStyle w:val="5"/>
        <w:spacing w:line="248" w:lineRule="auto"/>
        <w:rPr>
          <w:color w:val="auto"/>
          <w:highlight w:val="none"/>
        </w:rPr>
      </w:pPr>
    </w:p>
    <w:p w14:paraId="345116AB">
      <w:pPr>
        <w:pStyle w:val="5"/>
        <w:spacing w:line="249" w:lineRule="auto"/>
        <w:rPr>
          <w:color w:val="auto"/>
          <w:highlight w:val="none"/>
        </w:rPr>
      </w:pPr>
    </w:p>
    <w:p w14:paraId="1CF0FE23">
      <w:pPr>
        <w:spacing w:before="69" w:line="221" w:lineRule="auto"/>
        <w:ind w:left="6007"/>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1E810188">
      <w:pPr>
        <w:pStyle w:val="5"/>
        <w:spacing w:line="465" w:lineRule="auto"/>
        <w:rPr>
          <w:color w:val="auto"/>
          <w:highlight w:val="none"/>
        </w:rPr>
      </w:pPr>
    </w:p>
    <w:p w14:paraId="08044655">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各投标人：</w:t>
      </w:r>
    </w:p>
    <w:p w14:paraId="0B8A6D64">
      <w:pPr>
        <w:spacing w:before="305" w:line="220"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经研究，对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（标段名称）项目（标段唯一标识</w:t>
      </w:r>
    </w:p>
    <w:p w14:paraId="3BDDEFB8">
      <w:pPr>
        <w:pStyle w:val="5"/>
        <w:spacing w:line="241" w:lineRule="auto"/>
        <w:rPr>
          <w:color w:val="auto"/>
          <w:highlight w:val="none"/>
        </w:rPr>
      </w:pPr>
    </w:p>
    <w:p w14:paraId="122F877C">
      <w:pPr>
        <w:spacing w:before="69" w:line="221" w:lineRule="auto"/>
        <w:ind w:left="17"/>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码</w:t>
      </w:r>
      <w:r>
        <w:rPr>
          <w:rFonts w:ascii="宋体" w:hAnsi="宋体" w:eastAsia="宋体" w:cs="宋体"/>
          <w:color w:val="auto"/>
          <w:spacing w:val="-6"/>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1"/>
          <w:sz w:val="21"/>
          <w:szCs w:val="21"/>
          <w:highlight w:val="none"/>
        </w:rPr>
        <w:t>招标文件，作如下修改：</w:t>
      </w:r>
    </w:p>
    <w:p w14:paraId="70A9FE2E">
      <w:pPr>
        <w:pStyle w:val="5"/>
        <w:rPr>
          <w:color w:val="auto"/>
          <w:highlight w:val="none"/>
        </w:rPr>
      </w:pPr>
    </w:p>
    <w:p w14:paraId="0592693D">
      <w:pPr>
        <w:spacing w:before="69" w:line="557" w:lineRule="exact"/>
        <w:ind w:left="456"/>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14:paraId="32115267">
      <w:pPr>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18D2DD37">
      <w:pPr>
        <w:spacing w:before="28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1023C9F0">
      <w:pPr>
        <w:pStyle w:val="5"/>
        <w:spacing w:line="268" w:lineRule="auto"/>
        <w:rPr>
          <w:color w:val="auto"/>
          <w:highlight w:val="none"/>
        </w:rPr>
      </w:pPr>
    </w:p>
    <w:p w14:paraId="66F56D50">
      <w:pPr>
        <w:pStyle w:val="5"/>
        <w:spacing w:line="268" w:lineRule="auto"/>
        <w:rPr>
          <w:color w:val="auto"/>
          <w:highlight w:val="none"/>
        </w:rPr>
      </w:pPr>
    </w:p>
    <w:p w14:paraId="799F82C2">
      <w:pPr>
        <w:pStyle w:val="5"/>
        <w:spacing w:line="268" w:lineRule="auto"/>
        <w:rPr>
          <w:color w:val="auto"/>
          <w:highlight w:val="none"/>
        </w:rPr>
      </w:pPr>
    </w:p>
    <w:p w14:paraId="611F5877">
      <w:pPr>
        <w:pStyle w:val="5"/>
        <w:spacing w:line="268" w:lineRule="auto"/>
        <w:rPr>
          <w:color w:val="auto"/>
          <w:highlight w:val="none"/>
        </w:rPr>
      </w:pPr>
    </w:p>
    <w:p w14:paraId="474AE601">
      <w:pPr>
        <w:pStyle w:val="5"/>
        <w:spacing w:line="268" w:lineRule="auto"/>
        <w:rPr>
          <w:color w:val="auto"/>
          <w:highlight w:val="none"/>
        </w:rPr>
      </w:pPr>
    </w:p>
    <w:p w14:paraId="546803B1">
      <w:pPr>
        <w:pStyle w:val="5"/>
        <w:spacing w:line="268" w:lineRule="auto"/>
        <w:rPr>
          <w:color w:val="auto"/>
          <w:highlight w:val="none"/>
        </w:rPr>
      </w:pPr>
    </w:p>
    <w:p w14:paraId="49B6A4C7">
      <w:pPr>
        <w:pStyle w:val="5"/>
        <w:spacing w:line="268" w:lineRule="auto"/>
        <w:rPr>
          <w:color w:val="auto"/>
          <w:highlight w:val="none"/>
        </w:rPr>
      </w:pPr>
    </w:p>
    <w:p w14:paraId="1C2E8DAC">
      <w:pPr>
        <w:pStyle w:val="5"/>
        <w:spacing w:line="269" w:lineRule="auto"/>
        <w:rPr>
          <w:color w:val="auto"/>
          <w:highlight w:val="none"/>
        </w:rPr>
      </w:pPr>
    </w:p>
    <w:p w14:paraId="3E248820">
      <w:pPr>
        <w:spacing w:before="69" w:line="220" w:lineRule="auto"/>
        <w:ind w:right="15"/>
        <w:jc w:val="righ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招标人</w:t>
      </w:r>
      <w:r>
        <w:rPr>
          <w:rFonts w:ascii="宋体" w:hAnsi="宋体" w:eastAsia="宋体" w:cs="宋体"/>
          <w:color w:val="auto"/>
          <w:spacing w:val="-1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2"/>
          <w:sz w:val="21"/>
          <w:szCs w:val="21"/>
          <w:highlight w:val="none"/>
        </w:rPr>
        <w:t>盖单位章）</w:t>
      </w:r>
    </w:p>
    <w:p w14:paraId="7E00AACB">
      <w:pPr>
        <w:pStyle w:val="5"/>
        <w:spacing w:line="250" w:lineRule="auto"/>
        <w:rPr>
          <w:color w:val="auto"/>
          <w:highlight w:val="none"/>
        </w:rPr>
      </w:pPr>
    </w:p>
    <w:p w14:paraId="54CA8210">
      <w:pPr>
        <w:pStyle w:val="5"/>
        <w:spacing w:line="251" w:lineRule="auto"/>
        <w:rPr>
          <w:color w:val="auto"/>
          <w:highlight w:val="none"/>
        </w:rPr>
      </w:pPr>
    </w:p>
    <w:p w14:paraId="1A1F7847">
      <w:pPr>
        <w:pStyle w:val="5"/>
        <w:spacing w:line="251" w:lineRule="auto"/>
        <w:rPr>
          <w:color w:val="auto"/>
          <w:highlight w:val="none"/>
        </w:rPr>
      </w:pPr>
    </w:p>
    <w:p w14:paraId="7C58C2FF">
      <w:pPr>
        <w:tabs>
          <w:tab w:val="left" w:pos="6737"/>
        </w:tabs>
        <w:spacing w:before="68" w:line="221" w:lineRule="auto"/>
        <w:ind w:left="5791"/>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516A5212">
      <w:pPr>
        <w:spacing w:line="221" w:lineRule="auto"/>
        <w:rPr>
          <w:rFonts w:ascii="宋体" w:hAnsi="宋体" w:eastAsia="宋体" w:cs="宋体"/>
          <w:color w:val="auto"/>
          <w:sz w:val="21"/>
          <w:szCs w:val="21"/>
          <w:highlight w:val="none"/>
        </w:rPr>
        <w:sectPr>
          <w:footerReference r:id="rId24" w:type="default"/>
          <w:pgSz w:w="11905" w:h="16839"/>
          <w:pgMar w:top="1431" w:right="1785" w:bottom="1036" w:left="1785" w:header="0" w:footer="847" w:gutter="0"/>
          <w:pgNumType w:fmt="decimal"/>
          <w:cols w:space="720" w:num="1"/>
        </w:sectPr>
      </w:pPr>
    </w:p>
    <w:p w14:paraId="2C9CF26D">
      <w:pPr>
        <w:spacing w:before="48" w:line="218" w:lineRule="auto"/>
        <w:ind w:left="32"/>
        <w:rPr>
          <w:rFonts w:ascii="黑体" w:hAnsi="黑体" w:eastAsia="黑体" w:cs="黑体"/>
          <w:color w:val="auto"/>
          <w:sz w:val="24"/>
          <w:szCs w:val="24"/>
          <w:highlight w:val="none"/>
        </w:rPr>
      </w:pPr>
      <w:r>
        <w:rPr>
          <w:rFonts w:ascii="黑体" w:hAnsi="黑体" w:eastAsia="黑体" w:cs="黑体"/>
          <w:color w:val="auto"/>
          <w:spacing w:val="-9"/>
          <w:sz w:val="24"/>
          <w:szCs w:val="24"/>
          <w:highlight w:val="none"/>
        </w:rPr>
        <w:t>附表四： 投标文件递交电子签收凭证</w:t>
      </w:r>
    </w:p>
    <w:p w14:paraId="47432984">
      <w:pPr>
        <w:pStyle w:val="5"/>
        <w:spacing w:line="249" w:lineRule="auto"/>
        <w:rPr>
          <w:color w:val="auto"/>
          <w:highlight w:val="none"/>
        </w:rPr>
      </w:pPr>
    </w:p>
    <w:p w14:paraId="12CF7734">
      <w:pPr>
        <w:pStyle w:val="5"/>
        <w:spacing w:line="250" w:lineRule="auto"/>
        <w:rPr>
          <w:color w:val="auto"/>
          <w:highlight w:val="none"/>
        </w:rPr>
      </w:pPr>
    </w:p>
    <w:p w14:paraId="3B1207D8">
      <w:pPr>
        <w:pStyle w:val="5"/>
        <w:spacing w:line="250" w:lineRule="auto"/>
        <w:rPr>
          <w:color w:val="auto"/>
          <w:highlight w:val="none"/>
        </w:rPr>
      </w:pPr>
    </w:p>
    <w:p w14:paraId="4B35A800">
      <w:pPr>
        <w:pStyle w:val="5"/>
        <w:spacing w:line="250" w:lineRule="auto"/>
        <w:rPr>
          <w:color w:val="auto"/>
          <w:highlight w:val="none"/>
        </w:rPr>
      </w:pPr>
    </w:p>
    <w:p w14:paraId="2CAB9D5A">
      <w:pPr>
        <w:pStyle w:val="5"/>
        <w:spacing w:line="250" w:lineRule="auto"/>
        <w:rPr>
          <w:color w:val="auto"/>
          <w:highlight w:val="none"/>
        </w:rPr>
      </w:pPr>
    </w:p>
    <w:p w14:paraId="413ED445">
      <w:pPr>
        <w:spacing w:before="87" w:line="224" w:lineRule="auto"/>
        <w:ind w:left="2496"/>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投标文件递交电子签收凭证</w:t>
      </w:r>
    </w:p>
    <w:p w14:paraId="036B6B2B">
      <w:pPr>
        <w:pStyle w:val="5"/>
        <w:spacing w:line="273" w:lineRule="auto"/>
        <w:rPr>
          <w:color w:val="auto"/>
          <w:highlight w:val="none"/>
        </w:rPr>
      </w:pPr>
    </w:p>
    <w:p w14:paraId="46AA39AA">
      <w:pPr>
        <w:pStyle w:val="5"/>
        <w:spacing w:line="273" w:lineRule="auto"/>
        <w:rPr>
          <w:color w:val="auto"/>
          <w:highlight w:val="none"/>
        </w:rPr>
      </w:pPr>
    </w:p>
    <w:p w14:paraId="6E28B388">
      <w:pPr>
        <w:pStyle w:val="5"/>
        <w:spacing w:line="273" w:lineRule="auto"/>
        <w:rPr>
          <w:color w:val="auto"/>
          <w:highlight w:val="none"/>
        </w:rPr>
      </w:pPr>
    </w:p>
    <w:p w14:paraId="1263957B">
      <w:pPr>
        <w:tabs>
          <w:tab w:val="left" w:pos="1801"/>
        </w:tabs>
        <w:spacing w:before="68"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0"/>
          <w:sz w:val="21"/>
          <w:szCs w:val="21"/>
          <w:highlight w:val="none"/>
        </w:rPr>
        <w:t>（投标人名称</w:t>
      </w:r>
      <w:r>
        <w:rPr>
          <w:rFonts w:ascii="宋体" w:hAnsi="宋体" w:eastAsia="宋体" w:cs="宋体"/>
          <w:color w:val="auto"/>
          <w:spacing w:val="-31"/>
          <w:sz w:val="21"/>
          <w:szCs w:val="21"/>
          <w:highlight w:val="none"/>
        </w:rPr>
        <w:t>）：</w:t>
      </w:r>
    </w:p>
    <w:p w14:paraId="57E925D5">
      <w:pPr>
        <w:spacing w:before="295" w:line="35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您单位参与的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
          <w:sz w:val="21"/>
          <w:szCs w:val="21"/>
          <w:highlight w:val="none"/>
        </w:rPr>
        <w:t>（标段名称）项目（标段唯一标识码</w:t>
      </w:r>
      <w:r>
        <w:rPr>
          <w:rFonts w:ascii="宋体" w:hAnsi="宋体" w:eastAsia="宋体" w:cs="宋体"/>
          <w:color w:val="auto"/>
          <w:spacing w:val="-3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0"/>
          <w:sz w:val="21"/>
          <w:szCs w:val="21"/>
          <w:highlight w:val="none"/>
        </w:rPr>
        <w:t xml:space="preserve"> </w:t>
      </w:r>
      <w:r>
        <w:rPr>
          <w:rFonts w:ascii="宋体" w:hAnsi="宋体" w:eastAsia="宋体" w:cs="宋体"/>
          <w:color w:val="auto"/>
          <w:spacing w:val="-35"/>
          <w:sz w:val="21"/>
          <w:szCs w:val="21"/>
          <w:highlight w:val="none"/>
        </w:rPr>
        <w:t>），</w:t>
      </w:r>
      <w:r>
        <w:rPr>
          <w:rFonts w:ascii="宋体" w:hAnsi="宋体" w:eastAsia="宋体" w:cs="宋体"/>
          <w:color w:val="auto"/>
          <w:spacing w:val="-1"/>
          <w:sz w:val="21"/>
          <w:szCs w:val="21"/>
          <w:highlight w:val="none"/>
        </w:rPr>
        <w:t>投</w:t>
      </w:r>
    </w:p>
    <w:p w14:paraId="29A13BB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标文件于</w:t>
      </w:r>
      <w:r>
        <w:rPr>
          <w:rFonts w:ascii="宋体" w:hAnsi="宋体" w:eastAsia="宋体" w:cs="宋体"/>
          <w:color w:val="auto"/>
          <w:spacing w:val="-90"/>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6"/>
          <w:sz w:val="21"/>
          <w:szCs w:val="21"/>
          <w:highlight w:val="none"/>
        </w:rPr>
        <w:t>月</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6"/>
          <w:sz w:val="21"/>
          <w:szCs w:val="21"/>
          <w:highlight w:val="none"/>
        </w:rPr>
        <w:t>日</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6"/>
          <w:sz w:val="21"/>
          <w:szCs w:val="21"/>
          <w:highlight w:val="none"/>
        </w:rPr>
        <w:t>时</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6"/>
          <w:sz w:val="21"/>
          <w:szCs w:val="21"/>
          <w:highlight w:val="none"/>
        </w:rPr>
        <w:t>分</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6"/>
          <w:sz w:val="21"/>
          <w:szCs w:val="21"/>
          <w:highlight w:val="none"/>
        </w:rPr>
        <w:t>秒上传成功。</w:t>
      </w:r>
    </w:p>
    <w:p w14:paraId="171589E1">
      <w:pPr>
        <w:pStyle w:val="5"/>
        <w:spacing w:line="247" w:lineRule="auto"/>
        <w:rPr>
          <w:color w:val="auto"/>
          <w:highlight w:val="none"/>
        </w:rPr>
      </w:pPr>
    </w:p>
    <w:p w14:paraId="26B93541">
      <w:pPr>
        <w:pStyle w:val="5"/>
        <w:spacing w:line="248" w:lineRule="auto"/>
        <w:rPr>
          <w:color w:val="auto"/>
          <w:highlight w:val="none"/>
        </w:rPr>
      </w:pPr>
    </w:p>
    <w:p w14:paraId="2903CE16">
      <w:pPr>
        <w:spacing w:before="69" w:line="422" w:lineRule="auto"/>
        <w:ind w:left="444"/>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项目经理：</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73B66169">
      <w:pPr>
        <w:spacing w:line="220" w:lineRule="auto"/>
        <w:ind w:left="461"/>
        <w:rPr>
          <w:rFonts w:ascii="宋体" w:hAnsi="宋体" w:eastAsia="宋体" w:cs="宋体"/>
          <w:color w:val="auto"/>
          <w:sz w:val="21"/>
          <w:szCs w:val="21"/>
          <w:highlight w:val="none"/>
        </w:rPr>
      </w:pPr>
      <w:r>
        <w:rPr>
          <w:rFonts w:ascii="宋体" w:hAnsi="宋体" w:eastAsia="宋体" w:cs="宋体"/>
          <w:color w:val="auto"/>
          <w:spacing w:val="-31"/>
          <w:w w:val="98"/>
          <w:sz w:val="21"/>
          <w:szCs w:val="21"/>
          <w:highlight w:val="none"/>
        </w:rPr>
        <w:t>回执码：</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u w:val="single" w:color="auto"/>
        </w:rPr>
        <w:t xml:space="preserve">                                 </w:t>
      </w:r>
    </w:p>
    <w:p w14:paraId="16FF7454">
      <w:pPr>
        <w:spacing w:line="220" w:lineRule="auto"/>
        <w:rPr>
          <w:rFonts w:ascii="宋体" w:hAnsi="宋体" w:eastAsia="宋体" w:cs="宋体"/>
          <w:color w:val="auto"/>
          <w:sz w:val="21"/>
          <w:szCs w:val="21"/>
          <w:highlight w:val="none"/>
        </w:rPr>
        <w:sectPr>
          <w:footerReference r:id="rId25" w:type="default"/>
          <w:pgSz w:w="11905" w:h="16839"/>
          <w:pgMar w:top="1431" w:right="1785" w:bottom="1036" w:left="1785" w:header="0" w:footer="847" w:gutter="0"/>
          <w:pgNumType w:fmt="decimal"/>
          <w:cols w:space="720" w:num="1"/>
        </w:sectPr>
      </w:pPr>
    </w:p>
    <w:p w14:paraId="64AEB5AB">
      <w:pPr>
        <w:pStyle w:val="5"/>
        <w:spacing w:line="246" w:lineRule="auto"/>
        <w:rPr>
          <w:color w:val="auto"/>
          <w:highlight w:val="none"/>
        </w:rPr>
      </w:pPr>
    </w:p>
    <w:p w14:paraId="6C3B13B3">
      <w:pPr>
        <w:pStyle w:val="5"/>
        <w:spacing w:line="247" w:lineRule="auto"/>
        <w:rPr>
          <w:color w:val="auto"/>
          <w:highlight w:val="none"/>
        </w:rPr>
      </w:pPr>
    </w:p>
    <w:p w14:paraId="1DE409E1">
      <w:pPr>
        <w:pStyle w:val="5"/>
        <w:spacing w:line="247" w:lineRule="auto"/>
        <w:rPr>
          <w:color w:val="auto"/>
          <w:highlight w:val="none"/>
        </w:rPr>
      </w:pPr>
    </w:p>
    <w:p w14:paraId="7CC24A44">
      <w:pPr>
        <w:spacing w:before="78" w:line="219"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附表五：开标记录表</w:t>
      </w:r>
    </w:p>
    <w:p w14:paraId="1A90642E">
      <w:pPr>
        <w:pStyle w:val="5"/>
        <w:spacing w:line="469" w:lineRule="auto"/>
        <w:rPr>
          <w:color w:val="auto"/>
          <w:highlight w:val="none"/>
        </w:rPr>
      </w:pPr>
    </w:p>
    <w:p w14:paraId="02C8961C">
      <w:pPr>
        <w:tabs>
          <w:tab w:val="left" w:pos="7840"/>
        </w:tabs>
        <w:spacing w:before="88" w:line="225" w:lineRule="auto"/>
        <w:ind w:left="4623"/>
        <w:rPr>
          <w:rFonts w:ascii="黑体" w:hAnsi="黑体" w:eastAsia="黑体" w:cs="黑体"/>
          <w:color w:val="auto"/>
          <w:sz w:val="27"/>
          <w:szCs w:val="27"/>
          <w:highlight w:val="none"/>
        </w:rPr>
      </w:pPr>
      <w:r>
        <w:rPr>
          <w:rFonts w:ascii="黑体" w:hAnsi="黑体" w:eastAsia="黑体" w:cs="黑体"/>
          <w:color w:val="auto"/>
          <w:sz w:val="27"/>
          <w:szCs w:val="27"/>
          <w:highlight w:val="none"/>
          <w:u w:val="single" w:color="auto"/>
        </w:rPr>
        <w:tab/>
      </w:r>
      <w:r>
        <w:rPr>
          <w:rFonts w:ascii="黑体" w:hAnsi="黑体" w:eastAsia="黑体" w:cs="黑体"/>
          <w:color w:val="auto"/>
          <w:spacing w:val="-46"/>
          <w:sz w:val="27"/>
          <w:szCs w:val="27"/>
          <w:highlight w:val="none"/>
        </w:rPr>
        <w:t xml:space="preserve"> </w:t>
      </w:r>
      <w:r>
        <w:rPr>
          <w:rFonts w:ascii="黑体" w:hAnsi="黑体" w:eastAsia="黑体" w:cs="黑体"/>
          <w:color w:val="auto"/>
          <w:spacing w:val="2"/>
          <w:sz w:val="27"/>
          <w:szCs w:val="27"/>
          <w:highlight w:val="none"/>
        </w:rPr>
        <w:t>（标段名称）项目开标记录表</w:t>
      </w:r>
    </w:p>
    <w:p w14:paraId="0C6FE100">
      <w:pPr>
        <w:pStyle w:val="5"/>
        <w:spacing w:line="297" w:lineRule="auto"/>
        <w:rPr>
          <w:color w:val="auto"/>
          <w:highlight w:val="none"/>
        </w:rPr>
      </w:pPr>
    </w:p>
    <w:p w14:paraId="0BC86EE5">
      <w:pPr>
        <w:spacing w:before="68" w:line="221" w:lineRule="auto"/>
        <w:ind w:left="114"/>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开标时间：</w:t>
      </w:r>
      <w:r>
        <w:rPr>
          <w:rFonts w:ascii="宋体" w:hAnsi="宋体" w:eastAsia="宋体" w:cs="宋体"/>
          <w:color w:val="auto"/>
          <w:spacing w:val="56"/>
          <w:sz w:val="21"/>
          <w:szCs w:val="21"/>
          <w:highlight w:val="none"/>
        </w:rPr>
        <w:t xml:space="preserve"> </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4"/>
          <w:sz w:val="21"/>
          <w:szCs w:val="21"/>
          <w:highlight w:val="none"/>
        </w:rPr>
        <w:t>日</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24"/>
          <w:sz w:val="21"/>
          <w:szCs w:val="21"/>
          <w:highlight w:val="none"/>
        </w:rPr>
        <w:t>时</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4"/>
          <w:sz w:val="21"/>
          <w:szCs w:val="21"/>
          <w:highlight w:val="none"/>
        </w:rPr>
        <w:t>分</w:t>
      </w:r>
      <w:r>
        <w:rPr>
          <w:rFonts w:ascii="宋体" w:hAnsi="宋体" w:eastAsia="宋体" w:cs="宋体"/>
          <w:color w:val="auto"/>
          <w:sz w:val="21"/>
          <w:szCs w:val="21"/>
          <w:highlight w:val="none"/>
        </w:rPr>
        <w:t xml:space="preserve">     </w:t>
      </w:r>
      <w:r>
        <w:rPr>
          <w:rFonts w:ascii="宋体" w:hAnsi="宋体" w:eastAsia="宋体" w:cs="宋体"/>
          <w:color w:val="auto"/>
          <w:spacing w:val="-24"/>
          <w:sz w:val="21"/>
          <w:szCs w:val="21"/>
          <w:highlight w:val="none"/>
        </w:rPr>
        <w:t>开标地点：</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开标方式：</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u w:val="single" w:color="auto"/>
        </w:rPr>
        <w:t xml:space="preserve">                </w:t>
      </w:r>
    </w:p>
    <w:p w14:paraId="61762206">
      <w:pPr>
        <w:spacing w:line="126" w:lineRule="auto"/>
        <w:rPr>
          <w:rFonts w:ascii="Arial"/>
          <w:color w:val="auto"/>
          <w:sz w:val="2"/>
          <w:highlight w:val="none"/>
        </w:rPr>
      </w:pPr>
    </w:p>
    <w:tbl>
      <w:tblPr>
        <w:tblStyle w:val="17"/>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73C3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03AF3BAD">
            <w:pPr>
              <w:pStyle w:val="18"/>
              <w:spacing w:before="307" w:line="222" w:lineRule="auto"/>
              <w:ind w:left="131"/>
              <w:rPr>
                <w:color w:val="auto"/>
                <w:highlight w:val="none"/>
              </w:rPr>
            </w:pPr>
            <w:r>
              <w:rPr>
                <w:color w:val="auto"/>
                <w:spacing w:val="-2"/>
                <w:highlight w:val="none"/>
              </w:rPr>
              <w:t>序号</w:t>
            </w:r>
          </w:p>
        </w:tc>
        <w:tc>
          <w:tcPr>
            <w:tcW w:w="2482" w:type="dxa"/>
            <w:vMerge w:val="restart"/>
            <w:tcBorders>
              <w:bottom w:val="nil"/>
            </w:tcBorders>
            <w:vAlign w:val="top"/>
          </w:tcPr>
          <w:p w14:paraId="3E18C7E0">
            <w:pPr>
              <w:pStyle w:val="18"/>
              <w:spacing w:before="308" w:line="221" w:lineRule="auto"/>
              <w:ind w:left="722"/>
              <w:rPr>
                <w:color w:val="auto"/>
                <w:highlight w:val="none"/>
              </w:rPr>
            </w:pPr>
            <w:r>
              <w:rPr>
                <w:color w:val="auto"/>
                <w:spacing w:val="-1"/>
                <w:highlight w:val="none"/>
              </w:rPr>
              <w:t>投标人名称</w:t>
            </w:r>
          </w:p>
        </w:tc>
        <w:tc>
          <w:tcPr>
            <w:tcW w:w="988" w:type="dxa"/>
            <w:vMerge w:val="restart"/>
            <w:tcBorders>
              <w:bottom w:val="nil"/>
            </w:tcBorders>
            <w:vAlign w:val="top"/>
          </w:tcPr>
          <w:p w14:paraId="66FAA88C">
            <w:pPr>
              <w:pStyle w:val="18"/>
              <w:spacing w:before="173" w:line="231" w:lineRule="auto"/>
              <w:ind w:left="193" w:right="64" w:hanging="109"/>
              <w:rPr>
                <w:color w:val="auto"/>
                <w:highlight w:val="none"/>
              </w:rPr>
            </w:pPr>
            <w:r>
              <w:rPr>
                <w:color w:val="auto"/>
                <w:spacing w:val="-2"/>
                <w:highlight w:val="none"/>
              </w:rPr>
              <w:t>投标报价</w:t>
            </w:r>
            <w:r>
              <w:rPr>
                <w:color w:val="auto"/>
                <w:spacing w:val="1"/>
                <w:highlight w:val="none"/>
              </w:rPr>
              <w:t xml:space="preserve"> </w:t>
            </w:r>
            <w:r>
              <w:rPr>
                <w:color w:val="auto"/>
                <w:spacing w:val="-6"/>
                <w:highlight w:val="none"/>
              </w:rPr>
              <w:t>（元）</w:t>
            </w:r>
          </w:p>
        </w:tc>
        <w:tc>
          <w:tcPr>
            <w:tcW w:w="1138" w:type="dxa"/>
            <w:vMerge w:val="restart"/>
            <w:tcBorders>
              <w:bottom w:val="nil"/>
            </w:tcBorders>
            <w:vAlign w:val="top"/>
          </w:tcPr>
          <w:p w14:paraId="21776CAF">
            <w:pPr>
              <w:pStyle w:val="18"/>
              <w:spacing w:before="173" w:line="221" w:lineRule="auto"/>
              <w:ind w:left="368"/>
              <w:rPr>
                <w:color w:val="auto"/>
                <w:highlight w:val="none"/>
              </w:rPr>
            </w:pPr>
            <w:r>
              <w:rPr>
                <w:color w:val="auto"/>
                <w:spacing w:val="-3"/>
                <w:highlight w:val="none"/>
              </w:rPr>
              <w:t>工期</w:t>
            </w:r>
          </w:p>
          <w:p w14:paraId="2479C0FD">
            <w:pPr>
              <w:pStyle w:val="18"/>
              <w:spacing w:before="22" w:line="221" w:lineRule="auto"/>
              <w:ind w:left="55"/>
              <w:rPr>
                <w:color w:val="auto"/>
                <w:highlight w:val="none"/>
              </w:rPr>
            </w:pPr>
            <w:r>
              <w:rPr>
                <w:color w:val="auto"/>
                <w:spacing w:val="-4"/>
                <w:highlight w:val="none"/>
              </w:rPr>
              <w:t>（日历天）</w:t>
            </w:r>
          </w:p>
        </w:tc>
        <w:tc>
          <w:tcPr>
            <w:tcW w:w="1132" w:type="dxa"/>
            <w:vMerge w:val="restart"/>
            <w:tcBorders>
              <w:bottom w:val="nil"/>
            </w:tcBorders>
            <w:vAlign w:val="top"/>
          </w:tcPr>
          <w:p w14:paraId="4C3A665A">
            <w:pPr>
              <w:pStyle w:val="18"/>
              <w:spacing w:before="308" w:line="221" w:lineRule="auto"/>
              <w:ind w:left="150"/>
              <w:rPr>
                <w:color w:val="auto"/>
                <w:highlight w:val="none"/>
              </w:rPr>
            </w:pPr>
            <w:r>
              <w:rPr>
                <w:color w:val="auto"/>
                <w:spacing w:val="-1"/>
                <w:highlight w:val="none"/>
              </w:rPr>
              <w:t>质量目标</w:t>
            </w:r>
          </w:p>
        </w:tc>
        <w:tc>
          <w:tcPr>
            <w:tcW w:w="1133" w:type="dxa"/>
            <w:vMerge w:val="restart"/>
            <w:tcBorders>
              <w:bottom w:val="nil"/>
            </w:tcBorders>
            <w:vAlign w:val="top"/>
          </w:tcPr>
          <w:p w14:paraId="7DE3152C">
            <w:pPr>
              <w:pStyle w:val="18"/>
              <w:spacing w:before="173" w:line="231" w:lineRule="auto"/>
              <w:ind w:left="153" w:right="140"/>
              <w:rPr>
                <w:color w:val="auto"/>
                <w:highlight w:val="none"/>
              </w:rPr>
            </w:pPr>
            <w:r>
              <w:rPr>
                <w:color w:val="auto"/>
                <w:spacing w:val="-2"/>
                <w:highlight w:val="none"/>
              </w:rPr>
              <w:t>投标有效</w:t>
            </w:r>
            <w:r>
              <w:rPr>
                <w:color w:val="auto"/>
                <w:spacing w:val="1"/>
                <w:highlight w:val="none"/>
              </w:rPr>
              <w:t xml:space="preserve"> </w:t>
            </w:r>
            <w:r>
              <w:rPr>
                <w:color w:val="auto"/>
                <w:spacing w:val="-4"/>
                <w:highlight w:val="none"/>
              </w:rPr>
              <w:t>期（天）</w:t>
            </w:r>
          </w:p>
        </w:tc>
        <w:tc>
          <w:tcPr>
            <w:tcW w:w="1133" w:type="dxa"/>
            <w:vMerge w:val="restart"/>
            <w:tcBorders>
              <w:bottom w:val="nil"/>
            </w:tcBorders>
            <w:vAlign w:val="top"/>
          </w:tcPr>
          <w:p w14:paraId="1BAB9531">
            <w:pPr>
              <w:pStyle w:val="18"/>
              <w:spacing w:before="172" w:line="231" w:lineRule="auto"/>
              <w:ind w:left="365" w:right="135" w:hanging="207"/>
              <w:rPr>
                <w:color w:val="auto"/>
                <w:highlight w:val="none"/>
              </w:rPr>
            </w:pPr>
            <w:r>
              <w:rPr>
                <w:color w:val="auto"/>
                <w:spacing w:val="-2"/>
                <w:highlight w:val="none"/>
              </w:rPr>
              <w:t>项目经理</w:t>
            </w:r>
            <w:r>
              <w:rPr>
                <w:color w:val="auto"/>
                <w:highlight w:val="none"/>
              </w:rPr>
              <w:t xml:space="preserve"> </w:t>
            </w:r>
            <w:r>
              <w:rPr>
                <w:color w:val="auto"/>
                <w:spacing w:val="-2"/>
                <w:highlight w:val="none"/>
              </w:rPr>
              <w:t>姓名</w:t>
            </w:r>
          </w:p>
        </w:tc>
        <w:tc>
          <w:tcPr>
            <w:tcW w:w="2409" w:type="dxa"/>
            <w:gridSpan w:val="2"/>
            <w:vAlign w:val="top"/>
          </w:tcPr>
          <w:p w14:paraId="39879E33">
            <w:pPr>
              <w:pStyle w:val="18"/>
              <w:spacing w:before="29" w:line="210" w:lineRule="auto"/>
              <w:ind w:left="691"/>
              <w:rPr>
                <w:color w:val="auto"/>
                <w:highlight w:val="none"/>
              </w:rPr>
            </w:pPr>
            <w:r>
              <w:rPr>
                <w:color w:val="auto"/>
                <w:spacing w:val="-1"/>
                <w:highlight w:val="none"/>
              </w:rPr>
              <w:t>投标保证金</w:t>
            </w:r>
          </w:p>
        </w:tc>
        <w:tc>
          <w:tcPr>
            <w:tcW w:w="1704" w:type="dxa"/>
            <w:vMerge w:val="restart"/>
            <w:tcBorders>
              <w:bottom w:val="nil"/>
            </w:tcBorders>
            <w:vAlign w:val="top"/>
          </w:tcPr>
          <w:p w14:paraId="5F5E86E6">
            <w:pPr>
              <w:pStyle w:val="18"/>
              <w:spacing w:before="172" w:line="231" w:lineRule="auto"/>
              <w:ind w:left="227" w:right="110" w:hanging="103"/>
              <w:rPr>
                <w:color w:val="auto"/>
                <w:highlight w:val="none"/>
              </w:rPr>
            </w:pPr>
            <w:r>
              <w:rPr>
                <w:color w:val="auto"/>
                <w:spacing w:val="-1"/>
                <w:highlight w:val="none"/>
              </w:rPr>
              <w:t>法定代表人或授</w:t>
            </w:r>
            <w:r>
              <w:rPr>
                <w:color w:val="auto"/>
                <w:highlight w:val="none"/>
              </w:rPr>
              <w:t xml:space="preserve"> </w:t>
            </w:r>
            <w:r>
              <w:rPr>
                <w:color w:val="auto"/>
                <w:spacing w:val="-1"/>
                <w:highlight w:val="none"/>
              </w:rPr>
              <w:t>权委托人确认</w:t>
            </w:r>
          </w:p>
        </w:tc>
        <w:tc>
          <w:tcPr>
            <w:tcW w:w="1282" w:type="dxa"/>
            <w:vMerge w:val="restart"/>
            <w:tcBorders>
              <w:bottom w:val="nil"/>
            </w:tcBorders>
            <w:vAlign w:val="top"/>
          </w:tcPr>
          <w:p w14:paraId="7FDC6FF3">
            <w:pPr>
              <w:pStyle w:val="18"/>
              <w:spacing w:before="307" w:line="223" w:lineRule="auto"/>
              <w:ind w:left="225"/>
              <w:rPr>
                <w:color w:val="auto"/>
                <w:highlight w:val="none"/>
              </w:rPr>
            </w:pPr>
            <w:r>
              <w:rPr>
                <w:color w:val="auto"/>
                <w:spacing w:val="-1"/>
                <w:highlight w:val="none"/>
              </w:rPr>
              <w:t>联系电话</w:t>
            </w:r>
          </w:p>
        </w:tc>
      </w:tr>
      <w:tr w14:paraId="6C348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52125256">
            <w:pPr>
              <w:rPr>
                <w:rFonts w:ascii="Arial"/>
                <w:color w:val="auto"/>
                <w:sz w:val="21"/>
                <w:highlight w:val="none"/>
              </w:rPr>
            </w:pPr>
          </w:p>
        </w:tc>
        <w:tc>
          <w:tcPr>
            <w:tcW w:w="2482" w:type="dxa"/>
            <w:vMerge w:val="continue"/>
            <w:tcBorders>
              <w:top w:val="nil"/>
            </w:tcBorders>
            <w:vAlign w:val="top"/>
          </w:tcPr>
          <w:p w14:paraId="1993E77E">
            <w:pPr>
              <w:rPr>
                <w:rFonts w:ascii="Arial"/>
                <w:color w:val="auto"/>
                <w:sz w:val="21"/>
                <w:highlight w:val="none"/>
              </w:rPr>
            </w:pPr>
          </w:p>
        </w:tc>
        <w:tc>
          <w:tcPr>
            <w:tcW w:w="988" w:type="dxa"/>
            <w:vMerge w:val="continue"/>
            <w:tcBorders>
              <w:top w:val="nil"/>
            </w:tcBorders>
            <w:vAlign w:val="top"/>
          </w:tcPr>
          <w:p w14:paraId="50C198BF">
            <w:pPr>
              <w:rPr>
                <w:rFonts w:ascii="Arial"/>
                <w:color w:val="auto"/>
                <w:sz w:val="21"/>
                <w:highlight w:val="none"/>
              </w:rPr>
            </w:pPr>
          </w:p>
        </w:tc>
        <w:tc>
          <w:tcPr>
            <w:tcW w:w="1138" w:type="dxa"/>
            <w:vMerge w:val="continue"/>
            <w:tcBorders>
              <w:top w:val="nil"/>
            </w:tcBorders>
            <w:vAlign w:val="top"/>
          </w:tcPr>
          <w:p w14:paraId="5C732450">
            <w:pPr>
              <w:rPr>
                <w:rFonts w:ascii="Arial"/>
                <w:color w:val="auto"/>
                <w:sz w:val="21"/>
                <w:highlight w:val="none"/>
              </w:rPr>
            </w:pPr>
          </w:p>
        </w:tc>
        <w:tc>
          <w:tcPr>
            <w:tcW w:w="1132" w:type="dxa"/>
            <w:vMerge w:val="continue"/>
            <w:tcBorders>
              <w:top w:val="nil"/>
            </w:tcBorders>
            <w:vAlign w:val="top"/>
          </w:tcPr>
          <w:p w14:paraId="299FEA37">
            <w:pPr>
              <w:rPr>
                <w:rFonts w:ascii="Arial"/>
                <w:color w:val="auto"/>
                <w:sz w:val="21"/>
                <w:highlight w:val="none"/>
              </w:rPr>
            </w:pPr>
          </w:p>
        </w:tc>
        <w:tc>
          <w:tcPr>
            <w:tcW w:w="1133" w:type="dxa"/>
            <w:vMerge w:val="continue"/>
            <w:tcBorders>
              <w:top w:val="nil"/>
            </w:tcBorders>
            <w:vAlign w:val="top"/>
          </w:tcPr>
          <w:p w14:paraId="3C8FE0F5">
            <w:pPr>
              <w:rPr>
                <w:rFonts w:ascii="Arial"/>
                <w:color w:val="auto"/>
                <w:sz w:val="21"/>
                <w:highlight w:val="none"/>
              </w:rPr>
            </w:pPr>
          </w:p>
        </w:tc>
        <w:tc>
          <w:tcPr>
            <w:tcW w:w="1133" w:type="dxa"/>
            <w:vMerge w:val="continue"/>
            <w:tcBorders>
              <w:top w:val="nil"/>
            </w:tcBorders>
            <w:vAlign w:val="top"/>
          </w:tcPr>
          <w:p w14:paraId="4F6CA2BB">
            <w:pPr>
              <w:rPr>
                <w:rFonts w:ascii="Arial"/>
                <w:color w:val="auto"/>
                <w:sz w:val="21"/>
                <w:highlight w:val="none"/>
              </w:rPr>
            </w:pPr>
          </w:p>
        </w:tc>
        <w:tc>
          <w:tcPr>
            <w:tcW w:w="1137" w:type="dxa"/>
            <w:vAlign w:val="top"/>
          </w:tcPr>
          <w:p w14:paraId="08FB9A60">
            <w:pPr>
              <w:pStyle w:val="18"/>
              <w:spacing w:before="29" w:line="241" w:lineRule="auto"/>
              <w:ind w:left="368"/>
              <w:rPr>
                <w:color w:val="auto"/>
                <w:highlight w:val="none"/>
              </w:rPr>
            </w:pPr>
            <w:r>
              <w:rPr>
                <w:color w:val="auto"/>
                <w:spacing w:val="-2"/>
                <w:highlight w:val="none"/>
              </w:rPr>
              <w:t>金额</w:t>
            </w:r>
          </w:p>
          <w:p w14:paraId="2625D5CF">
            <w:pPr>
              <w:pStyle w:val="18"/>
              <w:spacing w:line="209" w:lineRule="auto"/>
              <w:ind w:left="267"/>
              <w:rPr>
                <w:color w:val="auto"/>
                <w:highlight w:val="none"/>
              </w:rPr>
            </w:pPr>
            <w:r>
              <w:rPr>
                <w:color w:val="auto"/>
                <w:spacing w:val="-6"/>
                <w:highlight w:val="none"/>
              </w:rPr>
              <w:t>（元）</w:t>
            </w:r>
          </w:p>
        </w:tc>
        <w:tc>
          <w:tcPr>
            <w:tcW w:w="1272" w:type="dxa"/>
            <w:vAlign w:val="top"/>
          </w:tcPr>
          <w:p w14:paraId="54300B7A">
            <w:pPr>
              <w:pStyle w:val="18"/>
              <w:spacing w:before="168" w:line="221" w:lineRule="auto"/>
              <w:ind w:left="217"/>
              <w:rPr>
                <w:color w:val="auto"/>
                <w:highlight w:val="none"/>
              </w:rPr>
            </w:pPr>
            <w:r>
              <w:rPr>
                <w:color w:val="auto"/>
                <w:spacing w:val="-1"/>
                <w:highlight w:val="none"/>
              </w:rPr>
              <w:t>缴纳方式</w:t>
            </w:r>
          </w:p>
        </w:tc>
        <w:tc>
          <w:tcPr>
            <w:tcW w:w="1704" w:type="dxa"/>
            <w:vMerge w:val="continue"/>
            <w:tcBorders>
              <w:top w:val="nil"/>
            </w:tcBorders>
            <w:vAlign w:val="top"/>
          </w:tcPr>
          <w:p w14:paraId="059B1DCF">
            <w:pPr>
              <w:rPr>
                <w:rFonts w:ascii="Arial"/>
                <w:color w:val="auto"/>
                <w:sz w:val="21"/>
                <w:highlight w:val="none"/>
              </w:rPr>
            </w:pPr>
          </w:p>
        </w:tc>
        <w:tc>
          <w:tcPr>
            <w:tcW w:w="1282" w:type="dxa"/>
            <w:vMerge w:val="continue"/>
            <w:tcBorders>
              <w:top w:val="nil"/>
            </w:tcBorders>
            <w:vAlign w:val="top"/>
          </w:tcPr>
          <w:p w14:paraId="48EB270D">
            <w:pPr>
              <w:rPr>
                <w:rFonts w:ascii="Arial"/>
                <w:color w:val="auto"/>
                <w:sz w:val="21"/>
                <w:highlight w:val="none"/>
              </w:rPr>
            </w:pPr>
          </w:p>
        </w:tc>
      </w:tr>
      <w:tr w14:paraId="45D68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7478286">
            <w:pPr>
              <w:rPr>
                <w:rFonts w:ascii="Arial"/>
                <w:color w:val="auto"/>
                <w:sz w:val="21"/>
                <w:highlight w:val="none"/>
              </w:rPr>
            </w:pPr>
          </w:p>
        </w:tc>
        <w:tc>
          <w:tcPr>
            <w:tcW w:w="2482" w:type="dxa"/>
            <w:vAlign w:val="top"/>
          </w:tcPr>
          <w:p w14:paraId="37A3EFED">
            <w:pPr>
              <w:rPr>
                <w:rFonts w:ascii="Arial"/>
                <w:color w:val="auto"/>
                <w:sz w:val="21"/>
                <w:highlight w:val="none"/>
              </w:rPr>
            </w:pPr>
          </w:p>
        </w:tc>
        <w:tc>
          <w:tcPr>
            <w:tcW w:w="988" w:type="dxa"/>
            <w:vAlign w:val="top"/>
          </w:tcPr>
          <w:p w14:paraId="40F67269">
            <w:pPr>
              <w:rPr>
                <w:rFonts w:ascii="Arial"/>
                <w:color w:val="auto"/>
                <w:sz w:val="21"/>
                <w:highlight w:val="none"/>
              </w:rPr>
            </w:pPr>
          </w:p>
        </w:tc>
        <w:tc>
          <w:tcPr>
            <w:tcW w:w="1138" w:type="dxa"/>
            <w:vAlign w:val="top"/>
          </w:tcPr>
          <w:p w14:paraId="6B183013">
            <w:pPr>
              <w:rPr>
                <w:rFonts w:ascii="Arial"/>
                <w:color w:val="auto"/>
                <w:sz w:val="21"/>
                <w:highlight w:val="none"/>
              </w:rPr>
            </w:pPr>
          </w:p>
        </w:tc>
        <w:tc>
          <w:tcPr>
            <w:tcW w:w="1132" w:type="dxa"/>
            <w:vAlign w:val="top"/>
          </w:tcPr>
          <w:p w14:paraId="65234917">
            <w:pPr>
              <w:rPr>
                <w:rFonts w:ascii="Arial"/>
                <w:color w:val="auto"/>
                <w:sz w:val="21"/>
                <w:highlight w:val="none"/>
              </w:rPr>
            </w:pPr>
          </w:p>
        </w:tc>
        <w:tc>
          <w:tcPr>
            <w:tcW w:w="1133" w:type="dxa"/>
            <w:vAlign w:val="top"/>
          </w:tcPr>
          <w:p w14:paraId="7BA5BF4D">
            <w:pPr>
              <w:rPr>
                <w:rFonts w:ascii="Arial"/>
                <w:color w:val="auto"/>
                <w:sz w:val="21"/>
                <w:highlight w:val="none"/>
              </w:rPr>
            </w:pPr>
          </w:p>
        </w:tc>
        <w:tc>
          <w:tcPr>
            <w:tcW w:w="1133" w:type="dxa"/>
            <w:vAlign w:val="top"/>
          </w:tcPr>
          <w:p w14:paraId="151326E9">
            <w:pPr>
              <w:rPr>
                <w:rFonts w:ascii="Arial"/>
                <w:color w:val="auto"/>
                <w:sz w:val="21"/>
                <w:highlight w:val="none"/>
              </w:rPr>
            </w:pPr>
          </w:p>
        </w:tc>
        <w:tc>
          <w:tcPr>
            <w:tcW w:w="1137" w:type="dxa"/>
            <w:vAlign w:val="top"/>
          </w:tcPr>
          <w:p w14:paraId="3A8C9DFD">
            <w:pPr>
              <w:rPr>
                <w:rFonts w:ascii="Arial"/>
                <w:color w:val="auto"/>
                <w:sz w:val="21"/>
                <w:highlight w:val="none"/>
              </w:rPr>
            </w:pPr>
          </w:p>
        </w:tc>
        <w:tc>
          <w:tcPr>
            <w:tcW w:w="1272" w:type="dxa"/>
            <w:vAlign w:val="top"/>
          </w:tcPr>
          <w:p w14:paraId="039AE516">
            <w:pPr>
              <w:rPr>
                <w:rFonts w:ascii="Arial"/>
                <w:color w:val="auto"/>
                <w:sz w:val="21"/>
                <w:highlight w:val="none"/>
              </w:rPr>
            </w:pPr>
          </w:p>
        </w:tc>
        <w:tc>
          <w:tcPr>
            <w:tcW w:w="1704" w:type="dxa"/>
            <w:vAlign w:val="top"/>
          </w:tcPr>
          <w:p w14:paraId="78AD583C">
            <w:pPr>
              <w:rPr>
                <w:rFonts w:ascii="Arial"/>
                <w:color w:val="auto"/>
                <w:sz w:val="21"/>
                <w:highlight w:val="none"/>
              </w:rPr>
            </w:pPr>
          </w:p>
        </w:tc>
        <w:tc>
          <w:tcPr>
            <w:tcW w:w="1282" w:type="dxa"/>
            <w:vAlign w:val="top"/>
          </w:tcPr>
          <w:p w14:paraId="64BF7EA5">
            <w:pPr>
              <w:rPr>
                <w:rFonts w:ascii="Arial"/>
                <w:color w:val="auto"/>
                <w:sz w:val="21"/>
                <w:highlight w:val="none"/>
              </w:rPr>
            </w:pPr>
          </w:p>
        </w:tc>
      </w:tr>
      <w:tr w14:paraId="037EC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278EA2D">
            <w:pPr>
              <w:rPr>
                <w:rFonts w:ascii="Arial"/>
                <w:color w:val="auto"/>
                <w:sz w:val="21"/>
                <w:highlight w:val="none"/>
              </w:rPr>
            </w:pPr>
          </w:p>
        </w:tc>
        <w:tc>
          <w:tcPr>
            <w:tcW w:w="2482" w:type="dxa"/>
            <w:vAlign w:val="top"/>
          </w:tcPr>
          <w:p w14:paraId="75EC74B3">
            <w:pPr>
              <w:rPr>
                <w:rFonts w:ascii="Arial"/>
                <w:color w:val="auto"/>
                <w:sz w:val="21"/>
                <w:highlight w:val="none"/>
              </w:rPr>
            </w:pPr>
          </w:p>
        </w:tc>
        <w:tc>
          <w:tcPr>
            <w:tcW w:w="988" w:type="dxa"/>
            <w:vAlign w:val="top"/>
          </w:tcPr>
          <w:p w14:paraId="48777A63">
            <w:pPr>
              <w:rPr>
                <w:rFonts w:ascii="Arial"/>
                <w:color w:val="auto"/>
                <w:sz w:val="21"/>
                <w:highlight w:val="none"/>
              </w:rPr>
            </w:pPr>
          </w:p>
        </w:tc>
        <w:tc>
          <w:tcPr>
            <w:tcW w:w="1138" w:type="dxa"/>
            <w:vAlign w:val="top"/>
          </w:tcPr>
          <w:p w14:paraId="0638A946">
            <w:pPr>
              <w:rPr>
                <w:rFonts w:ascii="Arial"/>
                <w:color w:val="auto"/>
                <w:sz w:val="21"/>
                <w:highlight w:val="none"/>
              </w:rPr>
            </w:pPr>
          </w:p>
        </w:tc>
        <w:tc>
          <w:tcPr>
            <w:tcW w:w="1132" w:type="dxa"/>
            <w:vAlign w:val="top"/>
          </w:tcPr>
          <w:p w14:paraId="661A99C0">
            <w:pPr>
              <w:rPr>
                <w:rFonts w:ascii="Arial"/>
                <w:color w:val="auto"/>
                <w:sz w:val="21"/>
                <w:highlight w:val="none"/>
              </w:rPr>
            </w:pPr>
          </w:p>
        </w:tc>
        <w:tc>
          <w:tcPr>
            <w:tcW w:w="1133" w:type="dxa"/>
            <w:vAlign w:val="top"/>
          </w:tcPr>
          <w:p w14:paraId="06CD9D9F">
            <w:pPr>
              <w:rPr>
                <w:rFonts w:ascii="Arial"/>
                <w:color w:val="auto"/>
                <w:sz w:val="21"/>
                <w:highlight w:val="none"/>
              </w:rPr>
            </w:pPr>
          </w:p>
        </w:tc>
        <w:tc>
          <w:tcPr>
            <w:tcW w:w="1133" w:type="dxa"/>
            <w:vAlign w:val="top"/>
          </w:tcPr>
          <w:p w14:paraId="19B42105">
            <w:pPr>
              <w:rPr>
                <w:rFonts w:ascii="Arial"/>
                <w:color w:val="auto"/>
                <w:sz w:val="21"/>
                <w:highlight w:val="none"/>
              </w:rPr>
            </w:pPr>
          </w:p>
        </w:tc>
        <w:tc>
          <w:tcPr>
            <w:tcW w:w="1137" w:type="dxa"/>
            <w:vAlign w:val="top"/>
          </w:tcPr>
          <w:p w14:paraId="4AD14DC1">
            <w:pPr>
              <w:rPr>
                <w:rFonts w:ascii="Arial"/>
                <w:color w:val="auto"/>
                <w:sz w:val="21"/>
                <w:highlight w:val="none"/>
              </w:rPr>
            </w:pPr>
          </w:p>
        </w:tc>
        <w:tc>
          <w:tcPr>
            <w:tcW w:w="1272" w:type="dxa"/>
            <w:vAlign w:val="top"/>
          </w:tcPr>
          <w:p w14:paraId="3E7D7FC5">
            <w:pPr>
              <w:rPr>
                <w:rFonts w:ascii="Arial"/>
                <w:color w:val="auto"/>
                <w:sz w:val="21"/>
                <w:highlight w:val="none"/>
              </w:rPr>
            </w:pPr>
          </w:p>
        </w:tc>
        <w:tc>
          <w:tcPr>
            <w:tcW w:w="1704" w:type="dxa"/>
            <w:vAlign w:val="top"/>
          </w:tcPr>
          <w:p w14:paraId="43B1CBA8">
            <w:pPr>
              <w:rPr>
                <w:rFonts w:ascii="Arial"/>
                <w:color w:val="auto"/>
                <w:sz w:val="21"/>
                <w:highlight w:val="none"/>
              </w:rPr>
            </w:pPr>
          </w:p>
        </w:tc>
        <w:tc>
          <w:tcPr>
            <w:tcW w:w="1282" w:type="dxa"/>
            <w:vAlign w:val="top"/>
          </w:tcPr>
          <w:p w14:paraId="2086F621">
            <w:pPr>
              <w:rPr>
                <w:rFonts w:ascii="Arial"/>
                <w:color w:val="auto"/>
                <w:sz w:val="21"/>
                <w:highlight w:val="none"/>
              </w:rPr>
            </w:pPr>
          </w:p>
        </w:tc>
      </w:tr>
      <w:tr w14:paraId="681F6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5C474BB6">
            <w:pPr>
              <w:rPr>
                <w:rFonts w:ascii="Arial"/>
                <w:color w:val="auto"/>
                <w:sz w:val="21"/>
                <w:highlight w:val="none"/>
              </w:rPr>
            </w:pPr>
          </w:p>
        </w:tc>
        <w:tc>
          <w:tcPr>
            <w:tcW w:w="2482" w:type="dxa"/>
            <w:vAlign w:val="top"/>
          </w:tcPr>
          <w:p w14:paraId="72AAC84B">
            <w:pPr>
              <w:rPr>
                <w:rFonts w:ascii="Arial"/>
                <w:color w:val="auto"/>
                <w:sz w:val="21"/>
                <w:highlight w:val="none"/>
              </w:rPr>
            </w:pPr>
          </w:p>
        </w:tc>
        <w:tc>
          <w:tcPr>
            <w:tcW w:w="988" w:type="dxa"/>
            <w:vAlign w:val="top"/>
          </w:tcPr>
          <w:p w14:paraId="09F15B28">
            <w:pPr>
              <w:rPr>
                <w:rFonts w:ascii="Arial"/>
                <w:color w:val="auto"/>
                <w:sz w:val="21"/>
                <w:highlight w:val="none"/>
              </w:rPr>
            </w:pPr>
          </w:p>
        </w:tc>
        <w:tc>
          <w:tcPr>
            <w:tcW w:w="1138" w:type="dxa"/>
            <w:vAlign w:val="top"/>
          </w:tcPr>
          <w:p w14:paraId="0D9749DB">
            <w:pPr>
              <w:rPr>
                <w:rFonts w:ascii="Arial"/>
                <w:color w:val="auto"/>
                <w:sz w:val="21"/>
                <w:highlight w:val="none"/>
              </w:rPr>
            </w:pPr>
          </w:p>
        </w:tc>
        <w:tc>
          <w:tcPr>
            <w:tcW w:w="1132" w:type="dxa"/>
            <w:vAlign w:val="top"/>
          </w:tcPr>
          <w:p w14:paraId="3621824A">
            <w:pPr>
              <w:rPr>
                <w:rFonts w:ascii="Arial"/>
                <w:color w:val="auto"/>
                <w:sz w:val="21"/>
                <w:highlight w:val="none"/>
              </w:rPr>
            </w:pPr>
          </w:p>
        </w:tc>
        <w:tc>
          <w:tcPr>
            <w:tcW w:w="1133" w:type="dxa"/>
            <w:vAlign w:val="top"/>
          </w:tcPr>
          <w:p w14:paraId="2DD087DA">
            <w:pPr>
              <w:rPr>
                <w:rFonts w:ascii="Arial"/>
                <w:color w:val="auto"/>
                <w:sz w:val="21"/>
                <w:highlight w:val="none"/>
              </w:rPr>
            </w:pPr>
          </w:p>
        </w:tc>
        <w:tc>
          <w:tcPr>
            <w:tcW w:w="1133" w:type="dxa"/>
            <w:vAlign w:val="top"/>
          </w:tcPr>
          <w:p w14:paraId="195FCE02">
            <w:pPr>
              <w:rPr>
                <w:rFonts w:ascii="Arial"/>
                <w:color w:val="auto"/>
                <w:sz w:val="21"/>
                <w:highlight w:val="none"/>
              </w:rPr>
            </w:pPr>
          </w:p>
        </w:tc>
        <w:tc>
          <w:tcPr>
            <w:tcW w:w="1137" w:type="dxa"/>
            <w:vAlign w:val="top"/>
          </w:tcPr>
          <w:p w14:paraId="074B2791">
            <w:pPr>
              <w:rPr>
                <w:rFonts w:ascii="Arial"/>
                <w:color w:val="auto"/>
                <w:sz w:val="21"/>
                <w:highlight w:val="none"/>
              </w:rPr>
            </w:pPr>
          </w:p>
        </w:tc>
        <w:tc>
          <w:tcPr>
            <w:tcW w:w="1272" w:type="dxa"/>
            <w:vAlign w:val="top"/>
          </w:tcPr>
          <w:p w14:paraId="12A0D611">
            <w:pPr>
              <w:rPr>
                <w:rFonts w:ascii="Arial"/>
                <w:color w:val="auto"/>
                <w:sz w:val="21"/>
                <w:highlight w:val="none"/>
              </w:rPr>
            </w:pPr>
          </w:p>
        </w:tc>
        <w:tc>
          <w:tcPr>
            <w:tcW w:w="1704" w:type="dxa"/>
            <w:vAlign w:val="top"/>
          </w:tcPr>
          <w:p w14:paraId="17210ABE">
            <w:pPr>
              <w:rPr>
                <w:rFonts w:ascii="Arial"/>
                <w:color w:val="auto"/>
                <w:sz w:val="21"/>
                <w:highlight w:val="none"/>
              </w:rPr>
            </w:pPr>
          </w:p>
        </w:tc>
        <w:tc>
          <w:tcPr>
            <w:tcW w:w="1282" w:type="dxa"/>
            <w:vAlign w:val="top"/>
          </w:tcPr>
          <w:p w14:paraId="13AF8B8C">
            <w:pPr>
              <w:rPr>
                <w:rFonts w:ascii="Arial"/>
                <w:color w:val="auto"/>
                <w:sz w:val="21"/>
                <w:highlight w:val="none"/>
              </w:rPr>
            </w:pPr>
          </w:p>
        </w:tc>
      </w:tr>
      <w:tr w14:paraId="24173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703FE215">
            <w:pPr>
              <w:rPr>
                <w:rFonts w:ascii="Arial"/>
                <w:color w:val="auto"/>
                <w:sz w:val="21"/>
                <w:highlight w:val="none"/>
              </w:rPr>
            </w:pPr>
          </w:p>
        </w:tc>
        <w:tc>
          <w:tcPr>
            <w:tcW w:w="2482" w:type="dxa"/>
            <w:vAlign w:val="top"/>
          </w:tcPr>
          <w:p w14:paraId="6D22707F">
            <w:pPr>
              <w:rPr>
                <w:rFonts w:ascii="Arial"/>
                <w:color w:val="auto"/>
                <w:sz w:val="21"/>
                <w:highlight w:val="none"/>
              </w:rPr>
            </w:pPr>
          </w:p>
        </w:tc>
        <w:tc>
          <w:tcPr>
            <w:tcW w:w="988" w:type="dxa"/>
            <w:vAlign w:val="top"/>
          </w:tcPr>
          <w:p w14:paraId="760B65A6">
            <w:pPr>
              <w:rPr>
                <w:rFonts w:ascii="Arial"/>
                <w:color w:val="auto"/>
                <w:sz w:val="21"/>
                <w:highlight w:val="none"/>
              </w:rPr>
            </w:pPr>
          </w:p>
        </w:tc>
        <w:tc>
          <w:tcPr>
            <w:tcW w:w="1138" w:type="dxa"/>
            <w:vAlign w:val="top"/>
          </w:tcPr>
          <w:p w14:paraId="31CB4C93">
            <w:pPr>
              <w:rPr>
                <w:rFonts w:ascii="Arial"/>
                <w:color w:val="auto"/>
                <w:sz w:val="21"/>
                <w:highlight w:val="none"/>
              </w:rPr>
            </w:pPr>
          </w:p>
        </w:tc>
        <w:tc>
          <w:tcPr>
            <w:tcW w:w="1132" w:type="dxa"/>
            <w:vAlign w:val="top"/>
          </w:tcPr>
          <w:p w14:paraId="09759238">
            <w:pPr>
              <w:rPr>
                <w:rFonts w:ascii="Arial"/>
                <w:color w:val="auto"/>
                <w:sz w:val="21"/>
                <w:highlight w:val="none"/>
              </w:rPr>
            </w:pPr>
          </w:p>
        </w:tc>
        <w:tc>
          <w:tcPr>
            <w:tcW w:w="1133" w:type="dxa"/>
            <w:vAlign w:val="top"/>
          </w:tcPr>
          <w:p w14:paraId="111B36FD">
            <w:pPr>
              <w:rPr>
                <w:rFonts w:ascii="Arial"/>
                <w:color w:val="auto"/>
                <w:sz w:val="21"/>
                <w:highlight w:val="none"/>
              </w:rPr>
            </w:pPr>
          </w:p>
        </w:tc>
        <w:tc>
          <w:tcPr>
            <w:tcW w:w="1133" w:type="dxa"/>
            <w:vAlign w:val="top"/>
          </w:tcPr>
          <w:p w14:paraId="7E4F31AB">
            <w:pPr>
              <w:rPr>
                <w:rFonts w:ascii="Arial"/>
                <w:color w:val="auto"/>
                <w:sz w:val="21"/>
                <w:highlight w:val="none"/>
              </w:rPr>
            </w:pPr>
          </w:p>
        </w:tc>
        <w:tc>
          <w:tcPr>
            <w:tcW w:w="1137" w:type="dxa"/>
            <w:vAlign w:val="top"/>
          </w:tcPr>
          <w:p w14:paraId="32896FCE">
            <w:pPr>
              <w:rPr>
                <w:rFonts w:ascii="Arial"/>
                <w:color w:val="auto"/>
                <w:sz w:val="21"/>
                <w:highlight w:val="none"/>
              </w:rPr>
            </w:pPr>
          </w:p>
        </w:tc>
        <w:tc>
          <w:tcPr>
            <w:tcW w:w="1272" w:type="dxa"/>
            <w:vAlign w:val="top"/>
          </w:tcPr>
          <w:p w14:paraId="5A2A9E35">
            <w:pPr>
              <w:rPr>
                <w:rFonts w:ascii="Arial"/>
                <w:color w:val="auto"/>
                <w:sz w:val="21"/>
                <w:highlight w:val="none"/>
              </w:rPr>
            </w:pPr>
          </w:p>
        </w:tc>
        <w:tc>
          <w:tcPr>
            <w:tcW w:w="1704" w:type="dxa"/>
            <w:vAlign w:val="top"/>
          </w:tcPr>
          <w:p w14:paraId="6E7FDB40">
            <w:pPr>
              <w:rPr>
                <w:rFonts w:ascii="Arial"/>
                <w:color w:val="auto"/>
                <w:sz w:val="21"/>
                <w:highlight w:val="none"/>
              </w:rPr>
            </w:pPr>
          </w:p>
        </w:tc>
        <w:tc>
          <w:tcPr>
            <w:tcW w:w="1282" w:type="dxa"/>
            <w:vAlign w:val="top"/>
          </w:tcPr>
          <w:p w14:paraId="7005CF1D">
            <w:pPr>
              <w:rPr>
                <w:rFonts w:ascii="Arial"/>
                <w:color w:val="auto"/>
                <w:sz w:val="21"/>
                <w:highlight w:val="none"/>
              </w:rPr>
            </w:pPr>
          </w:p>
        </w:tc>
      </w:tr>
      <w:tr w14:paraId="05C4B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0DADF91C">
            <w:pPr>
              <w:rPr>
                <w:rFonts w:ascii="Arial"/>
                <w:color w:val="auto"/>
                <w:sz w:val="21"/>
                <w:highlight w:val="none"/>
              </w:rPr>
            </w:pPr>
          </w:p>
        </w:tc>
        <w:tc>
          <w:tcPr>
            <w:tcW w:w="2482" w:type="dxa"/>
            <w:tcBorders>
              <w:bottom w:val="single" w:color="000000" w:sz="4" w:space="0"/>
            </w:tcBorders>
            <w:vAlign w:val="top"/>
          </w:tcPr>
          <w:p w14:paraId="5853EF9B">
            <w:pPr>
              <w:rPr>
                <w:rFonts w:ascii="Arial"/>
                <w:color w:val="auto"/>
                <w:sz w:val="21"/>
                <w:highlight w:val="none"/>
              </w:rPr>
            </w:pPr>
          </w:p>
        </w:tc>
        <w:tc>
          <w:tcPr>
            <w:tcW w:w="988" w:type="dxa"/>
            <w:tcBorders>
              <w:bottom w:val="single" w:color="000000" w:sz="4" w:space="0"/>
            </w:tcBorders>
            <w:vAlign w:val="top"/>
          </w:tcPr>
          <w:p w14:paraId="0CBC9E10">
            <w:pPr>
              <w:rPr>
                <w:rFonts w:ascii="Arial"/>
                <w:color w:val="auto"/>
                <w:sz w:val="21"/>
                <w:highlight w:val="none"/>
              </w:rPr>
            </w:pPr>
          </w:p>
        </w:tc>
        <w:tc>
          <w:tcPr>
            <w:tcW w:w="1138" w:type="dxa"/>
            <w:tcBorders>
              <w:bottom w:val="single" w:color="000000" w:sz="4" w:space="0"/>
            </w:tcBorders>
            <w:vAlign w:val="top"/>
          </w:tcPr>
          <w:p w14:paraId="33E3B45B">
            <w:pPr>
              <w:rPr>
                <w:rFonts w:ascii="Arial"/>
                <w:color w:val="auto"/>
                <w:sz w:val="21"/>
                <w:highlight w:val="none"/>
              </w:rPr>
            </w:pPr>
          </w:p>
        </w:tc>
        <w:tc>
          <w:tcPr>
            <w:tcW w:w="1132" w:type="dxa"/>
            <w:tcBorders>
              <w:bottom w:val="single" w:color="000000" w:sz="4" w:space="0"/>
            </w:tcBorders>
            <w:vAlign w:val="top"/>
          </w:tcPr>
          <w:p w14:paraId="74D00255">
            <w:pPr>
              <w:rPr>
                <w:rFonts w:ascii="Arial"/>
                <w:color w:val="auto"/>
                <w:sz w:val="21"/>
                <w:highlight w:val="none"/>
              </w:rPr>
            </w:pPr>
          </w:p>
        </w:tc>
        <w:tc>
          <w:tcPr>
            <w:tcW w:w="1133" w:type="dxa"/>
            <w:tcBorders>
              <w:bottom w:val="single" w:color="000000" w:sz="4" w:space="0"/>
            </w:tcBorders>
            <w:vAlign w:val="top"/>
          </w:tcPr>
          <w:p w14:paraId="60E86463">
            <w:pPr>
              <w:rPr>
                <w:rFonts w:ascii="Arial"/>
                <w:color w:val="auto"/>
                <w:sz w:val="21"/>
                <w:highlight w:val="none"/>
              </w:rPr>
            </w:pPr>
          </w:p>
        </w:tc>
        <w:tc>
          <w:tcPr>
            <w:tcW w:w="1133" w:type="dxa"/>
            <w:tcBorders>
              <w:bottom w:val="single" w:color="000000" w:sz="4" w:space="0"/>
            </w:tcBorders>
            <w:vAlign w:val="top"/>
          </w:tcPr>
          <w:p w14:paraId="5FE0FBDD">
            <w:pPr>
              <w:rPr>
                <w:rFonts w:ascii="Arial"/>
                <w:color w:val="auto"/>
                <w:sz w:val="21"/>
                <w:highlight w:val="none"/>
              </w:rPr>
            </w:pPr>
          </w:p>
        </w:tc>
        <w:tc>
          <w:tcPr>
            <w:tcW w:w="1137" w:type="dxa"/>
            <w:tcBorders>
              <w:bottom w:val="single" w:color="000000" w:sz="4" w:space="0"/>
            </w:tcBorders>
            <w:vAlign w:val="top"/>
          </w:tcPr>
          <w:p w14:paraId="70B03E36">
            <w:pPr>
              <w:rPr>
                <w:rFonts w:ascii="Arial"/>
                <w:color w:val="auto"/>
                <w:sz w:val="21"/>
                <w:highlight w:val="none"/>
              </w:rPr>
            </w:pPr>
          </w:p>
        </w:tc>
        <w:tc>
          <w:tcPr>
            <w:tcW w:w="1272" w:type="dxa"/>
            <w:tcBorders>
              <w:bottom w:val="single" w:color="000000" w:sz="4" w:space="0"/>
            </w:tcBorders>
            <w:vAlign w:val="top"/>
          </w:tcPr>
          <w:p w14:paraId="24DD2FFC">
            <w:pPr>
              <w:rPr>
                <w:rFonts w:ascii="Arial"/>
                <w:color w:val="auto"/>
                <w:sz w:val="21"/>
                <w:highlight w:val="none"/>
              </w:rPr>
            </w:pPr>
          </w:p>
        </w:tc>
        <w:tc>
          <w:tcPr>
            <w:tcW w:w="1704" w:type="dxa"/>
            <w:tcBorders>
              <w:bottom w:val="single" w:color="000000" w:sz="4" w:space="0"/>
            </w:tcBorders>
            <w:vAlign w:val="top"/>
          </w:tcPr>
          <w:p w14:paraId="6904EDA1">
            <w:pPr>
              <w:rPr>
                <w:rFonts w:ascii="Arial"/>
                <w:color w:val="auto"/>
                <w:sz w:val="21"/>
                <w:highlight w:val="none"/>
              </w:rPr>
            </w:pPr>
          </w:p>
        </w:tc>
        <w:tc>
          <w:tcPr>
            <w:tcW w:w="1282" w:type="dxa"/>
            <w:tcBorders>
              <w:bottom w:val="single" w:color="000000" w:sz="4" w:space="0"/>
            </w:tcBorders>
            <w:vAlign w:val="top"/>
          </w:tcPr>
          <w:p w14:paraId="0291F290">
            <w:pPr>
              <w:rPr>
                <w:rFonts w:ascii="Arial"/>
                <w:color w:val="auto"/>
                <w:sz w:val="21"/>
                <w:highlight w:val="none"/>
              </w:rPr>
            </w:pPr>
          </w:p>
        </w:tc>
      </w:tr>
      <w:tr w14:paraId="192AF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14:paraId="3413088F">
            <w:pPr>
              <w:rPr>
                <w:rFonts w:ascii="Arial"/>
                <w:color w:val="auto"/>
                <w:sz w:val="21"/>
                <w:highlight w:val="none"/>
              </w:rPr>
            </w:pPr>
          </w:p>
        </w:tc>
        <w:tc>
          <w:tcPr>
            <w:tcW w:w="2482" w:type="dxa"/>
            <w:tcBorders>
              <w:top w:val="single" w:color="000000" w:sz="4" w:space="0"/>
            </w:tcBorders>
            <w:vAlign w:val="top"/>
          </w:tcPr>
          <w:p w14:paraId="49A2773C">
            <w:pPr>
              <w:rPr>
                <w:rFonts w:ascii="Arial"/>
                <w:color w:val="auto"/>
                <w:sz w:val="21"/>
                <w:highlight w:val="none"/>
              </w:rPr>
            </w:pPr>
          </w:p>
        </w:tc>
        <w:tc>
          <w:tcPr>
            <w:tcW w:w="988" w:type="dxa"/>
            <w:tcBorders>
              <w:top w:val="single" w:color="000000" w:sz="4" w:space="0"/>
            </w:tcBorders>
            <w:vAlign w:val="top"/>
          </w:tcPr>
          <w:p w14:paraId="400A6D5B">
            <w:pPr>
              <w:rPr>
                <w:rFonts w:ascii="Arial"/>
                <w:color w:val="auto"/>
                <w:sz w:val="21"/>
                <w:highlight w:val="none"/>
              </w:rPr>
            </w:pPr>
          </w:p>
        </w:tc>
        <w:tc>
          <w:tcPr>
            <w:tcW w:w="1138" w:type="dxa"/>
            <w:tcBorders>
              <w:top w:val="single" w:color="000000" w:sz="4" w:space="0"/>
            </w:tcBorders>
            <w:vAlign w:val="top"/>
          </w:tcPr>
          <w:p w14:paraId="031A7C77">
            <w:pPr>
              <w:rPr>
                <w:rFonts w:ascii="Arial"/>
                <w:color w:val="auto"/>
                <w:sz w:val="21"/>
                <w:highlight w:val="none"/>
              </w:rPr>
            </w:pPr>
          </w:p>
        </w:tc>
        <w:tc>
          <w:tcPr>
            <w:tcW w:w="1132" w:type="dxa"/>
            <w:tcBorders>
              <w:top w:val="single" w:color="000000" w:sz="4" w:space="0"/>
            </w:tcBorders>
            <w:vAlign w:val="top"/>
          </w:tcPr>
          <w:p w14:paraId="42D47B10">
            <w:pPr>
              <w:rPr>
                <w:rFonts w:ascii="Arial"/>
                <w:color w:val="auto"/>
                <w:sz w:val="21"/>
                <w:highlight w:val="none"/>
              </w:rPr>
            </w:pPr>
          </w:p>
        </w:tc>
        <w:tc>
          <w:tcPr>
            <w:tcW w:w="1133" w:type="dxa"/>
            <w:tcBorders>
              <w:top w:val="single" w:color="000000" w:sz="4" w:space="0"/>
            </w:tcBorders>
            <w:vAlign w:val="top"/>
          </w:tcPr>
          <w:p w14:paraId="6A6E2203">
            <w:pPr>
              <w:rPr>
                <w:rFonts w:ascii="Arial"/>
                <w:color w:val="auto"/>
                <w:sz w:val="21"/>
                <w:highlight w:val="none"/>
              </w:rPr>
            </w:pPr>
          </w:p>
        </w:tc>
        <w:tc>
          <w:tcPr>
            <w:tcW w:w="1133" w:type="dxa"/>
            <w:tcBorders>
              <w:top w:val="single" w:color="000000" w:sz="4" w:space="0"/>
            </w:tcBorders>
            <w:vAlign w:val="top"/>
          </w:tcPr>
          <w:p w14:paraId="2D7C041E">
            <w:pPr>
              <w:rPr>
                <w:rFonts w:ascii="Arial"/>
                <w:color w:val="auto"/>
                <w:sz w:val="21"/>
                <w:highlight w:val="none"/>
              </w:rPr>
            </w:pPr>
          </w:p>
        </w:tc>
        <w:tc>
          <w:tcPr>
            <w:tcW w:w="1137" w:type="dxa"/>
            <w:tcBorders>
              <w:top w:val="single" w:color="000000" w:sz="4" w:space="0"/>
            </w:tcBorders>
            <w:vAlign w:val="top"/>
          </w:tcPr>
          <w:p w14:paraId="1E9B9B76">
            <w:pPr>
              <w:rPr>
                <w:rFonts w:ascii="Arial"/>
                <w:color w:val="auto"/>
                <w:sz w:val="21"/>
                <w:highlight w:val="none"/>
              </w:rPr>
            </w:pPr>
          </w:p>
        </w:tc>
        <w:tc>
          <w:tcPr>
            <w:tcW w:w="1272" w:type="dxa"/>
            <w:tcBorders>
              <w:top w:val="single" w:color="000000" w:sz="4" w:space="0"/>
            </w:tcBorders>
            <w:vAlign w:val="top"/>
          </w:tcPr>
          <w:p w14:paraId="5BE457FD">
            <w:pPr>
              <w:rPr>
                <w:rFonts w:ascii="Arial"/>
                <w:color w:val="auto"/>
                <w:sz w:val="21"/>
                <w:highlight w:val="none"/>
              </w:rPr>
            </w:pPr>
          </w:p>
        </w:tc>
        <w:tc>
          <w:tcPr>
            <w:tcW w:w="1704" w:type="dxa"/>
            <w:tcBorders>
              <w:top w:val="single" w:color="000000" w:sz="4" w:space="0"/>
            </w:tcBorders>
            <w:vAlign w:val="top"/>
          </w:tcPr>
          <w:p w14:paraId="71E20974">
            <w:pPr>
              <w:rPr>
                <w:rFonts w:ascii="Arial"/>
                <w:color w:val="auto"/>
                <w:sz w:val="21"/>
                <w:highlight w:val="none"/>
              </w:rPr>
            </w:pPr>
          </w:p>
        </w:tc>
        <w:tc>
          <w:tcPr>
            <w:tcW w:w="1282" w:type="dxa"/>
            <w:tcBorders>
              <w:top w:val="single" w:color="000000" w:sz="4" w:space="0"/>
            </w:tcBorders>
            <w:vAlign w:val="top"/>
          </w:tcPr>
          <w:p w14:paraId="6AAEB61D">
            <w:pPr>
              <w:rPr>
                <w:rFonts w:ascii="Arial"/>
                <w:color w:val="auto"/>
                <w:sz w:val="21"/>
                <w:highlight w:val="none"/>
              </w:rPr>
            </w:pPr>
          </w:p>
        </w:tc>
      </w:tr>
      <w:tr w14:paraId="21945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0B63C843">
            <w:pPr>
              <w:rPr>
                <w:rFonts w:ascii="Arial"/>
                <w:color w:val="auto"/>
                <w:sz w:val="21"/>
                <w:highlight w:val="none"/>
              </w:rPr>
            </w:pPr>
          </w:p>
        </w:tc>
        <w:tc>
          <w:tcPr>
            <w:tcW w:w="2482" w:type="dxa"/>
            <w:vAlign w:val="top"/>
          </w:tcPr>
          <w:p w14:paraId="702E99E3">
            <w:pPr>
              <w:rPr>
                <w:rFonts w:ascii="Arial"/>
                <w:color w:val="auto"/>
                <w:sz w:val="21"/>
                <w:highlight w:val="none"/>
              </w:rPr>
            </w:pPr>
          </w:p>
        </w:tc>
        <w:tc>
          <w:tcPr>
            <w:tcW w:w="988" w:type="dxa"/>
            <w:vAlign w:val="top"/>
          </w:tcPr>
          <w:p w14:paraId="777BEC70">
            <w:pPr>
              <w:rPr>
                <w:rFonts w:ascii="Arial"/>
                <w:color w:val="auto"/>
                <w:sz w:val="21"/>
                <w:highlight w:val="none"/>
              </w:rPr>
            </w:pPr>
          </w:p>
        </w:tc>
        <w:tc>
          <w:tcPr>
            <w:tcW w:w="1138" w:type="dxa"/>
            <w:vAlign w:val="top"/>
          </w:tcPr>
          <w:p w14:paraId="43437ACE">
            <w:pPr>
              <w:rPr>
                <w:rFonts w:ascii="Arial"/>
                <w:color w:val="auto"/>
                <w:sz w:val="21"/>
                <w:highlight w:val="none"/>
              </w:rPr>
            </w:pPr>
          </w:p>
        </w:tc>
        <w:tc>
          <w:tcPr>
            <w:tcW w:w="1132" w:type="dxa"/>
            <w:vAlign w:val="top"/>
          </w:tcPr>
          <w:p w14:paraId="1F8DC7A8">
            <w:pPr>
              <w:rPr>
                <w:rFonts w:ascii="Arial"/>
                <w:color w:val="auto"/>
                <w:sz w:val="21"/>
                <w:highlight w:val="none"/>
              </w:rPr>
            </w:pPr>
          </w:p>
        </w:tc>
        <w:tc>
          <w:tcPr>
            <w:tcW w:w="1133" w:type="dxa"/>
            <w:vAlign w:val="top"/>
          </w:tcPr>
          <w:p w14:paraId="41D0AB18">
            <w:pPr>
              <w:rPr>
                <w:rFonts w:ascii="Arial"/>
                <w:color w:val="auto"/>
                <w:sz w:val="21"/>
                <w:highlight w:val="none"/>
              </w:rPr>
            </w:pPr>
          </w:p>
        </w:tc>
        <w:tc>
          <w:tcPr>
            <w:tcW w:w="1133" w:type="dxa"/>
            <w:vAlign w:val="top"/>
          </w:tcPr>
          <w:p w14:paraId="1492E300">
            <w:pPr>
              <w:rPr>
                <w:rFonts w:ascii="Arial"/>
                <w:color w:val="auto"/>
                <w:sz w:val="21"/>
                <w:highlight w:val="none"/>
              </w:rPr>
            </w:pPr>
          </w:p>
        </w:tc>
        <w:tc>
          <w:tcPr>
            <w:tcW w:w="1137" w:type="dxa"/>
            <w:vAlign w:val="top"/>
          </w:tcPr>
          <w:p w14:paraId="77289BF0">
            <w:pPr>
              <w:rPr>
                <w:rFonts w:ascii="Arial"/>
                <w:color w:val="auto"/>
                <w:sz w:val="21"/>
                <w:highlight w:val="none"/>
              </w:rPr>
            </w:pPr>
          </w:p>
        </w:tc>
        <w:tc>
          <w:tcPr>
            <w:tcW w:w="1272" w:type="dxa"/>
            <w:vAlign w:val="top"/>
          </w:tcPr>
          <w:p w14:paraId="4AED7CA8">
            <w:pPr>
              <w:rPr>
                <w:rFonts w:ascii="Arial"/>
                <w:color w:val="auto"/>
                <w:sz w:val="21"/>
                <w:highlight w:val="none"/>
              </w:rPr>
            </w:pPr>
          </w:p>
        </w:tc>
        <w:tc>
          <w:tcPr>
            <w:tcW w:w="1704" w:type="dxa"/>
            <w:vAlign w:val="top"/>
          </w:tcPr>
          <w:p w14:paraId="329AF43C">
            <w:pPr>
              <w:rPr>
                <w:rFonts w:ascii="Arial"/>
                <w:color w:val="auto"/>
                <w:sz w:val="21"/>
                <w:highlight w:val="none"/>
              </w:rPr>
            </w:pPr>
          </w:p>
        </w:tc>
        <w:tc>
          <w:tcPr>
            <w:tcW w:w="1282" w:type="dxa"/>
            <w:vAlign w:val="top"/>
          </w:tcPr>
          <w:p w14:paraId="7F21DED2">
            <w:pPr>
              <w:rPr>
                <w:rFonts w:ascii="Arial"/>
                <w:color w:val="auto"/>
                <w:sz w:val="21"/>
                <w:highlight w:val="none"/>
              </w:rPr>
            </w:pPr>
          </w:p>
        </w:tc>
      </w:tr>
      <w:tr w14:paraId="749E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147DE65D">
            <w:pPr>
              <w:rPr>
                <w:rFonts w:ascii="Arial"/>
                <w:color w:val="auto"/>
                <w:sz w:val="21"/>
                <w:highlight w:val="none"/>
              </w:rPr>
            </w:pPr>
          </w:p>
        </w:tc>
        <w:tc>
          <w:tcPr>
            <w:tcW w:w="2482" w:type="dxa"/>
            <w:vAlign w:val="top"/>
          </w:tcPr>
          <w:p w14:paraId="2DC4F866">
            <w:pPr>
              <w:rPr>
                <w:rFonts w:ascii="Arial"/>
                <w:color w:val="auto"/>
                <w:sz w:val="21"/>
                <w:highlight w:val="none"/>
              </w:rPr>
            </w:pPr>
          </w:p>
        </w:tc>
        <w:tc>
          <w:tcPr>
            <w:tcW w:w="988" w:type="dxa"/>
            <w:vAlign w:val="top"/>
          </w:tcPr>
          <w:p w14:paraId="65E3B1B4">
            <w:pPr>
              <w:rPr>
                <w:rFonts w:ascii="Arial"/>
                <w:color w:val="auto"/>
                <w:sz w:val="21"/>
                <w:highlight w:val="none"/>
              </w:rPr>
            </w:pPr>
          </w:p>
        </w:tc>
        <w:tc>
          <w:tcPr>
            <w:tcW w:w="1138" w:type="dxa"/>
            <w:vAlign w:val="top"/>
          </w:tcPr>
          <w:p w14:paraId="4C82AF5A">
            <w:pPr>
              <w:rPr>
                <w:rFonts w:ascii="Arial"/>
                <w:color w:val="auto"/>
                <w:sz w:val="21"/>
                <w:highlight w:val="none"/>
              </w:rPr>
            </w:pPr>
          </w:p>
        </w:tc>
        <w:tc>
          <w:tcPr>
            <w:tcW w:w="1132" w:type="dxa"/>
            <w:vAlign w:val="top"/>
          </w:tcPr>
          <w:p w14:paraId="4A880856">
            <w:pPr>
              <w:rPr>
                <w:rFonts w:ascii="Arial"/>
                <w:color w:val="auto"/>
                <w:sz w:val="21"/>
                <w:highlight w:val="none"/>
              </w:rPr>
            </w:pPr>
          </w:p>
        </w:tc>
        <w:tc>
          <w:tcPr>
            <w:tcW w:w="1133" w:type="dxa"/>
            <w:vAlign w:val="top"/>
          </w:tcPr>
          <w:p w14:paraId="075CD3E2">
            <w:pPr>
              <w:rPr>
                <w:rFonts w:ascii="Arial"/>
                <w:color w:val="auto"/>
                <w:sz w:val="21"/>
                <w:highlight w:val="none"/>
              </w:rPr>
            </w:pPr>
          </w:p>
        </w:tc>
        <w:tc>
          <w:tcPr>
            <w:tcW w:w="1133" w:type="dxa"/>
            <w:vAlign w:val="top"/>
          </w:tcPr>
          <w:p w14:paraId="56C52835">
            <w:pPr>
              <w:rPr>
                <w:rFonts w:ascii="Arial"/>
                <w:color w:val="auto"/>
                <w:sz w:val="21"/>
                <w:highlight w:val="none"/>
              </w:rPr>
            </w:pPr>
          </w:p>
        </w:tc>
        <w:tc>
          <w:tcPr>
            <w:tcW w:w="1137" w:type="dxa"/>
            <w:vAlign w:val="top"/>
          </w:tcPr>
          <w:p w14:paraId="0C1E86D1">
            <w:pPr>
              <w:rPr>
                <w:rFonts w:ascii="Arial"/>
                <w:color w:val="auto"/>
                <w:sz w:val="21"/>
                <w:highlight w:val="none"/>
              </w:rPr>
            </w:pPr>
          </w:p>
        </w:tc>
        <w:tc>
          <w:tcPr>
            <w:tcW w:w="1272" w:type="dxa"/>
            <w:vAlign w:val="top"/>
          </w:tcPr>
          <w:p w14:paraId="4F21858B">
            <w:pPr>
              <w:rPr>
                <w:rFonts w:ascii="Arial"/>
                <w:color w:val="auto"/>
                <w:sz w:val="21"/>
                <w:highlight w:val="none"/>
              </w:rPr>
            </w:pPr>
          </w:p>
        </w:tc>
        <w:tc>
          <w:tcPr>
            <w:tcW w:w="1704" w:type="dxa"/>
            <w:vAlign w:val="top"/>
          </w:tcPr>
          <w:p w14:paraId="44E9C595">
            <w:pPr>
              <w:rPr>
                <w:rFonts w:ascii="Arial"/>
                <w:color w:val="auto"/>
                <w:sz w:val="21"/>
                <w:highlight w:val="none"/>
              </w:rPr>
            </w:pPr>
          </w:p>
        </w:tc>
        <w:tc>
          <w:tcPr>
            <w:tcW w:w="1282" w:type="dxa"/>
            <w:vAlign w:val="top"/>
          </w:tcPr>
          <w:p w14:paraId="7A76E22F">
            <w:pPr>
              <w:rPr>
                <w:rFonts w:ascii="Arial"/>
                <w:color w:val="auto"/>
                <w:sz w:val="21"/>
                <w:highlight w:val="none"/>
              </w:rPr>
            </w:pPr>
          </w:p>
        </w:tc>
      </w:tr>
      <w:tr w14:paraId="19805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0A904181">
            <w:pPr>
              <w:pStyle w:val="18"/>
              <w:spacing w:before="159" w:line="219" w:lineRule="auto"/>
              <w:ind w:left="639"/>
              <w:rPr>
                <w:color w:val="auto"/>
                <w:highlight w:val="none"/>
              </w:rPr>
            </w:pPr>
            <w:r>
              <w:rPr>
                <w:color w:val="auto"/>
                <w:spacing w:val="-2"/>
                <w:highlight w:val="none"/>
              </w:rPr>
              <w:t>最高投标限价（元）</w:t>
            </w:r>
          </w:p>
        </w:tc>
        <w:tc>
          <w:tcPr>
            <w:tcW w:w="10919" w:type="dxa"/>
            <w:gridSpan w:val="9"/>
            <w:vAlign w:val="top"/>
          </w:tcPr>
          <w:p w14:paraId="4BAC59DC">
            <w:pPr>
              <w:rPr>
                <w:rFonts w:ascii="Arial"/>
                <w:color w:val="auto"/>
                <w:sz w:val="21"/>
                <w:highlight w:val="none"/>
              </w:rPr>
            </w:pPr>
          </w:p>
        </w:tc>
      </w:tr>
      <w:tr w14:paraId="3E13D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4D2C21F2">
            <w:pPr>
              <w:pStyle w:val="18"/>
              <w:spacing w:before="160" w:line="221" w:lineRule="auto"/>
              <w:ind w:left="320"/>
              <w:rPr>
                <w:color w:val="auto"/>
                <w:highlight w:val="none"/>
              </w:rPr>
            </w:pPr>
            <w:r>
              <w:rPr>
                <w:color w:val="auto"/>
                <w:spacing w:val="-1"/>
                <w:highlight w:val="none"/>
              </w:rPr>
              <w:t>开标过程需记录的其他事项</w:t>
            </w:r>
          </w:p>
        </w:tc>
        <w:tc>
          <w:tcPr>
            <w:tcW w:w="10919" w:type="dxa"/>
            <w:gridSpan w:val="9"/>
            <w:vAlign w:val="top"/>
          </w:tcPr>
          <w:p w14:paraId="323AD038">
            <w:pPr>
              <w:rPr>
                <w:rFonts w:ascii="Arial"/>
                <w:color w:val="auto"/>
                <w:sz w:val="21"/>
                <w:highlight w:val="none"/>
              </w:rPr>
            </w:pPr>
          </w:p>
        </w:tc>
      </w:tr>
    </w:tbl>
    <w:p w14:paraId="7FF3DDD8">
      <w:pPr>
        <w:spacing w:before="140" w:line="221" w:lineRule="auto"/>
        <w:ind w:left="736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主持人：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 xml:space="preserve">招标人代表：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6"/>
          <w:sz w:val="21"/>
          <w:szCs w:val="21"/>
          <w:highlight w:val="none"/>
        </w:rPr>
        <w:t>监标</w:t>
      </w:r>
      <w:r>
        <w:rPr>
          <w:rFonts w:ascii="宋体" w:hAnsi="宋体" w:eastAsia="宋体" w:cs="宋体"/>
          <w:color w:val="auto"/>
          <w:spacing w:val="-7"/>
          <w:sz w:val="21"/>
          <w:szCs w:val="21"/>
          <w:highlight w:val="none"/>
        </w:rPr>
        <w:t>人：</w:t>
      </w:r>
      <w:r>
        <w:rPr>
          <w:rFonts w:ascii="宋体" w:hAnsi="宋体" w:eastAsia="宋体" w:cs="宋体"/>
          <w:color w:val="auto"/>
          <w:spacing w:val="-7"/>
          <w:sz w:val="21"/>
          <w:szCs w:val="21"/>
          <w:highlight w:val="none"/>
          <w:u w:val="single" w:color="auto"/>
        </w:rPr>
        <w:t xml:space="preserve">                 </w:t>
      </w:r>
    </w:p>
    <w:p w14:paraId="36EE425F">
      <w:pPr>
        <w:spacing w:line="221" w:lineRule="auto"/>
        <w:rPr>
          <w:rFonts w:ascii="宋体" w:hAnsi="宋体" w:eastAsia="宋体" w:cs="宋体"/>
          <w:color w:val="auto"/>
          <w:sz w:val="21"/>
          <w:szCs w:val="21"/>
          <w:highlight w:val="none"/>
        </w:rPr>
        <w:sectPr>
          <w:footerReference r:id="rId26" w:type="default"/>
          <w:pgSz w:w="16839" w:h="11905"/>
          <w:pgMar w:top="1011" w:right="1320" w:bottom="1034" w:left="1440" w:header="0" w:footer="832" w:gutter="0"/>
          <w:pgNumType w:fmt="decimal"/>
          <w:cols w:space="720" w:num="1"/>
        </w:sectPr>
      </w:pPr>
    </w:p>
    <w:p w14:paraId="21D104F9">
      <w:pPr>
        <w:spacing w:before="306"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附表六：投标文件问题澄清通知</w:t>
      </w:r>
    </w:p>
    <w:p w14:paraId="7AD69857">
      <w:pPr>
        <w:pStyle w:val="5"/>
        <w:spacing w:line="315" w:lineRule="auto"/>
        <w:rPr>
          <w:color w:val="auto"/>
          <w:highlight w:val="none"/>
        </w:rPr>
      </w:pPr>
    </w:p>
    <w:p w14:paraId="6F32E223">
      <w:pPr>
        <w:pStyle w:val="5"/>
        <w:spacing w:line="316" w:lineRule="auto"/>
        <w:rPr>
          <w:color w:val="auto"/>
          <w:highlight w:val="none"/>
        </w:rPr>
      </w:pPr>
    </w:p>
    <w:p w14:paraId="06118423">
      <w:pPr>
        <w:pStyle w:val="5"/>
        <w:spacing w:line="316" w:lineRule="auto"/>
        <w:rPr>
          <w:color w:val="auto"/>
          <w:highlight w:val="none"/>
        </w:rPr>
      </w:pPr>
    </w:p>
    <w:p w14:paraId="7261CC7B">
      <w:pPr>
        <w:spacing w:before="88" w:line="225" w:lineRule="auto"/>
        <w:ind w:left="2775"/>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投标文件问题澄清通知</w:t>
      </w:r>
    </w:p>
    <w:p w14:paraId="0533D2CF">
      <w:pPr>
        <w:pStyle w:val="5"/>
        <w:spacing w:line="297" w:lineRule="auto"/>
        <w:rPr>
          <w:color w:val="auto"/>
          <w:highlight w:val="none"/>
        </w:rPr>
      </w:pPr>
    </w:p>
    <w:p w14:paraId="16A57D4E">
      <w:pPr>
        <w:spacing w:before="68" w:line="221" w:lineRule="auto"/>
        <w:ind w:left="537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4F352B8F">
      <w:pPr>
        <w:tabs>
          <w:tab w:val="left" w:pos="1901"/>
        </w:tabs>
        <w:spacing w:before="215"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5"/>
          <w:sz w:val="21"/>
          <w:szCs w:val="21"/>
          <w:highlight w:val="none"/>
        </w:rPr>
        <w:t xml:space="preserve"> </w:t>
      </w:r>
      <w:r>
        <w:rPr>
          <w:rFonts w:ascii="宋体" w:hAnsi="宋体" w:eastAsia="宋体" w:cs="宋体"/>
          <w:color w:val="auto"/>
          <w:spacing w:val="-23"/>
          <w:w w:val="95"/>
          <w:sz w:val="21"/>
          <w:szCs w:val="21"/>
          <w:highlight w:val="none"/>
        </w:rPr>
        <w:t>（投标人名称</w:t>
      </w:r>
      <w:r>
        <w:rPr>
          <w:rFonts w:ascii="宋体" w:hAnsi="宋体" w:eastAsia="宋体" w:cs="宋体"/>
          <w:color w:val="auto"/>
          <w:spacing w:val="-18"/>
          <w:sz w:val="21"/>
          <w:szCs w:val="21"/>
          <w:highlight w:val="none"/>
        </w:rPr>
        <w:t>）：</w:t>
      </w:r>
    </w:p>
    <w:p w14:paraId="515F8106">
      <w:pPr>
        <w:pStyle w:val="5"/>
        <w:spacing w:line="318" w:lineRule="auto"/>
        <w:rPr>
          <w:color w:val="auto"/>
          <w:highlight w:val="none"/>
        </w:rPr>
      </w:pPr>
    </w:p>
    <w:p w14:paraId="09C7AF94">
      <w:pPr>
        <w:pStyle w:val="5"/>
        <w:spacing w:line="318" w:lineRule="auto"/>
        <w:rPr>
          <w:color w:val="auto"/>
          <w:highlight w:val="none"/>
        </w:rPr>
      </w:pPr>
    </w:p>
    <w:p w14:paraId="1E4D5706">
      <w:pPr>
        <w:tabs>
          <w:tab w:val="left" w:pos="1378"/>
        </w:tabs>
        <w:spacing w:before="68" w:line="422" w:lineRule="auto"/>
        <w:ind w:left="23" w:firstLine="5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rPr>
        <w:t>（标段名称）项目（标段唯一标识码</w:t>
      </w:r>
      <w:r>
        <w:rPr>
          <w:rFonts w:ascii="宋体" w:hAnsi="宋体" w:eastAsia="宋体" w:cs="宋体"/>
          <w:color w:val="auto"/>
          <w:spacing w:val="1"/>
          <w:sz w:val="21"/>
          <w:szCs w:val="21"/>
          <w:highlight w:val="none"/>
        </w:rPr>
        <w:t>：</w:t>
      </w:r>
      <w:r>
        <w:rPr>
          <w:rFonts w:ascii="宋体" w:hAnsi="宋体" w:eastAsia="宋体" w:cs="宋体"/>
          <w:color w:val="auto"/>
          <w:spacing w:val="8"/>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6"/>
          <w:sz w:val="21"/>
          <w:szCs w:val="21"/>
          <w:highlight w:val="none"/>
        </w:rPr>
        <w:t xml:space="preserve">招标的评标委员会，对你方  </w:t>
      </w:r>
      <w:r>
        <w:rPr>
          <w:rFonts w:ascii="宋体" w:hAnsi="宋体" w:eastAsia="宋体" w:cs="宋体"/>
          <w:color w:val="auto"/>
          <w:spacing w:val="2"/>
          <w:sz w:val="21"/>
          <w:szCs w:val="21"/>
          <w:highlight w:val="none"/>
        </w:rPr>
        <w:t>的投标文件进行了仔细的审查，现需你方对下</w:t>
      </w:r>
      <w:r>
        <w:rPr>
          <w:rFonts w:ascii="宋体" w:hAnsi="宋体" w:eastAsia="宋体" w:cs="宋体"/>
          <w:color w:val="auto"/>
          <w:spacing w:val="1"/>
          <w:sz w:val="21"/>
          <w:szCs w:val="21"/>
          <w:highlight w:val="none"/>
        </w:rPr>
        <w:t>列问题以书面形式予以澄清、说明或者补正，</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并将投标文件的澄清、说明或者补正于</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2"/>
          <w:sz w:val="21"/>
          <w:szCs w:val="21"/>
          <w:highlight w:val="none"/>
        </w:rPr>
        <w:t>年</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
          <w:sz w:val="21"/>
          <w:szCs w:val="21"/>
          <w:highlight w:val="none"/>
        </w:rPr>
        <w:t>日</w:t>
      </w:r>
      <w:r>
        <w:rPr>
          <w:rFonts w:ascii="宋体" w:hAnsi="宋体" w:eastAsia="宋体" w:cs="宋体"/>
          <w:color w:val="auto"/>
          <w:spacing w:val="62"/>
          <w:sz w:val="21"/>
          <w:szCs w:val="21"/>
          <w:highlight w:val="none"/>
          <w:u w:val="single" w:color="auto"/>
        </w:rPr>
        <w:t xml:space="preserve"> </w:t>
      </w:r>
      <w:r>
        <w:rPr>
          <w:rFonts w:ascii="宋体" w:hAnsi="宋体" w:eastAsia="宋体" w:cs="宋体"/>
          <w:color w:val="auto"/>
          <w:spacing w:val="-2"/>
          <w:sz w:val="21"/>
          <w:szCs w:val="21"/>
          <w:highlight w:val="none"/>
        </w:rPr>
        <w:t>时</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2"/>
          <w:sz w:val="21"/>
          <w:szCs w:val="21"/>
          <w:highlight w:val="none"/>
        </w:rPr>
        <w:t>分前，通过电子招标投标</w:t>
      </w:r>
    </w:p>
    <w:p w14:paraId="6B97E8C2">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系统（辽宁省工程建设项目数字化开标评标系统）提交给本评标委员会。</w:t>
      </w:r>
    </w:p>
    <w:p w14:paraId="15C71B01">
      <w:pPr>
        <w:spacing w:before="196" w:line="237"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w:t>
      </w:r>
    </w:p>
    <w:p w14:paraId="16B53B5E">
      <w:pPr>
        <w:spacing w:before="172" w:line="442"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8"/>
          <w:sz w:val="21"/>
          <w:szCs w:val="21"/>
          <w:highlight w:val="none"/>
        </w:rPr>
        <w:t>2.</w:t>
      </w:r>
      <w:r>
        <w:rPr>
          <w:rFonts w:ascii="宋体" w:hAnsi="宋体" w:eastAsia="宋体" w:cs="宋体"/>
          <w:color w:val="auto"/>
          <w:spacing w:val="-1"/>
          <w:position w:val="18"/>
          <w:sz w:val="21"/>
          <w:szCs w:val="21"/>
          <w:highlight w:val="none"/>
        </w:rPr>
        <w:t>……</w:t>
      </w:r>
    </w:p>
    <w:p w14:paraId="1347A913">
      <w:pPr>
        <w:spacing w:line="332" w:lineRule="exact"/>
        <w:ind w:left="243"/>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B329F0F">
      <w:pPr>
        <w:pStyle w:val="5"/>
        <w:spacing w:line="273" w:lineRule="auto"/>
        <w:rPr>
          <w:color w:val="auto"/>
          <w:highlight w:val="none"/>
        </w:rPr>
      </w:pPr>
    </w:p>
    <w:p w14:paraId="11DCC2EA">
      <w:pPr>
        <w:pStyle w:val="5"/>
        <w:spacing w:line="273" w:lineRule="auto"/>
        <w:rPr>
          <w:color w:val="auto"/>
          <w:highlight w:val="none"/>
        </w:rPr>
      </w:pPr>
    </w:p>
    <w:p w14:paraId="1C93D483">
      <w:pPr>
        <w:tabs>
          <w:tab w:val="left" w:pos="4005"/>
        </w:tabs>
        <w:spacing w:before="69" w:line="220" w:lineRule="auto"/>
        <w:ind w:left="274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5"/>
          <w:sz w:val="21"/>
          <w:szCs w:val="21"/>
          <w:highlight w:val="none"/>
        </w:rPr>
        <w:t xml:space="preserve"> </w:t>
      </w:r>
      <w:r>
        <w:rPr>
          <w:rFonts w:ascii="宋体" w:hAnsi="宋体" w:eastAsia="宋体" w:cs="宋体"/>
          <w:color w:val="auto"/>
          <w:spacing w:val="-12"/>
          <w:sz w:val="21"/>
          <w:szCs w:val="21"/>
          <w:highlight w:val="none"/>
        </w:rPr>
        <w:t>（标段名称） 项目招标评标委员会</w:t>
      </w:r>
    </w:p>
    <w:p w14:paraId="592D8DE0">
      <w:pPr>
        <w:pStyle w:val="5"/>
        <w:spacing w:line="278" w:lineRule="auto"/>
        <w:rPr>
          <w:color w:val="auto"/>
          <w:highlight w:val="none"/>
        </w:rPr>
      </w:pPr>
    </w:p>
    <w:p w14:paraId="6C35F1DA">
      <w:pPr>
        <w:pStyle w:val="5"/>
        <w:spacing w:line="278" w:lineRule="auto"/>
        <w:rPr>
          <w:color w:val="auto"/>
          <w:highlight w:val="none"/>
        </w:rPr>
      </w:pPr>
    </w:p>
    <w:p w14:paraId="125E277F">
      <w:pPr>
        <w:pStyle w:val="5"/>
        <w:spacing w:line="279" w:lineRule="auto"/>
        <w:rPr>
          <w:color w:val="auto"/>
          <w:highlight w:val="none"/>
        </w:rPr>
      </w:pPr>
    </w:p>
    <w:p w14:paraId="6BA14A58">
      <w:pPr>
        <w:pStyle w:val="5"/>
        <w:spacing w:line="279" w:lineRule="auto"/>
        <w:rPr>
          <w:color w:val="auto"/>
          <w:highlight w:val="none"/>
        </w:rPr>
      </w:pPr>
    </w:p>
    <w:p w14:paraId="3D5FC079">
      <w:pPr>
        <w:tabs>
          <w:tab w:val="left" w:pos="5997"/>
        </w:tabs>
        <w:spacing w:before="69" w:line="221" w:lineRule="auto"/>
        <w:ind w:left="557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日</w:t>
      </w:r>
    </w:p>
    <w:p w14:paraId="542D79CA">
      <w:pPr>
        <w:spacing w:line="221" w:lineRule="auto"/>
        <w:rPr>
          <w:rFonts w:ascii="宋体" w:hAnsi="宋体" w:eastAsia="宋体" w:cs="宋体"/>
          <w:color w:val="auto"/>
          <w:sz w:val="21"/>
          <w:szCs w:val="21"/>
          <w:highlight w:val="none"/>
        </w:rPr>
        <w:sectPr>
          <w:footerReference r:id="rId27" w:type="default"/>
          <w:pgSz w:w="11905" w:h="16839"/>
          <w:pgMar w:top="1431" w:right="1633" w:bottom="996" w:left="1785" w:header="0" w:footer="791" w:gutter="0"/>
          <w:pgNumType w:fmt="decimal"/>
          <w:cols w:space="720" w:num="1"/>
        </w:sectPr>
      </w:pPr>
    </w:p>
    <w:p w14:paraId="53E86545">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附表七：投标文件问题的澄清</w:t>
      </w:r>
    </w:p>
    <w:p w14:paraId="791EA27F">
      <w:pPr>
        <w:pStyle w:val="5"/>
        <w:spacing w:line="249" w:lineRule="auto"/>
        <w:rPr>
          <w:color w:val="auto"/>
          <w:highlight w:val="none"/>
        </w:rPr>
      </w:pPr>
    </w:p>
    <w:p w14:paraId="3F568C36">
      <w:pPr>
        <w:pStyle w:val="5"/>
        <w:spacing w:line="249" w:lineRule="auto"/>
        <w:rPr>
          <w:color w:val="auto"/>
          <w:highlight w:val="none"/>
        </w:rPr>
      </w:pPr>
    </w:p>
    <w:p w14:paraId="5FA8A4B4">
      <w:pPr>
        <w:pStyle w:val="5"/>
        <w:spacing w:line="250" w:lineRule="auto"/>
        <w:rPr>
          <w:color w:val="auto"/>
          <w:highlight w:val="none"/>
        </w:rPr>
      </w:pPr>
    </w:p>
    <w:p w14:paraId="21146411">
      <w:pPr>
        <w:pStyle w:val="5"/>
        <w:spacing w:line="250" w:lineRule="auto"/>
        <w:rPr>
          <w:color w:val="auto"/>
          <w:highlight w:val="none"/>
        </w:rPr>
      </w:pPr>
    </w:p>
    <w:p w14:paraId="6BF01C2D">
      <w:pPr>
        <w:pStyle w:val="5"/>
        <w:spacing w:line="250" w:lineRule="auto"/>
        <w:rPr>
          <w:color w:val="auto"/>
          <w:highlight w:val="none"/>
        </w:rPr>
      </w:pPr>
    </w:p>
    <w:p w14:paraId="0D828813">
      <w:pPr>
        <w:spacing w:before="88" w:line="224" w:lineRule="auto"/>
        <w:ind w:left="2074"/>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投标文件问题的澄清、说明或补正</w:t>
      </w:r>
    </w:p>
    <w:p w14:paraId="30FC38C3">
      <w:pPr>
        <w:pStyle w:val="5"/>
        <w:spacing w:line="317" w:lineRule="auto"/>
        <w:rPr>
          <w:color w:val="auto"/>
          <w:highlight w:val="none"/>
        </w:rPr>
      </w:pPr>
    </w:p>
    <w:p w14:paraId="5B47B8A2">
      <w:pPr>
        <w:spacing w:before="68" w:line="221" w:lineRule="auto"/>
        <w:ind w:left="537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0572B45C">
      <w:pPr>
        <w:tabs>
          <w:tab w:val="left" w:pos="960"/>
        </w:tabs>
        <w:spacing w:before="210" w:line="220" w:lineRule="auto"/>
        <w:ind w:left="11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
          <w:sz w:val="21"/>
          <w:szCs w:val="21"/>
          <w:highlight w:val="none"/>
        </w:rPr>
        <w:t>（标段名称）项目招标评标委员会：</w:t>
      </w:r>
    </w:p>
    <w:p w14:paraId="369A029C">
      <w:pPr>
        <w:spacing w:before="229" w:line="422"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投标文件问题澄清通知（编号</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1"/>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已收悉，现澄清、</w:t>
      </w:r>
      <w:r>
        <w:rPr>
          <w:rFonts w:ascii="宋体" w:hAnsi="宋体" w:eastAsia="宋体" w:cs="宋体"/>
          <w:color w:val="auto"/>
          <w:spacing w:val="-3"/>
          <w:sz w:val="21"/>
          <w:szCs w:val="21"/>
          <w:highlight w:val="none"/>
        </w:rPr>
        <w:t>说明或者补正如下：</w:t>
      </w:r>
    </w:p>
    <w:p w14:paraId="45304487">
      <w:pPr>
        <w:spacing w:before="1" w:line="236"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w:t>
      </w:r>
    </w:p>
    <w:p w14:paraId="6B6859C6">
      <w:pPr>
        <w:spacing w:before="210" w:line="237"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w:t>
      </w:r>
    </w:p>
    <w:p w14:paraId="36AA20DE">
      <w:pPr>
        <w:pStyle w:val="5"/>
        <w:spacing w:line="309" w:lineRule="auto"/>
        <w:rPr>
          <w:color w:val="auto"/>
          <w:highlight w:val="none"/>
        </w:rPr>
      </w:pPr>
    </w:p>
    <w:p w14:paraId="33FA675E">
      <w:pPr>
        <w:pStyle w:val="5"/>
        <w:spacing w:line="310" w:lineRule="auto"/>
        <w:rPr>
          <w:color w:val="auto"/>
          <w:highlight w:val="none"/>
        </w:rPr>
      </w:pPr>
    </w:p>
    <w:p w14:paraId="54D8A9C4">
      <w:pPr>
        <w:spacing w:before="6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DDFA557">
      <w:pPr>
        <w:pStyle w:val="5"/>
        <w:spacing w:line="245" w:lineRule="auto"/>
        <w:rPr>
          <w:color w:val="auto"/>
          <w:highlight w:val="none"/>
        </w:rPr>
      </w:pPr>
    </w:p>
    <w:p w14:paraId="78576ABF">
      <w:pPr>
        <w:pStyle w:val="5"/>
        <w:spacing w:line="245" w:lineRule="auto"/>
        <w:rPr>
          <w:color w:val="auto"/>
          <w:highlight w:val="none"/>
        </w:rPr>
      </w:pPr>
    </w:p>
    <w:p w14:paraId="3218C05B">
      <w:pPr>
        <w:pStyle w:val="5"/>
        <w:spacing w:line="245" w:lineRule="auto"/>
        <w:rPr>
          <w:color w:val="auto"/>
          <w:highlight w:val="none"/>
        </w:rPr>
      </w:pPr>
    </w:p>
    <w:p w14:paraId="1E8A0839">
      <w:pPr>
        <w:pStyle w:val="5"/>
        <w:spacing w:line="245" w:lineRule="auto"/>
        <w:rPr>
          <w:color w:val="auto"/>
          <w:highlight w:val="none"/>
        </w:rPr>
      </w:pPr>
    </w:p>
    <w:p w14:paraId="10955415">
      <w:pPr>
        <w:pStyle w:val="5"/>
        <w:spacing w:line="245" w:lineRule="auto"/>
        <w:rPr>
          <w:color w:val="auto"/>
          <w:highlight w:val="none"/>
        </w:rPr>
      </w:pPr>
    </w:p>
    <w:p w14:paraId="0B1C9871">
      <w:pPr>
        <w:pStyle w:val="5"/>
        <w:spacing w:line="245" w:lineRule="auto"/>
        <w:rPr>
          <w:color w:val="auto"/>
          <w:highlight w:val="none"/>
        </w:rPr>
      </w:pPr>
    </w:p>
    <w:p w14:paraId="33F088B8">
      <w:pPr>
        <w:pStyle w:val="5"/>
        <w:spacing w:line="245" w:lineRule="auto"/>
        <w:rPr>
          <w:color w:val="auto"/>
          <w:highlight w:val="none"/>
        </w:rPr>
      </w:pPr>
    </w:p>
    <w:p w14:paraId="7B759CA8">
      <w:pPr>
        <w:pStyle w:val="5"/>
        <w:spacing w:line="245" w:lineRule="auto"/>
        <w:rPr>
          <w:color w:val="auto"/>
          <w:highlight w:val="none"/>
        </w:rPr>
      </w:pPr>
    </w:p>
    <w:p w14:paraId="6D206F03">
      <w:pPr>
        <w:pStyle w:val="5"/>
        <w:spacing w:line="245" w:lineRule="auto"/>
        <w:rPr>
          <w:color w:val="auto"/>
          <w:highlight w:val="none"/>
        </w:rPr>
      </w:pPr>
    </w:p>
    <w:p w14:paraId="0F306EDD">
      <w:pPr>
        <w:pStyle w:val="5"/>
        <w:spacing w:line="246" w:lineRule="auto"/>
        <w:rPr>
          <w:color w:val="auto"/>
          <w:highlight w:val="none"/>
        </w:rPr>
      </w:pPr>
    </w:p>
    <w:p w14:paraId="257D51D5">
      <w:pPr>
        <w:pStyle w:val="5"/>
        <w:spacing w:line="246" w:lineRule="auto"/>
        <w:rPr>
          <w:color w:val="auto"/>
          <w:highlight w:val="none"/>
        </w:rPr>
      </w:pPr>
    </w:p>
    <w:p w14:paraId="33BB8769">
      <w:pPr>
        <w:pStyle w:val="5"/>
        <w:spacing w:line="246" w:lineRule="auto"/>
        <w:rPr>
          <w:color w:val="auto"/>
          <w:highlight w:val="none"/>
        </w:rPr>
      </w:pPr>
    </w:p>
    <w:p w14:paraId="03891A33">
      <w:pPr>
        <w:spacing w:before="68" w:line="527" w:lineRule="auto"/>
        <w:ind w:left="3188" w:right="125" w:firstLine="1"/>
        <w:jc w:val="right"/>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z w:val="21"/>
          <w:szCs w:val="21"/>
          <w:highlight w:val="none"/>
        </w:rPr>
        <w:t>：</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3"/>
          <w:w w:val="98"/>
          <w:sz w:val="21"/>
          <w:szCs w:val="21"/>
          <w:highlight w:val="none"/>
        </w:rPr>
        <w:t>盖单位章）</w:t>
      </w:r>
      <w:r>
        <w:rPr>
          <w:rFonts w:ascii="宋体" w:hAnsi="宋体" w:eastAsia="宋体" w:cs="宋体"/>
          <w:color w:val="auto"/>
          <w:sz w:val="21"/>
          <w:szCs w:val="21"/>
          <w:highlight w:val="none"/>
        </w:rPr>
        <w:t xml:space="preserve"> 法定代表人</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签章）</w:t>
      </w:r>
    </w:p>
    <w:p w14:paraId="31B33865">
      <w:pPr>
        <w:tabs>
          <w:tab w:val="left" w:pos="6420"/>
        </w:tabs>
        <w:spacing w:before="1" w:line="220" w:lineRule="auto"/>
        <w:ind w:left="578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日</w:t>
      </w:r>
    </w:p>
    <w:p w14:paraId="609DB477">
      <w:pPr>
        <w:spacing w:line="220" w:lineRule="auto"/>
        <w:rPr>
          <w:rFonts w:ascii="宋体" w:hAnsi="宋体" w:eastAsia="宋体" w:cs="宋体"/>
          <w:color w:val="auto"/>
          <w:sz w:val="21"/>
          <w:szCs w:val="21"/>
          <w:highlight w:val="none"/>
        </w:rPr>
        <w:sectPr>
          <w:footerReference r:id="rId28" w:type="default"/>
          <w:pgSz w:w="11905" w:h="16839"/>
          <w:pgMar w:top="1431" w:right="1785" w:bottom="996" w:left="1785" w:header="0" w:footer="791" w:gutter="0"/>
          <w:pgNumType w:fmt="decimal"/>
          <w:cols w:space="720" w:num="1"/>
        </w:sectPr>
      </w:pPr>
    </w:p>
    <w:p w14:paraId="7A695814">
      <w:pPr>
        <w:pStyle w:val="5"/>
        <w:spacing w:line="281" w:lineRule="auto"/>
        <w:rPr>
          <w:color w:val="auto"/>
          <w:highlight w:val="none"/>
        </w:rPr>
      </w:pPr>
    </w:p>
    <w:p w14:paraId="2826DCAF">
      <w:pPr>
        <w:spacing w:before="78" w:line="220"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附表八：中标通知书</w:t>
      </w:r>
    </w:p>
    <w:p w14:paraId="302EEB43">
      <w:pPr>
        <w:spacing w:before="326" w:line="219" w:lineRule="auto"/>
        <w:ind w:left="5410"/>
        <w:rPr>
          <w:rFonts w:ascii="黑体" w:hAnsi="黑体" w:eastAsia="黑体" w:cs="黑体"/>
          <w:color w:val="auto"/>
          <w:sz w:val="32"/>
          <w:szCs w:val="32"/>
          <w:highlight w:val="none"/>
        </w:rPr>
      </w:pPr>
      <w:r>
        <w:rPr>
          <w:rFonts w:ascii="黑体" w:hAnsi="黑体" w:eastAsia="黑体" w:cs="黑体"/>
          <w:color w:val="auto"/>
          <w:spacing w:val="-5"/>
          <w:sz w:val="32"/>
          <w:szCs w:val="32"/>
          <w:highlight w:val="none"/>
          <w14:textOutline w14:w="5834" w14:cap="flat" w14:cmpd="sng">
            <w14:solidFill>
              <w14:srgbClr w14:val="000000"/>
            </w14:solidFill>
            <w14:prstDash w14:val="solid"/>
            <w14:miter w14:val="0"/>
          </w14:textOutline>
        </w:rPr>
        <w:t>中标通知书（工程类）</w:t>
      </w:r>
    </w:p>
    <w:p w14:paraId="4DE1B542">
      <w:pPr>
        <w:tabs>
          <w:tab w:val="left" w:pos="1366"/>
        </w:tabs>
        <w:spacing w:before="223" w:line="221" w:lineRule="auto"/>
        <w:ind w:left="10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76"/>
          <w:sz w:val="21"/>
          <w:szCs w:val="21"/>
          <w:highlight w:val="none"/>
        </w:rPr>
        <w:t xml:space="preserve"> </w:t>
      </w:r>
      <w:r>
        <w:rPr>
          <w:rFonts w:ascii="宋体" w:hAnsi="宋体" w:eastAsia="宋体" w:cs="宋体"/>
          <w:color w:val="auto"/>
          <w:spacing w:val="-34"/>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34"/>
          <w:sz w:val="21"/>
          <w:szCs w:val="21"/>
          <w:highlight w:val="none"/>
        </w:rPr>
        <w:t>编号：</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p>
    <w:p w14:paraId="17ABA671">
      <w:pPr>
        <w:spacing w:before="157" w:line="359" w:lineRule="auto"/>
        <w:ind w:left="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你方于</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3"/>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3"/>
          <w:sz w:val="21"/>
          <w:szCs w:val="21"/>
          <w:highlight w:val="none"/>
        </w:rPr>
        <w:t>月</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3"/>
          <w:sz w:val="21"/>
          <w:szCs w:val="21"/>
          <w:highlight w:val="none"/>
        </w:rPr>
        <w:t>日所递交的</w:t>
      </w:r>
      <w:r>
        <w:rPr>
          <w:rFonts w:ascii="宋体" w:hAnsi="宋体" w:eastAsia="宋体" w:cs="宋体"/>
          <w:color w:val="auto"/>
          <w:spacing w:val="-3"/>
          <w:sz w:val="21"/>
          <w:szCs w:val="21"/>
          <w:highlight w:val="none"/>
          <w:u w:val="single" w:color="auto"/>
        </w:rPr>
        <w:t xml:space="preserve">    （标段名称）     </w:t>
      </w:r>
      <w:r>
        <w:rPr>
          <w:rFonts w:ascii="宋体" w:hAnsi="宋体" w:eastAsia="宋体" w:cs="宋体"/>
          <w:color w:val="auto"/>
          <w:spacing w:val="-79"/>
          <w:sz w:val="21"/>
          <w:szCs w:val="21"/>
          <w:highlight w:val="none"/>
        </w:rPr>
        <w:t xml:space="preserve"> </w:t>
      </w:r>
      <w:r>
        <w:rPr>
          <w:rFonts w:ascii="宋体" w:hAnsi="宋体" w:eastAsia="宋体" w:cs="宋体"/>
          <w:color w:val="auto"/>
          <w:spacing w:val="-3"/>
          <w:sz w:val="21"/>
          <w:szCs w:val="21"/>
          <w:highlight w:val="none"/>
        </w:rPr>
        <w:t>的投标文件已被我方接受，被确定为中标人，请你单位派代表持本通知书及相关资料在</w:t>
      </w:r>
    </w:p>
    <w:p w14:paraId="2572BEE4">
      <w:pPr>
        <w:spacing w:line="219" w:lineRule="auto"/>
        <w:ind w:left="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接到本通知书后</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30 日内到</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2"/>
          <w:sz w:val="21"/>
          <w:szCs w:val="21"/>
          <w:highlight w:val="none"/>
        </w:rPr>
        <w:t>与我方签订承包合同。在此之前按照招标文件规定向我方提交履约担保。</w:t>
      </w:r>
    </w:p>
    <w:p w14:paraId="6BB0FF5B">
      <w:pPr>
        <w:spacing w:before="158" w:line="221" w:lineRule="auto"/>
        <w:ind w:left="6041"/>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工程概况及中标内容</w:t>
      </w:r>
    </w:p>
    <w:p w14:paraId="39CB8733">
      <w:pPr>
        <w:spacing w:line="127" w:lineRule="exact"/>
        <w:rPr>
          <w:color w:val="auto"/>
          <w:highlight w:val="none"/>
        </w:rPr>
      </w:pPr>
    </w:p>
    <w:tbl>
      <w:tblPr>
        <w:tblStyle w:val="17"/>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2CAE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7D241976">
            <w:pPr>
              <w:pStyle w:val="18"/>
              <w:spacing w:before="97" w:line="221" w:lineRule="auto"/>
              <w:ind w:left="563"/>
              <w:rPr>
                <w:color w:val="auto"/>
                <w:highlight w:val="none"/>
              </w:rPr>
            </w:pPr>
            <w:r>
              <w:rPr>
                <w:color w:val="auto"/>
                <w:spacing w:val="-2"/>
                <w:highlight w:val="none"/>
              </w:rPr>
              <w:t>项目名称</w:t>
            </w:r>
          </w:p>
        </w:tc>
        <w:tc>
          <w:tcPr>
            <w:tcW w:w="12196" w:type="dxa"/>
            <w:gridSpan w:val="5"/>
            <w:vAlign w:val="top"/>
          </w:tcPr>
          <w:p w14:paraId="662CBB0C">
            <w:pPr>
              <w:rPr>
                <w:rFonts w:ascii="Arial"/>
                <w:color w:val="auto"/>
                <w:sz w:val="21"/>
                <w:highlight w:val="none"/>
              </w:rPr>
            </w:pPr>
          </w:p>
        </w:tc>
      </w:tr>
      <w:tr w14:paraId="6FE9F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210955A">
            <w:pPr>
              <w:pStyle w:val="18"/>
              <w:spacing w:before="97" w:line="221" w:lineRule="auto"/>
              <w:ind w:left="560"/>
              <w:rPr>
                <w:color w:val="auto"/>
                <w:highlight w:val="none"/>
              </w:rPr>
            </w:pPr>
            <w:r>
              <w:rPr>
                <w:color w:val="auto"/>
                <w:spacing w:val="-1"/>
                <w:highlight w:val="none"/>
              </w:rPr>
              <w:t>标段名称</w:t>
            </w:r>
          </w:p>
        </w:tc>
        <w:tc>
          <w:tcPr>
            <w:tcW w:w="12196" w:type="dxa"/>
            <w:gridSpan w:val="5"/>
            <w:vAlign w:val="top"/>
          </w:tcPr>
          <w:p w14:paraId="1316DAA5">
            <w:pPr>
              <w:rPr>
                <w:rFonts w:ascii="Arial"/>
                <w:color w:val="auto"/>
                <w:sz w:val="21"/>
                <w:highlight w:val="none"/>
              </w:rPr>
            </w:pPr>
          </w:p>
        </w:tc>
      </w:tr>
      <w:tr w14:paraId="2748E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6B5A2342">
            <w:pPr>
              <w:pStyle w:val="18"/>
              <w:spacing w:before="93" w:line="221" w:lineRule="auto"/>
              <w:ind w:left="562"/>
              <w:rPr>
                <w:color w:val="auto"/>
                <w:highlight w:val="none"/>
              </w:rPr>
            </w:pPr>
            <w:r>
              <w:rPr>
                <w:color w:val="auto"/>
                <w:spacing w:val="-2"/>
                <w:highlight w:val="none"/>
              </w:rPr>
              <w:t>工程性质</w:t>
            </w:r>
          </w:p>
        </w:tc>
        <w:tc>
          <w:tcPr>
            <w:tcW w:w="5108" w:type="dxa"/>
            <w:gridSpan w:val="2"/>
            <w:vAlign w:val="top"/>
          </w:tcPr>
          <w:p w14:paraId="05DFA75B">
            <w:pPr>
              <w:rPr>
                <w:rFonts w:ascii="Arial"/>
                <w:color w:val="auto"/>
                <w:sz w:val="21"/>
                <w:highlight w:val="none"/>
              </w:rPr>
            </w:pPr>
          </w:p>
        </w:tc>
        <w:tc>
          <w:tcPr>
            <w:tcW w:w="2341" w:type="dxa"/>
            <w:vAlign w:val="top"/>
          </w:tcPr>
          <w:p w14:paraId="4CA7F623">
            <w:pPr>
              <w:pStyle w:val="18"/>
              <w:spacing w:before="92" w:line="221" w:lineRule="auto"/>
              <w:ind w:left="422"/>
              <w:rPr>
                <w:color w:val="auto"/>
                <w:highlight w:val="none"/>
              </w:rPr>
            </w:pPr>
            <w:r>
              <w:rPr>
                <w:color w:val="auto"/>
                <w:spacing w:val="-2"/>
                <w:highlight w:val="none"/>
              </w:rPr>
              <w:t>资金来源及比例</w:t>
            </w:r>
          </w:p>
        </w:tc>
        <w:tc>
          <w:tcPr>
            <w:tcW w:w="4747" w:type="dxa"/>
            <w:gridSpan w:val="2"/>
            <w:vAlign w:val="top"/>
          </w:tcPr>
          <w:p w14:paraId="71878D00">
            <w:pPr>
              <w:rPr>
                <w:rFonts w:ascii="Arial"/>
                <w:color w:val="auto"/>
                <w:sz w:val="21"/>
                <w:highlight w:val="none"/>
              </w:rPr>
            </w:pPr>
          </w:p>
        </w:tc>
      </w:tr>
      <w:tr w14:paraId="44DC4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63C84B4F">
            <w:pPr>
              <w:pStyle w:val="18"/>
              <w:spacing w:before="93" w:line="222" w:lineRule="auto"/>
              <w:ind w:left="562"/>
              <w:rPr>
                <w:color w:val="auto"/>
                <w:highlight w:val="none"/>
              </w:rPr>
            </w:pPr>
            <w:r>
              <w:rPr>
                <w:color w:val="auto"/>
                <w:spacing w:val="-2"/>
                <w:highlight w:val="none"/>
              </w:rPr>
              <w:t>建设地址</w:t>
            </w:r>
          </w:p>
        </w:tc>
        <w:tc>
          <w:tcPr>
            <w:tcW w:w="12196" w:type="dxa"/>
            <w:gridSpan w:val="5"/>
            <w:vAlign w:val="top"/>
          </w:tcPr>
          <w:p w14:paraId="6DD12FAC">
            <w:pPr>
              <w:rPr>
                <w:rFonts w:ascii="Arial"/>
                <w:color w:val="auto"/>
                <w:sz w:val="21"/>
                <w:highlight w:val="none"/>
              </w:rPr>
            </w:pPr>
          </w:p>
        </w:tc>
      </w:tr>
      <w:tr w14:paraId="7BAC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32D25F04">
            <w:pPr>
              <w:pStyle w:val="18"/>
              <w:spacing w:before="92" w:line="221" w:lineRule="auto"/>
              <w:ind w:left="579"/>
              <w:rPr>
                <w:color w:val="auto"/>
                <w:highlight w:val="none"/>
              </w:rPr>
            </w:pPr>
            <w:r>
              <w:rPr>
                <w:color w:val="auto"/>
                <w:spacing w:val="-5"/>
                <w:highlight w:val="none"/>
              </w:rPr>
              <w:t>中标内容</w:t>
            </w:r>
          </w:p>
        </w:tc>
        <w:tc>
          <w:tcPr>
            <w:tcW w:w="12196" w:type="dxa"/>
            <w:gridSpan w:val="5"/>
            <w:vAlign w:val="top"/>
          </w:tcPr>
          <w:p w14:paraId="09FEBFF6">
            <w:pPr>
              <w:rPr>
                <w:rFonts w:ascii="Arial"/>
                <w:color w:val="auto"/>
                <w:sz w:val="21"/>
                <w:highlight w:val="none"/>
              </w:rPr>
            </w:pPr>
          </w:p>
        </w:tc>
      </w:tr>
      <w:tr w14:paraId="2A5C0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009D8D68">
            <w:pPr>
              <w:pStyle w:val="18"/>
              <w:spacing w:before="103" w:line="221" w:lineRule="auto"/>
              <w:ind w:left="560"/>
              <w:rPr>
                <w:color w:val="auto"/>
                <w:highlight w:val="none"/>
              </w:rPr>
            </w:pPr>
            <w:r>
              <w:rPr>
                <w:color w:val="auto"/>
                <w:spacing w:val="-1"/>
                <w:highlight w:val="none"/>
              </w:rPr>
              <w:t>计划工期</w:t>
            </w:r>
          </w:p>
        </w:tc>
        <w:tc>
          <w:tcPr>
            <w:tcW w:w="5108" w:type="dxa"/>
            <w:gridSpan w:val="2"/>
            <w:vAlign w:val="top"/>
          </w:tcPr>
          <w:p w14:paraId="6BEF5FDC">
            <w:pPr>
              <w:rPr>
                <w:rFonts w:ascii="Arial"/>
                <w:color w:val="auto"/>
                <w:sz w:val="21"/>
                <w:highlight w:val="none"/>
              </w:rPr>
            </w:pPr>
          </w:p>
        </w:tc>
        <w:tc>
          <w:tcPr>
            <w:tcW w:w="2361" w:type="dxa"/>
            <w:gridSpan w:val="2"/>
            <w:vAlign w:val="top"/>
          </w:tcPr>
          <w:p w14:paraId="5D091577">
            <w:pPr>
              <w:pStyle w:val="18"/>
              <w:spacing w:before="103" w:line="221" w:lineRule="auto"/>
              <w:ind w:left="361"/>
              <w:rPr>
                <w:color w:val="auto"/>
                <w:highlight w:val="none"/>
              </w:rPr>
            </w:pPr>
            <w:r>
              <w:rPr>
                <w:color w:val="auto"/>
                <w:spacing w:val="-3"/>
                <w:highlight w:val="none"/>
              </w:rPr>
              <w:t>总工期（日历天）</w:t>
            </w:r>
          </w:p>
        </w:tc>
        <w:tc>
          <w:tcPr>
            <w:tcW w:w="4727" w:type="dxa"/>
            <w:vAlign w:val="top"/>
          </w:tcPr>
          <w:p w14:paraId="24CD18AE">
            <w:pPr>
              <w:rPr>
                <w:rFonts w:ascii="Arial"/>
                <w:color w:val="auto"/>
                <w:sz w:val="21"/>
                <w:highlight w:val="none"/>
              </w:rPr>
            </w:pPr>
          </w:p>
        </w:tc>
      </w:tr>
      <w:tr w14:paraId="302EC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3D71710C">
            <w:pPr>
              <w:pStyle w:val="18"/>
              <w:spacing w:before="93" w:line="221" w:lineRule="auto"/>
              <w:ind w:left="569"/>
              <w:rPr>
                <w:color w:val="auto"/>
                <w:highlight w:val="none"/>
              </w:rPr>
            </w:pPr>
            <w:r>
              <w:rPr>
                <w:color w:val="auto"/>
                <w:spacing w:val="-3"/>
                <w:highlight w:val="none"/>
              </w:rPr>
              <w:t>资质等级</w:t>
            </w:r>
          </w:p>
        </w:tc>
        <w:tc>
          <w:tcPr>
            <w:tcW w:w="5108" w:type="dxa"/>
            <w:gridSpan w:val="2"/>
            <w:vAlign w:val="top"/>
          </w:tcPr>
          <w:p w14:paraId="1BB90AB6">
            <w:pPr>
              <w:rPr>
                <w:rFonts w:ascii="Arial"/>
                <w:color w:val="auto"/>
                <w:sz w:val="21"/>
                <w:highlight w:val="none"/>
              </w:rPr>
            </w:pPr>
          </w:p>
        </w:tc>
        <w:tc>
          <w:tcPr>
            <w:tcW w:w="2361" w:type="dxa"/>
            <w:gridSpan w:val="2"/>
            <w:vAlign w:val="top"/>
          </w:tcPr>
          <w:p w14:paraId="040CB358">
            <w:pPr>
              <w:pStyle w:val="18"/>
              <w:spacing w:before="94" w:line="221" w:lineRule="auto"/>
              <w:ind w:left="774"/>
              <w:rPr>
                <w:color w:val="auto"/>
                <w:highlight w:val="none"/>
              </w:rPr>
            </w:pPr>
            <w:r>
              <w:rPr>
                <w:color w:val="auto"/>
                <w:spacing w:val="-1"/>
                <w:highlight w:val="none"/>
              </w:rPr>
              <w:t>质量标准</w:t>
            </w:r>
          </w:p>
        </w:tc>
        <w:tc>
          <w:tcPr>
            <w:tcW w:w="4727" w:type="dxa"/>
            <w:vAlign w:val="top"/>
          </w:tcPr>
          <w:p w14:paraId="06D6C2AD">
            <w:pPr>
              <w:rPr>
                <w:rFonts w:ascii="Arial"/>
                <w:color w:val="auto"/>
                <w:sz w:val="21"/>
                <w:highlight w:val="none"/>
              </w:rPr>
            </w:pPr>
          </w:p>
        </w:tc>
      </w:tr>
      <w:tr w14:paraId="44BC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33456D7C">
            <w:pPr>
              <w:pStyle w:val="18"/>
              <w:spacing w:before="99" w:line="221" w:lineRule="auto"/>
              <w:ind w:left="563"/>
              <w:rPr>
                <w:color w:val="auto"/>
                <w:highlight w:val="none"/>
              </w:rPr>
            </w:pPr>
            <w:r>
              <w:rPr>
                <w:color w:val="auto"/>
                <w:spacing w:val="-2"/>
                <w:highlight w:val="none"/>
              </w:rPr>
              <w:t>项目经理</w:t>
            </w:r>
          </w:p>
        </w:tc>
        <w:tc>
          <w:tcPr>
            <w:tcW w:w="2764" w:type="dxa"/>
            <w:vAlign w:val="top"/>
          </w:tcPr>
          <w:p w14:paraId="40FD86F4">
            <w:pPr>
              <w:rPr>
                <w:rFonts w:ascii="Arial"/>
                <w:color w:val="auto"/>
                <w:sz w:val="21"/>
                <w:highlight w:val="none"/>
              </w:rPr>
            </w:pPr>
          </w:p>
        </w:tc>
        <w:tc>
          <w:tcPr>
            <w:tcW w:w="2344" w:type="dxa"/>
            <w:vAlign w:val="top"/>
          </w:tcPr>
          <w:p w14:paraId="3AE02559">
            <w:pPr>
              <w:pStyle w:val="18"/>
              <w:spacing w:before="98" w:line="220" w:lineRule="auto"/>
              <w:ind w:left="461"/>
              <w:rPr>
                <w:color w:val="auto"/>
                <w:highlight w:val="none"/>
              </w:rPr>
            </w:pPr>
            <w:r>
              <w:rPr>
                <w:color w:val="auto"/>
                <w:spacing w:val="-2"/>
                <w:highlight w:val="none"/>
              </w:rPr>
              <w:t>资格证书及编号</w:t>
            </w:r>
          </w:p>
        </w:tc>
        <w:tc>
          <w:tcPr>
            <w:tcW w:w="7088" w:type="dxa"/>
            <w:gridSpan w:val="3"/>
            <w:vAlign w:val="top"/>
          </w:tcPr>
          <w:p w14:paraId="14CF8B47">
            <w:pPr>
              <w:rPr>
                <w:rFonts w:ascii="Arial"/>
                <w:color w:val="auto"/>
                <w:sz w:val="21"/>
                <w:highlight w:val="none"/>
              </w:rPr>
            </w:pPr>
          </w:p>
        </w:tc>
      </w:tr>
      <w:tr w14:paraId="79293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49CA95A3">
            <w:pPr>
              <w:pStyle w:val="18"/>
              <w:spacing w:before="252" w:line="221" w:lineRule="auto"/>
              <w:ind w:left="579"/>
              <w:rPr>
                <w:color w:val="auto"/>
                <w:highlight w:val="none"/>
              </w:rPr>
            </w:pPr>
            <w:r>
              <w:rPr>
                <w:color w:val="auto"/>
                <w:spacing w:val="-5"/>
                <w:highlight w:val="none"/>
              </w:rPr>
              <w:t>中标金额</w:t>
            </w:r>
          </w:p>
        </w:tc>
        <w:tc>
          <w:tcPr>
            <w:tcW w:w="12196" w:type="dxa"/>
            <w:gridSpan w:val="5"/>
            <w:vAlign w:val="top"/>
          </w:tcPr>
          <w:p w14:paraId="2DF609B8">
            <w:pPr>
              <w:pStyle w:val="18"/>
              <w:spacing w:before="95" w:line="221" w:lineRule="auto"/>
              <w:ind w:left="117"/>
              <w:rPr>
                <w:color w:val="auto"/>
                <w:highlight w:val="none"/>
              </w:rPr>
            </w:pPr>
            <w:r>
              <w:rPr>
                <w:color w:val="auto"/>
                <w:spacing w:val="-13"/>
                <w:highlight w:val="none"/>
              </w:rPr>
              <w:t>大写：</w:t>
            </w:r>
          </w:p>
        </w:tc>
      </w:tr>
      <w:tr w14:paraId="7E977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7B6D9177">
            <w:pPr>
              <w:rPr>
                <w:rFonts w:ascii="Arial"/>
                <w:color w:val="auto"/>
                <w:sz w:val="21"/>
                <w:highlight w:val="none"/>
              </w:rPr>
            </w:pPr>
          </w:p>
        </w:tc>
        <w:tc>
          <w:tcPr>
            <w:tcW w:w="12196" w:type="dxa"/>
            <w:gridSpan w:val="5"/>
            <w:vAlign w:val="top"/>
          </w:tcPr>
          <w:p w14:paraId="5F42F366">
            <w:pPr>
              <w:pStyle w:val="18"/>
              <w:spacing w:before="52" w:line="219" w:lineRule="auto"/>
              <w:ind w:left="120"/>
              <w:rPr>
                <w:color w:val="auto"/>
                <w:highlight w:val="none"/>
              </w:rPr>
            </w:pPr>
            <w:r>
              <w:rPr>
                <w:color w:val="auto"/>
                <w:spacing w:val="-14"/>
                <w:highlight w:val="none"/>
              </w:rPr>
              <w:t>小写：</w:t>
            </w:r>
          </w:p>
        </w:tc>
      </w:tr>
      <w:tr w14:paraId="4F3BB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467CA2B2">
            <w:pPr>
              <w:pStyle w:val="18"/>
              <w:spacing w:before="94" w:line="221" w:lineRule="auto"/>
              <w:ind w:left="259"/>
              <w:rPr>
                <w:color w:val="auto"/>
                <w:highlight w:val="none"/>
              </w:rPr>
            </w:pPr>
            <w:r>
              <w:rPr>
                <w:color w:val="auto"/>
                <w:spacing w:val="-3"/>
                <w:highlight w:val="none"/>
              </w:rPr>
              <w:t>需要说明的事项</w:t>
            </w:r>
          </w:p>
        </w:tc>
        <w:tc>
          <w:tcPr>
            <w:tcW w:w="12196" w:type="dxa"/>
            <w:gridSpan w:val="5"/>
            <w:vAlign w:val="top"/>
          </w:tcPr>
          <w:p w14:paraId="1203B0A0">
            <w:pPr>
              <w:rPr>
                <w:rFonts w:ascii="Arial"/>
                <w:color w:val="auto"/>
                <w:sz w:val="21"/>
                <w:highlight w:val="none"/>
              </w:rPr>
            </w:pPr>
          </w:p>
        </w:tc>
      </w:tr>
      <w:tr w14:paraId="3974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40B84D26">
            <w:pPr>
              <w:spacing w:line="471" w:lineRule="auto"/>
              <w:rPr>
                <w:rFonts w:ascii="Arial"/>
                <w:color w:val="auto"/>
                <w:sz w:val="21"/>
                <w:highlight w:val="none"/>
              </w:rPr>
            </w:pPr>
          </w:p>
          <w:p w14:paraId="0B8E33DC">
            <w:pPr>
              <w:pStyle w:val="18"/>
              <w:spacing w:before="68" w:line="220" w:lineRule="auto"/>
              <w:ind w:left="748"/>
              <w:rPr>
                <w:color w:val="auto"/>
                <w:highlight w:val="none"/>
              </w:rPr>
            </w:pPr>
            <w:r>
              <w:rPr>
                <w:color w:val="auto"/>
                <w:spacing w:val="-2"/>
                <w:highlight w:val="none"/>
              </w:rPr>
              <w:t>招标人（盖章）</w:t>
            </w:r>
          </w:p>
          <w:p w14:paraId="0A5BB29E">
            <w:pPr>
              <w:pStyle w:val="18"/>
              <w:spacing w:before="152" w:line="220" w:lineRule="auto"/>
              <w:ind w:left="748"/>
              <w:rPr>
                <w:color w:val="auto"/>
                <w:highlight w:val="none"/>
              </w:rPr>
            </w:pPr>
            <w:r>
              <w:rPr>
                <w:color w:val="auto"/>
                <w:spacing w:val="-2"/>
                <w:highlight w:val="none"/>
              </w:rPr>
              <w:t>法定代表人（签章）</w:t>
            </w:r>
          </w:p>
          <w:p w14:paraId="18329ECE">
            <w:pPr>
              <w:pStyle w:val="18"/>
              <w:spacing w:before="147" w:line="221" w:lineRule="auto"/>
              <w:ind w:left="2735"/>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22"/>
                <w:highlight w:val="none"/>
              </w:rPr>
              <w:t xml:space="preserve">  </w:t>
            </w:r>
            <w:r>
              <w:rPr>
                <w:color w:val="auto"/>
                <w:spacing w:val="-7"/>
                <w:highlight w:val="none"/>
              </w:rPr>
              <w:t>日</w:t>
            </w:r>
          </w:p>
        </w:tc>
        <w:tc>
          <w:tcPr>
            <w:tcW w:w="4705" w:type="dxa"/>
            <w:gridSpan w:val="3"/>
            <w:vAlign w:val="top"/>
          </w:tcPr>
          <w:p w14:paraId="303D4545">
            <w:pPr>
              <w:spacing w:line="471" w:lineRule="auto"/>
              <w:rPr>
                <w:rFonts w:ascii="Arial"/>
                <w:color w:val="auto"/>
                <w:sz w:val="21"/>
                <w:highlight w:val="none"/>
              </w:rPr>
            </w:pPr>
          </w:p>
          <w:p w14:paraId="003815D7">
            <w:pPr>
              <w:pStyle w:val="18"/>
              <w:spacing w:before="68" w:line="220" w:lineRule="auto"/>
              <w:ind w:left="746"/>
              <w:rPr>
                <w:color w:val="auto"/>
                <w:highlight w:val="none"/>
              </w:rPr>
            </w:pPr>
            <w:r>
              <w:rPr>
                <w:color w:val="auto"/>
                <w:spacing w:val="-3"/>
                <w:highlight w:val="none"/>
              </w:rPr>
              <w:t>招标代理（盖章）</w:t>
            </w:r>
          </w:p>
          <w:p w14:paraId="7D5550C6">
            <w:pPr>
              <w:pStyle w:val="18"/>
              <w:spacing w:before="152" w:line="220" w:lineRule="auto"/>
              <w:ind w:left="746"/>
              <w:rPr>
                <w:color w:val="auto"/>
                <w:highlight w:val="none"/>
              </w:rPr>
            </w:pPr>
            <w:r>
              <w:rPr>
                <w:color w:val="auto"/>
                <w:spacing w:val="-2"/>
                <w:highlight w:val="none"/>
              </w:rPr>
              <w:t>法定代表人（签章）</w:t>
            </w:r>
          </w:p>
          <w:p w14:paraId="5A75C35E">
            <w:pPr>
              <w:pStyle w:val="18"/>
              <w:spacing w:before="147" w:line="221" w:lineRule="auto"/>
              <w:ind w:left="2786"/>
              <w:rPr>
                <w:color w:val="auto"/>
                <w:highlight w:val="none"/>
              </w:rPr>
            </w:pPr>
            <w:r>
              <w:rPr>
                <w:color w:val="auto"/>
                <w:spacing w:val="-7"/>
                <w:highlight w:val="none"/>
              </w:rPr>
              <w:t>年</w:t>
            </w:r>
            <w:r>
              <w:rPr>
                <w:color w:val="auto"/>
                <w:spacing w:val="7"/>
                <w:highlight w:val="none"/>
              </w:rPr>
              <w:t xml:space="preserve">  </w:t>
            </w:r>
            <w:r>
              <w:rPr>
                <w:color w:val="auto"/>
                <w:spacing w:val="-7"/>
                <w:highlight w:val="none"/>
              </w:rPr>
              <w:t>月</w:t>
            </w:r>
            <w:r>
              <w:rPr>
                <w:color w:val="auto"/>
                <w:spacing w:val="20"/>
                <w:highlight w:val="none"/>
              </w:rPr>
              <w:t xml:space="preserve">  </w:t>
            </w:r>
            <w:r>
              <w:rPr>
                <w:color w:val="auto"/>
                <w:spacing w:val="-7"/>
                <w:highlight w:val="none"/>
              </w:rPr>
              <w:t>日</w:t>
            </w:r>
          </w:p>
        </w:tc>
        <w:tc>
          <w:tcPr>
            <w:tcW w:w="4727" w:type="dxa"/>
            <w:vAlign w:val="top"/>
          </w:tcPr>
          <w:p w14:paraId="74A9DDD0">
            <w:pPr>
              <w:spacing w:line="471" w:lineRule="auto"/>
              <w:rPr>
                <w:rFonts w:ascii="Arial"/>
                <w:color w:val="auto"/>
                <w:sz w:val="21"/>
                <w:highlight w:val="none"/>
              </w:rPr>
            </w:pPr>
          </w:p>
          <w:p w14:paraId="74EF3157">
            <w:pPr>
              <w:pStyle w:val="18"/>
              <w:spacing w:before="69" w:line="403" w:lineRule="exact"/>
              <w:ind w:left="645"/>
              <w:rPr>
                <w:color w:val="auto"/>
                <w:highlight w:val="none"/>
              </w:rPr>
            </w:pPr>
            <w:r>
              <w:rPr>
                <w:color w:val="auto"/>
                <w:spacing w:val="-3"/>
                <w:position w:val="14"/>
                <w:highlight w:val="none"/>
              </w:rPr>
              <w:t>监管部门（盖章）</w:t>
            </w:r>
          </w:p>
          <w:p w14:paraId="6B623445">
            <w:pPr>
              <w:pStyle w:val="18"/>
              <w:spacing w:line="219" w:lineRule="auto"/>
              <w:ind w:left="646"/>
              <w:rPr>
                <w:color w:val="auto"/>
                <w:highlight w:val="none"/>
              </w:rPr>
            </w:pPr>
            <w:r>
              <w:rPr>
                <w:color w:val="auto"/>
                <w:spacing w:val="-2"/>
                <w:highlight w:val="none"/>
              </w:rPr>
              <w:t>经办人（签章）</w:t>
            </w:r>
          </w:p>
          <w:p w14:paraId="4CCD5D41">
            <w:pPr>
              <w:pStyle w:val="18"/>
              <w:spacing w:before="147" w:line="221" w:lineRule="auto"/>
              <w:ind w:left="2638"/>
              <w:rPr>
                <w:color w:val="auto"/>
                <w:highlight w:val="none"/>
              </w:rPr>
            </w:pPr>
            <w:r>
              <w:rPr>
                <w:color w:val="auto"/>
                <w:spacing w:val="-7"/>
                <w:highlight w:val="none"/>
              </w:rPr>
              <w:t>年</w:t>
            </w:r>
            <w:r>
              <w:rPr>
                <w:color w:val="auto"/>
                <w:spacing w:val="4"/>
                <w:highlight w:val="none"/>
              </w:rPr>
              <w:t xml:space="preserve">  </w:t>
            </w:r>
            <w:r>
              <w:rPr>
                <w:color w:val="auto"/>
                <w:spacing w:val="-7"/>
                <w:highlight w:val="none"/>
              </w:rPr>
              <w:t>月</w:t>
            </w:r>
            <w:r>
              <w:rPr>
                <w:color w:val="auto"/>
                <w:spacing w:val="23"/>
                <w:highlight w:val="none"/>
              </w:rPr>
              <w:t xml:space="preserve">  </w:t>
            </w:r>
            <w:r>
              <w:rPr>
                <w:color w:val="auto"/>
                <w:spacing w:val="-7"/>
                <w:highlight w:val="none"/>
              </w:rPr>
              <w:t>日</w:t>
            </w:r>
          </w:p>
        </w:tc>
      </w:tr>
    </w:tbl>
    <w:p w14:paraId="4AD705DD">
      <w:pPr>
        <w:pStyle w:val="5"/>
        <w:rPr>
          <w:color w:val="auto"/>
          <w:highlight w:val="none"/>
        </w:rPr>
      </w:pPr>
    </w:p>
    <w:p w14:paraId="2F6128E0">
      <w:pPr>
        <w:rPr>
          <w:color w:val="auto"/>
          <w:highlight w:val="none"/>
        </w:rPr>
        <w:sectPr>
          <w:footerReference r:id="rId29" w:type="default"/>
          <w:pgSz w:w="16839" w:h="11905"/>
          <w:pgMar w:top="1011" w:right="1248" w:bottom="991" w:left="1440" w:header="0" w:footer="786" w:gutter="0"/>
          <w:pgNumType w:fmt="decimal"/>
          <w:cols w:space="720" w:num="1"/>
        </w:sectPr>
      </w:pPr>
    </w:p>
    <w:p w14:paraId="59363DAD">
      <w:pPr>
        <w:pStyle w:val="5"/>
        <w:spacing w:line="465" w:lineRule="auto"/>
        <w:rPr>
          <w:color w:val="auto"/>
          <w:highlight w:val="none"/>
        </w:rPr>
      </w:pPr>
    </w:p>
    <w:p w14:paraId="0C5DB61B">
      <w:pPr>
        <w:spacing w:before="78" w:line="220"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附表九：中标结果通知书</w:t>
      </w:r>
    </w:p>
    <w:p w14:paraId="549F4453">
      <w:pPr>
        <w:pStyle w:val="5"/>
        <w:spacing w:line="266" w:lineRule="auto"/>
        <w:rPr>
          <w:color w:val="auto"/>
          <w:highlight w:val="none"/>
        </w:rPr>
      </w:pPr>
    </w:p>
    <w:p w14:paraId="24680C0C">
      <w:pPr>
        <w:pStyle w:val="5"/>
        <w:spacing w:line="266" w:lineRule="auto"/>
        <w:rPr>
          <w:color w:val="auto"/>
          <w:highlight w:val="none"/>
        </w:rPr>
      </w:pPr>
    </w:p>
    <w:p w14:paraId="3F985BD4">
      <w:pPr>
        <w:spacing w:before="88" w:line="225" w:lineRule="auto"/>
        <w:ind w:left="3221"/>
        <w:rPr>
          <w:rFonts w:ascii="黑体" w:hAnsi="黑体" w:eastAsia="黑体" w:cs="黑体"/>
          <w:color w:val="auto"/>
          <w:sz w:val="27"/>
          <w:szCs w:val="27"/>
          <w:highlight w:val="none"/>
        </w:rPr>
      </w:pPr>
      <w:r>
        <w:rPr>
          <w:rFonts w:ascii="黑体" w:hAnsi="黑体" w:eastAsia="黑体" w:cs="黑体"/>
          <w:color w:val="auto"/>
          <w:spacing w:val="4"/>
          <w:sz w:val="27"/>
          <w:szCs w:val="27"/>
          <w:highlight w:val="none"/>
        </w:rPr>
        <w:t>中标结果通知书</w:t>
      </w:r>
    </w:p>
    <w:p w14:paraId="4B5491ED">
      <w:pPr>
        <w:pStyle w:val="5"/>
        <w:spacing w:line="378" w:lineRule="auto"/>
        <w:rPr>
          <w:color w:val="auto"/>
          <w:highlight w:val="none"/>
        </w:rPr>
      </w:pPr>
    </w:p>
    <w:p w14:paraId="351563AD">
      <w:pPr>
        <w:tabs>
          <w:tab w:val="left" w:pos="1166"/>
        </w:tabs>
        <w:spacing w:before="68"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6"/>
          <w:sz w:val="21"/>
          <w:szCs w:val="21"/>
          <w:highlight w:val="none"/>
        </w:rPr>
        <w:t xml:space="preserve"> </w:t>
      </w:r>
      <w:r>
        <w:rPr>
          <w:rFonts w:ascii="宋体" w:hAnsi="宋体" w:eastAsia="宋体" w:cs="宋体"/>
          <w:color w:val="auto"/>
          <w:spacing w:val="-27"/>
          <w:w w:val="98"/>
          <w:sz w:val="21"/>
          <w:szCs w:val="21"/>
          <w:highlight w:val="none"/>
        </w:rPr>
        <w:t>（未中标人名称</w:t>
      </w:r>
      <w:r>
        <w:rPr>
          <w:rFonts w:ascii="宋体" w:hAnsi="宋体" w:eastAsia="宋体" w:cs="宋体"/>
          <w:color w:val="auto"/>
          <w:spacing w:val="-9"/>
          <w:sz w:val="21"/>
          <w:szCs w:val="21"/>
          <w:highlight w:val="none"/>
        </w:rPr>
        <w:t>）：</w:t>
      </w:r>
    </w:p>
    <w:p w14:paraId="16668FEE">
      <w:pPr>
        <w:pStyle w:val="5"/>
        <w:spacing w:line="318" w:lineRule="auto"/>
        <w:rPr>
          <w:color w:val="auto"/>
          <w:highlight w:val="none"/>
        </w:rPr>
      </w:pPr>
    </w:p>
    <w:p w14:paraId="32AE19EF">
      <w:pPr>
        <w:pStyle w:val="5"/>
        <w:spacing w:line="318" w:lineRule="auto"/>
        <w:rPr>
          <w:color w:val="auto"/>
          <w:highlight w:val="none"/>
        </w:rPr>
      </w:pPr>
    </w:p>
    <w:p w14:paraId="5BF95405">
      <w:pPr>
        <w:spacing w:before="68" w:line="422" w:lineRule="auto"/>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我方已接受</w:t>
      </w:r>
      <w:r>
        <w:rPr>
          <w:rFonts w:ascii="宋体" w:hAnsi="宋体" w:eastAsia="宋体" w:cs="宋体"/>
          <w:color w:val="auto"/>
          <w:spacing w:val="-88"/>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（中标人名称）于</w:t>
      </w:r>
      <w:r>
        <w:rPr>
          <w:rFonts w:ascii="宋体" w:hAnsi="宋体" w:eastAsia="宋体" w:cs="宋体"/>
          <w:color w:val="auto"/>
          <w:spacing w:val="-104"/>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 xml:space="preserve"> （投标日期）所递交的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44"/>
          <w:sz w:val="21"/>
          <w:szCs w:val="21"/>
          <w:highlight w:val="none"/>
        </w:rPr>
        <w:t xml:space="preserve"> </w:t>
      </w:r>
      <w:r>
        <w:rPr>
          <w:rFonts w:ascii="宋体" w:hAnsi="宋体" w:eastAsia="宋体" w:cs="宋体"/>
          <w:color w:val="auto"/>
          <w:spacing w:val="-6"/>
          <w:sz w:val="21"/>
          <w:szCs w:val="21"/>
          <w:highlight w:val="none"/>
        </w:rPr>
        <w:t>（标</w:t>
      </w:r>
    </w:p>
    <w:p w14:paraId="228FFC99">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段名称）项目（标段唯一标识码</w:t>
      </w:r>
      <w:r>
        <w:rPr>
          <w:rFonts w:ascii="宋体" w:hAnsi="宋体" w:eastAsia="宋体" w:cs="宋体"/>
          <w:color w:val="auto"/>
          <w:spacing w:val="-5"/>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6"/>
          <w:sz w:val="21"/>
          <w:szCs w:val="21"/>
          <w:highlight w:val="none"/>
        </w:rPr>
        <w:t>投标文件，</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确定</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7"/>
          <w:sz w:val="21"/>
          <w:szCs w:val="21"/>
          <w:highlight w:val="none"/>
        </w:rPr>
        <w:t>中标人名称）为中标人。</w:t>
      </w:r>
    </w:p>
    <w:p w14:paraId="741C414C">
      <w:pPr>
        <w:pStyle w:val="5"/>
        <w:spacing w:line="319" w:lineRule="auto"/>
        <w:rPr>
          <w:color w:val="auto"/>
          <w:highlight w:val="none"/>
        </w:rPr>
      </w:pPr>
    </w:p>
    <w:p w14:paraId="330DBBEF">
      <w:pPr>
        <w:pStyle w:val="5"/>
        <w:spacing w:line="319" w:lineRule="auto"/>
        <w:rPr>
          <w:color w:val="auto"/>
          <w:highlight w:val="none"/>
        </w:rPr>
      </w:pPr>
    </w:p>
    <w:p w14:paraId="73A4B57B">
      <w:pPr>
        <w:spacing w:before="68" w:line="234" w:lineRule="auto"/>
        <w:ind w:left="442"/>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感谢你单位对我方工作的大力支持</w:t>
      </w:r>
      <w:r>
        <w:rPr>
          <w:rFonts w:ascii="Times New Roman" w:hAnsi="Times New Roman" w:eastAsia="Times New Roman" w:cs="Times New Roman"/>
          <w:color w:val="auto"/>
          <w:spacing w:val="-1"/>
          <w:sz w:val="21"/>
          <w:szCs w:val="21"/>
          <w:highlight w:val="none"/>
        </w:rPr>
        <w:t>!</w:t>
      </w:r>
    </w:p>
    <w:p w14:paraId="5ECD6B64">
      <w:pPr>
        <w:pStyle w:val="5"/>
        <w:spacing w:line="256" w:lineRule="auto"/>
        <w:rPr>
          <w:color w:val="auto"/>
          <w:highlight w:val="none"/>
        </w:rPr>
      </w:pPr>
    </w:p>
    <w:p w14:paraId="193ECE70">
      <w:pPr>
        <w:pStyle w:val="5"/>
        <w:spacing w:line="256" w:lineRule="auto"/>
        <w:rPr>
          <w:color w:val="auto"/>
          <w:highlight w:val="none"/>
        </w:rPr>
      </w:pPr>
    </w:p>
    <w:p w14:paraId="531296F3">
      <w:pPr>
        <w:pStyle w:val="5"/>
        <w:spacing w:line="256" w:lineRule="auto"/>
        <w:rPr>
          <w:color w:val="auto"/>
          <w:highlight w:val="none"/>
        </w:rPr>
      </w:pPr>
    </w:p>
    <w:p w14:paraId="79A8F3D3">
      <w:pPr>
        <w:pStyle w:val="5"/>
        <w:spacing w:line="256" w:lineRule="auto"/>
        <w:rPr>
          <w:color w:val="auto"/>
          <w:highlight w:val="none"/>
        </w:rPr>
      </w:pPr>
    </w:p>
    <w:p w14:paraId="4F2BFC61">
      <w:pPr>
        <w:pStyle w:val="5"/>
        <w:spacing w:line="257" w:lineRule="auto"/>
        <w:rPr>
          <w:color w:val="auto"/>
          <w:highlight w:val="none"/>
        </w:rPr>
      </w:pPr>
    </w:p>
    <w:p w14:paraId="43A6F354">
      <w:pPr>
        <w:pStyle w:val="5"/>
        <w:spacing w:line="257" w:lineRule="auto"/>
        <w:rPr>
          <w:color w:val="auto"/>
          <w:highlight w:val="none"/>
        </w:rPr>
      </w:pPr>
    </w:p>
    <w:p w14:paraId="7A42F23A">
      <w:pPr>
        <w:pStyle w:val="5"/>
        <w:spacing w:line="257" w:lineRule="auto"/>
        <w:rPr>
          <w:color w:val="auto"/>
          <w:highlight w:val="none"/>
        </w:rPr>
      </w:pPr>
    </w:p>
    <w:p w14:paraId="1246E43B">
      <w:pPr>
        <w:pStyle w:val="5"/>
        <w:spacing w:line="257" w:lineRule="auto"/>
        <w:rPr>
          <w:color w:val="auto"/>
          <w:highlight w:val="none"/>
        </w:rPr>
      </w:pPr>
    </w:p>
    <w:p w14:paraId="396DE576">
      <w:pPr>
        <w:spacing w:before="69" w:line="422" w:lineRule="auto"/>
        <w:ind w:left="4557" w:right="116"/>
        <w:jc w:val="right"/>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招标人</w:t>
      </w:r>
      <w:r>
        <w:rPr>
          <w:rFonts w:ascii="宋体" w:hAnsi="宋体" w:eastAsia="宋体" w:cs="宋体"/>
          <w:color w:val="auto"/>
          <w:spacing w:val="1"/>
          <w:sz w:val="21"/>
          <w:szCs w:val="21"/>
          <w:highlight w:val="none"/>
        </w:rPr>
        <w:t>：</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24"/>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法定代表人</w:t>
      </w:r>
      <w:r>
        <w:rPr>
          <w:rFonts w:ascii="宋体" w:hAnsi="宋体" w:eastAsia="宋体" w:cs="宋体"/>
          <w:color w:val="auto"/>
          <w:spacing w:val="-17"/>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w:t>
      </w:r>
      <w:r>
        <w:rPr>
          <w:rFonts w:ascii="宋体" w:hAnsi="宋体" w:eastAsia="宋体" w:cs="宋体"/>
          <w:color w:val="auto"/>
          <w:spacing w:val="2"/>
          <w:sz w:val="21"/>
          <w:szCs w:val="21"/>
          <w:highlight w:val="none"/>
        </w:rPr>
        <w:t>签章）</w:t>
      </w:r>
    </w:p>
    <w:p w14:paraId="1401BB0A">
      <w:pPr>
        <w:tabs>
          <w:tab w:val="left" w:pos="6020"/>
        </w:tabs>
        <w:spacing w:before="1" w:line="220" w:lineRule="auto"/>
        <w:ind w:left="528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7FF51DC7">
      <w:pPr>
        <w:spacing w:line="220" w:lineRule="auto"/>
        <w:rPr>
          <w:rFonts w:ascii="宋体" w:hAnsi="宋体" w:eastAsia="宋体" w:cs="宋体"/>
          <w:color w:val="auto"/>
          <w:sz w:val="21"/>
          <w:szCs w:val="21"/>
          <w:highlight w:val="none"/>
        </w:rPr>
        <w:sectPr>
          <w:footerReference r:id="rId30" w:type="default"/>
          <w:pgSz w:w="11905" w:h="16839"/>
          <w:pgMar w:top="1431" w:right="1785" w:bottom="996" w:left="1785" w:header="0" w:footer="791" w:gutter="0"/>
          <w:pgNumType w:fmt="decimal"/>
          <w:cols w:space="720" w:num="1"/>
        </w:sectPr>
      </w:pPr>
    </w:p>
    <w:p w14:paraId="3FE5B5AF">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附表十：异议书</w:t>
      </w:r>
    </w:p>
    <w:p w14:paraId="47A61B92">
      <w:pPr>
        <w:pStyle w:val="5"/>
        <w:spacing w:line="266" w:lineRule="auto"/>
        <w:rPr>
          <w:color w:val="auto"/>
          <w:highlight w:val="none"/>
        </w:rPr>
      </w:pPr>
    </w:p>
    <w:p w14:paraId="6F10D4E6">
      <w:pPr>
        <w:pStyle w:val="5"/>
        <w:spacing w:line="266" w:lineRule="auto"/>
        <w:rPr>
          <w:color w:val="auto"/>
          <w:highlight w:val="none"/>
        </w:rPr>
      </w:pPr>
    </w:p>
    <w:p w14:paraId="3E63F8C2">
      <w:pPr>
        <w:spacing w:before="88" w:line="225" w:lineRule="auto"/>
        <w:ind w:left="3762"/>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rPr>
        <w:t>异议书</w:t>
      </w:r>
    </w:p>
    <w:p w14:paraId="07913B9F">
      <w:pPr>
        <w:pStyle w:val="5"/>
        <w:spacing w:line="392" w:lineRule="auto"/>
        <w:rPr>
          <w:color w:val="auto"/>
          <w:highlight w:val="none"/>
        </w:rPr>
      </w:pPr>
    </w:p>
    <w:p w14:paraId="1B9FCD36">
      <w:pPr>
        <w:spacing w:before="69" w:line="220" w:lineRule="auto"/>
        <w:ind w:left="21"/>
        <w:outlineLvl w:val="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一、异议项目基本情况</w:t>
      </w:r>
    </w:p>
    <w:p w14:paraId="49D34861">
      <w:pPr>
        <w:tabs>
          <w:tab w:val="left" w:pos="8144"/>
          <w:tab w:val="left" w:pos="8149"/>
        </w:tabs>
        <w:spacing w:before="249" w:line="439" w:lineRule="auto"/>
        <w:ind w:left="442" w:right="183"/>
        <w:jc w:val="both"/>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 xml:space="preserve">标段唯一标识码：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招标人名称：</w:t>
      </w:r>
      <w:r>
        <w:rPr>
          <w:rFonts w:ascii="宋体" w:hAnsi="宋体" w:eastAsia="宋体" w:cs="宋体"/>
          <w:color w:val="auto"/>
          <w:spacing w:val="-1"/>
          <w:sz w:val="21"/>
          <w:szCs w:val="21"/>
          <w:highlight w:val="none"/>
          <w:u w:val="single" w:color="auto"/>
        </w:rPr>
        <w:t xml:space="preserve">                                                              </w:t>
      </w:r>
    </w:p>
    <w:p w14:paraId="75F064B7">
      <w:pPr>
        <w:spacing w:line="219" w:lineRule="auto"/>
        <w:ind w:left="44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 xml:space="preserve">招标代理机构名称： </w:t>
      </w:r>
      <w:r>
        <w:rPr>
          <w:rFonts w:ascii="宋体" w:hAnsi="宋体" w:eastAsia="宋体" w:cs="宋体"/>
          <w:color w:val="auto"/>
          <w:sz w:val="21"/>
          <w:szCs w:val="21"/>
          <w:highlight w:val="none"/>
          <w:u w:val="single" w:color="auto"/>
        </w:rPr>
        <w:t xml:space="preserve">                                                        </w:t>
      </w:r>
    </w:p>
    <w:p w14:paraId="55944E01">
      <w:pPr>
        <w:spacing w:before="248" w:line="220" w:lineRule="auto"/>
        <w:ind w:left="21"/>
        <w:outlineLvl w:val="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二、异议人基本情况</w:t>
      </w:r>
    </w:p>
    <w:p w14:paraId="6DA04A75">
      <w:pPr>
        <w:tabs>
          <w:tab w:val="left" w:pos="8139"/>
          <w:tab w:val="left" w:pos="8149"/>
        </w:tabs>
        <w:spacing w:before="255" w:line="439" w:lineRule="auto"/>
        <w:ind w:left="440" w:right="183" w:firstLine="2"/>
        <w:jc w:val="both"/>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单位名称：</w:t>
      </w:r>
      <w:r>
        <w:rPr>
          <w:rFonts w:ascii="宋体" w:hAnsi="宋体" w:eastAsia="宋体" w:cs="宋体"/>
          <w:color w:val="auto"/>
          <w:spacing w:val="21"/>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1"/>
          <w:sz w:val="21"/>
          <w:szCs w:val="21"/>
          <w:highlight w:val="none"/>
        </w:rPr>
        <w:t>住所地：</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21"/>
          <w:sz w:val="21"/>
          <w:szCs w:val="21"/>
          <w:highlight w:val="none"/>
        </w:rPr>
        <w:t>邮编：</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法定代表人：</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5"/>
          <w:sz w:val="21"/>
          <w:szCs w:val="21"/>
          <w:highlight w:val="none"/>
        </w:rPr>
        <w:t>联系电话：</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 xml:space="preserve">异议人授权代表：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12"/>
          <w:sz w:val="21"/>
          <w:szCs w:val="21"/>
          <w:highlight w:val="none"/>
        </w:rPr>
        <w:t xml:space="preserve">性别： </w:t>
      </w:r>
      <w:r>
        <w:rPr>
          <w:rFonts w:ascii="宋体" w:hAnsi="宋体" w:eastAsia="宋体" w:cs="宋体"/>
          <w:color w:val="auto"/>
          <w:sz w:val="21"/>
          <w:szCs w:val="21"/>
          <w:highlight w:val="none"/>
          <w:u w:val="single" w:color="auto"/>
        </w:rPr>
        <w:t xml:space="preserve">                      </w:t>
      </w:r>
    </w:p>
    <w:p w14:paraId="5021A790">
      <w:pPr>
        <w:spacing w:line="222" w:lineRule="auto"/>
        <w:ind w:left="441"/>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 xml:space="preserve">地址：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1"/>
          <w:sz w:val="21"/>
          <w:szCs w:val="21"/>
          <w:highlight w:val="none"/>
        </w:rPr>
        <w:t xml:space="preserve"> </w:t>
      </w:r>
      <w:r>
        <w:rPr>
          <w:rFonts w:ascii="宋体" w:hAnsi="宋体" w:eastAsia="宋体" w:cs="宋体"/>
          <w:color w:val="auto"/>
          <w:spacing w:val="-31"/>
          <w:sz w:val="21"/>
          <w:szCs w:val="21"/>
          <w:highlight w:val="none"/>
        </w:rPr>
        <w:t>联系电话：</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u w:val="single" w:color="auto"/>
        </w:rPr>
        <w:t xml:space="preserve">                 </w:t>
      </w:r>
    </w:p>
    <w:p w14:paraId="0FECD31E">
      <w:pPr>
        <w:spacing w:before="246" w:line="220" w:lineRule="auto"/>
        <w:ind w:left="18"/>
        <w:outlineLvl w:val="9"/>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三、异议事项基本事实</w:t>
      </w:r>
    </w:p>
    <w:p w14:paraId="009A0EF2">
      <w:pPr>
        <w:spacing w:before="254"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异议事项</w:t>
      </w:r>
      <w:r>
        <w:rPr>
          <w:rFonts w:ascii="宋体" w:hAnsi="宋体" w:eastAsia="宋体" w:cs="宋体"/>
          <w:color w:val="auto"/>
          <w:spacing w:val="-28"/>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pacing w:val="-2"/>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w:t>
      </w:r>
    </w:p>
    <w:p w14:paraId="7D752BBF">
      <w:pPr>
        <w:spacing w:before="248"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异议事项</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2</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w:t>
      </w:r>
    </w:p>
    <w:p w14:paraId="0CE7C37C">
      <w:pPr>
        <w:spacing w:before="248"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异议事项</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w:t>
      </w:r>
    </w:p>
    <w:p w14:paraId="085160AC">
      <w:pPr>
        <w:spacing w:before="248" w:line="499" w:lineRule="exact"/>
        <w:ind w:left="38"/>
        <w:rPr>
          <w:rFonts w:ascii="宋体" w:hAnsi="宋体" w:eastAsia="宋体" w:cs="宋体"/>
          <w:color w:val="auto"/>
          <w:sz w:val="21"/>
          <w:szCs w:val="21"/>
          <w:highlight w:val="none"/>
        </w:rPr>
      </w:pPr>
      <w:r>
        <w:rPr>
          <w:rFonts w:ascii="宋体" w:hAnsi="宋体" w:eastAsia="宋体" w:cs="宋体"/>
          <w:color w:val="auto"/>
          <w:spacing w:val="-1"/>
          <w:position w:val="22"/>
          <w:sz w:val="21"/>
          <w:szCs w:val="21"/>
          <w:highlight w:val="none"/>
          <w14:textOutline w14:w="3831" w14:cap="flat" w14:cmpd="sng">
            <w14:solidFill>
              <w14:srgbClr w14:val="000000"/>
            </w14:solidFill>
            <w14:prstDash w14:val="solid"/>
            <w14:miter w14:val="0"/>
          </w14:textOutline>
        </w:rPr>
        <w:t>四、有效线索和相关证明材料：见附件</w:t>
      </w:r>
    </w:p>
    <w:p w14:paraId="59356E0C">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五、相关请求及主张：</w:t>
      </w:r>
    </w:p>
    <w:p w14:paraId="23D4C48D">
      <w:pPr>
        <w:spacing w:before="248" w:line="441" w:lineRule="auto"/>
        <w:ind w:left="447" w:right="118"/>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（一</w:t>
      </w:r>
      <w:r>
        <w:rPr>
          <w:rFonts w:ascii="宋体" w:hAnsi="宋体" w:eastAsia="宋体" w:cs="宋体"/>
          <w:color w:val="auto"/>
          <w:spacing w:val="-24"/>
          <w:sz w:val="21"/>
          <w:szCs w:val="21"/>
          <w:highlight w:val="none"/>
        </w:rPr>
        <w:t>）</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1"/>
          <w:w w:val="98"/>
          <w:sz w:val="21"/>
          <w:szCs w:val="21"/>
          <w:highlight w:val="none"/>
        </w:rPr>
        <w:t>（二</w:t>
      </w:r>
      <w:r>
        <w:rPr>
          <w:rFonts w:ascii="宋体" w:hAnsi="宋体" w:eastAsia="宋体" w:cs="宋体"/>
          <w:color w:val="auto"/>
          <w:spacing w:val="-24"/>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w:t>
      </w:r>
    </w:p>
    <w:p w14:paraId="0E3C5BAF">
      <w:pPr>
        <w:spacing w:before="1" w:line="232" w:lineRule="auto"/>
        <w:ind w:left="447"/>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（三）</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2"/>
          <w:sz w:val="21"/>
          <w:szCs w:val="21"/>
          <w:highlight w:val="none"/>
        </w:rPr>
        <w:t>。</w:t>
      </w:r>
    </w:p>
    <w:p w14:paraId="335402F1">
      <w:pPr>
        <w:pStyle w:val="5"/>
        <w:spacing w:line="475" w:lineRule="auto"/>
        <w:rPr>
          <w:color w:val="auto"/>
          <w:highlight w:val="none"/>
        </w:rPr>
      </w:pPr>
    </w:p>
    <w:p w14:paraId="60C653DC">
      <w:pPr>
        <w:spacing w:before="69" w:line="220" w:lineRule="auto"/>
        <w:ind w:left="43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异议人（公章</w:t>
      </w:r>
      <w:r>
        <w:rPr>
          <w:rFonts w:ascii="宋体" w:hAnsi="宋体" w:eastAsia="宋体" w:cs="宋体"/>
          <w:color w:val="auto"/>
          <w:spacing w:val="-2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p>
    <w:p w14:paraId="11288818">
      <w:pPr>
        <w:spacing w:before="158" w:line="220" w:lineRule="auto"/>
        <w:ind w:left="264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 xml:space="preserve">法定代表人或授权代表（签字或盖章） </w:t>
      </w:r>
      <w:r>
        <w:rPr>
          <w:rFonts w:ascii="宋体" w:hAnsi="宋体" w:eastAsia="宋体" w:cs="宋体"/>
          <w:color w:val="auto"/>
          <w:spacing w:val="-6"/>
          <w:sz w:val="21"/>
          <w:szCs w:val="21"/>
          <w:highlight w:val="none"/>
          <w:u w:val="single" w:color="auto"/>
        </w:rPr>
        <w:t xml:space="preserve">                    </w:t>
      </w:r>
    </w:p>
    <w:p w14:paraId="5C3F5ACE">
      <w:pPr>
        <w:spacing w:before="157" w:line="221" w:lineRule="auto"/>
        <w:ind w:left="4261"/>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13"/>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16"/>
          <w:sz w:val="21"/>
          <w:szCs w:val="21"/>
          <w:highlight w:val="none"/>
        </w:rPr>
        <w:t xml:space="preserve">   </w:t>
      </w:r>
      <w:r>
        <w:rPr>
          <w:rFonts w:ascii="宋体" w:hAnsi="宋体" w:eastAsia="宋体" w:cs="宋体"/>
          <w:color w:val="auto"/>
          <w:spacing w:val="-25"/>
          <w:sz w:val="21"/>
          <w:szCs w:val="21"/>
          <w:highlight w:val="none"/>
        </w:rPr>
        <w:t>日</w:t>
      </w:r>
    </w:p>
    <w:p w14:paraId="108B0F6D">
      <w:pPr>
        <w:spacing w:line="221" w:lineRule="auto"/>
        <w:rPr>
          <w:rFonts w:ascii="宋体" w:hAnsi="宋体" w:eastAsia="宋体" w:cs="宋体"/>
          <w:color w:val="auto"/>
          <w:sz w:val="21"/>
          <w:szCs w:val="21"/>
          <w:highlight w:val="none"/>
        </w:rPr>
        <w:sectPr>
          <w:footerReference r:id="rId31" w:type="default"/>
          <w:pgSz w:w="11905" w:h="16839"/>
          <w:pgMar w:top="1431" w:right="1785" w:bottom="996" w:left="1785" w:header="0" w:footer="791" w:gutter="0"/>
          <w:pgNumType w:fmt="decimal"/>
          <w:cols w:space="720" w:num="1"/>
        </w:sectPr>
      </w:pPr>
    </w:p>
    <w:p w14:paraId="43BAE0C2">
      <w:pPr>
        <w:pStyle w:val="5"/>
        <w:spacing w:line="249" w:lineRule="auto"/>
        <w:rPr>
          <w:color w:val="auto"/>
          <w:highlight w:val="none"/>
        </w:rPr>
      </w:pPr>
    </w:p>
    <w:p w14:paraId="5C72493B">
      <w:pPr>
        <w:pStyle w:val="5"/>
        <w:spacing w:line="250" w:lineRule="auto"/>
        <w:rPr>
          <w:color w:val="auto"/>
          <w:highlight w:val="none"/>
        </w:rPr>
      </w:pPr>
    </w:p>
    <w:p w14:paraId="44EE91BA">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附表十一：异议答复函</w:t>
      </w:r>
    </w:p>
    <w:p w14:paraId="32AD9CAE">
      <w:pPr>
        <w:pStyle w:val="5"/>
        <w:spacing w:line="263" w:lineRule="auto"/>
        <w:rPr>
          <w:color w:val="auto"/>
          <w:highlight w:val="none"/>
        </w:rPr>
      </w:pPr>
    </w:p>
    <w:p w14:paraId="0462E03E">
      <w:pPr>
        <w:pStyle w:val="5"/>
        <w:spacing w:line="264" w:lineRule="auto"/>
        <w:rPr>
          <w:color w:val="auto"/>
          <w:highlight w:val="none"/>
        </w:rPr>
      </w:pPr>
    </w:p>
    <w:p w14:paraId="669A65FD">
      <w:pPr>
        <w:spacing w:before="88" w:line="225" w:lineRule="auto"/>
        <w:ind w:left="3484"/>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异议答复函</w:t>
      </w:r>
    </w:p>
    <w:p w14:paraId="2AD79E9A">
      <w:pPr>
        <w:tabs>
          <w:tab w:val="left" w:pos="128"/>
        </w:tabs>
        <w:spacing w:before="276" w:line="212"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8"/>
          <w:sz w:val="21"/>
          <w:szCs w:val="21"/>
          <w:highlight w:val="none"/>
          <w:u w:val="single" w:color="auto"/>
        </w:rPr>
        <w:t>（</w:t>
      </w:r>
      <w:r>
        <w:rPr>
          <w:rFonts w:ascii="宋体" w:hAnsi="宋体" w:eastAsia="宋体" w:cs="宋体"/>
          <w:i/>
          <w:iCs/>
          <w:color w:val="auto"/>
          <w:spacing w:val="-18"/>
          <w:sz w:val="22"/>
          <w:szCs w:val="22"/>
          <w:highlight w:val="none"/>
          <w:u w:val="single" w:color="auto"/>
        </w:rPr>
        <w:t>异议人名称</w:t>
      </w:r>
      <w:r>
        <w:rPr>
          <w:rFonts w:ascii="宋体" w:hAnsi="宋体" w:eastAsia="宋体" w:cs="宋体"/>
          <w:color w:val="auto"/>
          <w:spacing w:val="-29"/>
          <w:sz w:val="21"/>
          <w:szCs w:val="21"/>
          <w:highlight w:val="none"/>
          <w:u w:val="single" w:color="auto"/>
        </w:rPr>
        <w:t>）</w:t>
      </w:r>
      <w:r>
        <w:rPr>
          <w:rFonts w:ascii="宋体" w:hAnsi="宋体" w:eastAsia="宋体" w:cs="宋体"/>
          <w:color w:val="auto"/>
          <w:spacing w:val="-29"/>
          <w:sz w:val="21"/>
          <w:szCs w:val="21"/>
          <w:highlight w:val="none"/>
        </w:rPr>
        <w:t>：</w:t>
      </w:r>
    </w:p>
    <w:p w14:paraId="5211A784">
      <w:pPr>
        <w:pStyle w:val="5"/>
        <w:spacing w:line="358" w:lineRule="auto"/>
        <w:rPr>
          <w:color w:val="auto"/>
          <w:highlight w:val="none"/>
        </w:rPr>
      </w:pPr>
    </w:p>
    <w:p w14:paraId="60BDDB84">
      <w:pPr>
        <w:spacing w:before="68" w:line="359"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您单位对</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（标段名称）项目（标段唯一标识码</w:t>
      </w:r>
      <w:r>
        <w:rPr>
          <w:rFonts w:ascii="宋体" w:hAnsi="宋体" w:eastAsia="宋体" w:cs="宋体"/>
          <w:color w:val="auto"/>
          <w:spacing w:val="2"/>
          <w:sz w:val="21"/>
          <w:szCs w:val="21"/>
          <w:highlight w:val="none"/>
        </w:rPr>
        <w:t>：</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75"/>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5"/>
          <w:sz w:val="21"/>
          <w:szCs w:val="21"/>
          <w:highlight w:val="none"/>
        </w:rPr>
        <w:t>的异议书于</w:t>
      </w:r>
      <w:r>
        <w:rPr>
          <w:rFonts w:ascii="宋体" w:hAnsi="宋体" w:eastAsia="宋体" w:cs="宋体"/>
          <w:color w:val="auto"/>
          <w:spacing w:val="-104"/>
          <w:sz w:val="21"/>
          <w:szCs w:val="21"/>
          <w:highlight w:val="none"/>
        </w:rPr>
        <w:t xml:space="preserve"> </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5"/>
          <w:sz w:val="21"/>
          <w:szCs w:val="21"/>
          <w:highlight w:val="none"/>
        </w:rPr>
        <w:t>年</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5"/>
          <w:sz w:val="21"/>
          <w:szCs w:val="21"/>
          <w:highlight w:val="none"/>
        </w:rPr>
        <w:t>月</w:t>
      </w:r>
    </w:p>
    <w:p w14:paraId="41A25A95">
      <w:pPr>
        <w:spacing w:line="220" w:lineRule="auto"/>
        <w:ind w:left="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日收悉。经查，针对异议内容，现答复如下：</w:t>
      </w:r>
    </w:p>
    <w:p w14:paraId="31271B9C">
      <w:pPr>
        <w:spacing w:before="161" w:line="221" w:lineRule="auto"/>
        <w:ind w:left="4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异议事项</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z w:val="21"/>
          <w:szCs w:val="21"/>
          <w:highlight w:val="none"/>
          <w:u w:val="single" w:color="auto"/>
        </w:rPr>
        <w:t xml:space="preserve">                                                                </w:t>
      </w:r>
    </w:p>
    <w:p w14:paraId="3F94FCEA">
      <w:pPr>
        <w:pStyle w:val="5"/>
        <w:spacing w:line="247" w:lineRule="auto"/>
        <w:rPr>
          <w:color w:val="auto"/>
          <w:highlight w:val="none"/>
        </w:rPr>
      </w:pPr>
    </w:p>
    <w:p w14:paraId="59222F89">
      <w:pPr>
        <w:pStyle w:val="5"/>
        <w:spacing w:line="247" w:lineRule="auto"/>
        <w:rPr>
          <w:color w:val="auto"/>
          <w:highlight w:val="none"/>
        </w:rPr>
      </w:pPr>
    </w:p>
    <w:p w14:paraId="2E240849">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答复</w:t>
      </w:r>
      <w:r>
        <w:rPr>
          <w:rFonts w:ascii="宋体" w:hAnsi="宋体" w:eastAsia="宋体" w:cs="宋体"/>
          <w:color w:val="auto"/>
          <w:spacing w:val="-29"/>
          <w:sz w:val="21"/>
          <w:szCs w:val="21"/>
          <w:highlight w:val="none"/>
        </w:rPr>
        <w:t xml:space="preserve"> </w:t>
      </w:r>
      <w:r>
        <w:rPr>
          <w:rFonts w:ascii="宋体" w:hAnsi="宋体" w:eastAsia="宋体" w:cs="宋体"/>
          <w:color w:val="auto"/>
          <w:spacing w:val="-7"/>
          <w:sz w:val="21"/>
          <w:szCs w:val="21"/>
          <w:highlight w:val="none"/>
        </w:rPr>
        <w:t>1：</w:t>
      </w:r>
      <w:r>
        <w:rPr>
          <w:rFonts w:ascii="宋体" w:hAnsi="宋体" w:eastAsia="宋体" w:cs="宋体"/>
          <w:color w:val="auto"/>
          <w:sz w:val="21"/>
          <w:szCs w:val="21"/>
          <w:highlight w:val="none"/>
          <w:u w:val="single" w:color="auto"/>
        </w:rPr>
        <w:t xml:space="preserve">                                                                    </w:t>
      </w:r>
    </w:p>
    <w:p w14:paraId="40E90AE4">
      <w:pPr>
        <w:pStyle w:val="5"/>
        <w:spacing w:line="246" w:lineRule="auto"/>
        <w:rPr>
          <w:color w:val="auto"/>
          <w:highlight w:val="none"/>
        </w:rPr>
      </w:pPr>
    </w:p>
    <w:p w14:paraId="329B62B6">
      <w:pPr>
        <w:pStyle w:val="5"/>
        <w:spacing w:line="247" w:lineRule="auto"/>
        <w:rPr>
          <w:color w:val="auto"/>
          <w:highlight w:val="none"/>
        </w:rPr>
      </w:pPr>
    </w:p>
    <w:p w14:paraId="7163731F">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异议事项</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2：</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29EE8253">
      <w:pPr>
        <w:pStyle w:val="5"/>
        <w:spacing w:line="247" w:lineRule="auto"/>
        <w:rPr>
          <w:color w:val="auto"/>
          <w:highlight w:val="none"/>
        </w:rPr>
      </w:pPr>
    </w:p>
    <w:p w14:paraId="15B2D330">
      <w:pPr>
        <w:pStyle w:val="5"/>
        <w:spacing w:line="247" w:lineRule="auto"/>
        <w:rPr>
          <w:color w:val="auto"/>
          <w:highlight w:val="none"/>
        </w:rPr>
      </w:pPr>
    </w:p>
    <w:p w14:paraId="7CFA2A4F">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答复</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2：</w:t>
      </w:r>
      <w:r>
        <w:rPr>
          <w:rFonts w:ascii="宋体" w:hAnsi="宋体" w:eastAsia="宋体" w:cs="宋体"/>
          <w:color w:val="auto"/>
          <w:spacing w:val="-3"/>
          <w:sz w:val="21"/>
          <w:szCs w:val="21"/>
          <w:highlight w:val="none"/>
          <w:u w:val="single" w:color="auto"/>
        </w:rPr>
        <w:t xml:space="preserve">                                                                     </w:t>
      </w:r>
    </w:p>
    <w:p w14:paraId="1546BF81">
      <w:pPr>
        <w:pStyle w:val="5"/>
        <w:spacing w:line="246" w:lineRule="auto"/>
        <w:rPr>
          <w:color w:val="auto"/>
          <w:highlight w:val="none"/>
        </w:rPr>
      </w:pPr>
    </w:p>
    <w:p w14:paraId="02A3BA24">
      <w:pPr>
        <w:pStyle w:val="5"/>
        <w:spacing w:line="246" w:lineRule="auto"/>
        <w:rPr>
          <w:color w:val="auto"/>
          <w:highlight w:val="none"/>
        </w:rPr>
      </w:pPr>
    </w:p>
    <w:p w14:paraId="59CA27C9">
      <w:pPr>
        <w:spacing w:before="69" w:line="221"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异议事项</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3BF5D996">
      <w:pPr>
        <w:pStyle w:val="5"/>
        <w:spacing w:line="249" w:lineRule="auto"/>
        <w:rPr>
          <w:color w:val="auto"/>
          <w:highlight w:val="none"/>
        </w:rPr>
      </w:pPr>
    </w:p>
    <w:p w14:paraId="0E88A39F">
      <w:pPr>
        <w:pStyle w:val="5"/>
        <w:spacing w:line="249" w:lineRule="auto"/>
        <w:rPr>
          <w:color w:val="auto"/>
          <w:highlight w:val="none"/>
        </w:rPr>
      </w:pPr>
    </w:p>
    <w:p w14:paraId="2AC50F75">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答复</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3：</w:t>
      </w:r>
      <w:r>
        <w:rPr>
          <w:rFonts w:ascii="宋体" w:hAnsi="宋体" w:eastAsia="宋体" w:cs="宋体"/>
          <w:color w:val="auto"/>
          <w:spacing w:val="-3"/>
          <w:sz w:val="21"/>
          <w:szCs w:val="21"/>
          <w:highlight w:val="none"/>
          <w:u w:val="single" w:color="auto"/>
        </w:rPr>
        <w:t xml:space="preserve">                                                                     </w:t>
      </w:r>
    </w:p>
    <w:p w14:paraId="2E9278AE">
      <w:pPr>
        <w:spacing w:before="156"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相关证明材料：见附件（如有）</w:t>
      </w:r>
    </w:p>
    <w:p w14:paraId="1C193FF0">
      <w:pPr>
        <w:pStyle w:val="5"/>
        <w:spacing w:line="361" w:lineRule="auto"/>
        <w:rPr>
          <w:color w:val="auto"/>
          <w:highlight w:val="none"/>
        </w:rPr>
      </w:pPr>
    </w:p>
    <w:p w14:paraId="0AB27742">
      <w:pPr>
        <w:spacing w:before="69" w:line="408" w:lineRule="exact"/>
        <w:ind w:right="1"/>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如您单位对本答复不满意， 可以在异议答复期满十日内向有关行政监督部门依法提起</w:t>
      </w:r>
    </w:p>
    <w:p w14:paraId="150933F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投诉。感谢您对我们工作的监督和支持。</w:t>
      </w:r>
    </w:p>
    <w:p w14:paraId="1D1692F2">
      <w:pPr>
        <w:pStyle w:val="5"/>
        <w:spacing w:line="261" w:lineRule="auto"/>
        <w:rPr>
          <w:color w:val="auto"/>
          <w:highlight w:val="none"/>
        </w:rPr>
      </w:pPr>
    </w:p>
    <w:p w14:paraId="153CB9FD">
      <w:pPr>
        <w:pStyle w:val="5"/>
        <w:spacing w:line="261" w:lineRule="auto"/>
        <w:rPr>
          <w:color w:val="auto"/>
          <w:highlight w:val="none"/>
        </w:rPr>
      </w:pPr>
    </w:p>
    <w:p w14:paraId="396DE815">
      <w:pPr>
        <w:pStyle w:val="5"/>
        <w:spacing w:line="261" w:lineRule="auto"/>
        <w:rPr>
          <w:color w:val="auto"/>
          <w:highlight w:val="none"/>
        </w:rPr>
      </w:pPr>
    </w:p>
    <w:p w14:paraId="745BE852">
      <w:pPr>
        <w:pStyle w:val="5"/>
        <w:spacing w:line="261" w:lineRule="auto"/>
        <w:rPr>
          <w:color w:val="auto"/>
          <w:highlight w:val="none"/>
        </w:rPr>
      </w:pPr>
    </w:p>
    <w:p w14:paraId="031B699F">
      <w:pPr>
        <w:pStyle w:val="5"/>
        <w:spacing w:line="261" w:lineRule="auto"/>
        <w:rPr>
          <w:color w:val="auto"/>
          <w:highlight w:val="none"/>
        </w:rPr>
      </w:pPr>
    </w:p>
    <w:p w14:paraId="50DDC1C8">
      <w:pPr>
        <w:spacing w:before="69" w:line="359" w:lineRule="auto"/>
        <w:ind w:left="42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招标人或招标代理机构（公章</w:t>
      </w:r>
      <w:r>
        <w:rPr>
          <w:rFonts w:ascii="宋体" w:hAnsi="宋体" w:eastAsia="宋体" w:cs="宋体"/>
          <w:color w:val="auto"/>
          <w:spacing w:val="-3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41624093">
      <w:pPr>
        <w:spacing w:before="1" w:line="219" w:lineRule="auto"/>
        <w:ind w:left="389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 xml:space="preserve">法定代表人或授权代表（签字或盖章） </w:t>
      </w:r>
      <w:r>
        <w:rPr>
          <w:rFonts w:ascii="宋体" w:hAnsi="宋体" w:eastAsia="宋体" w:cs="宋体"/>
          <w:color w:val="auto"/>
          <w:sz w:val="21"/>
          <w:szCs w:val="21"/>
          <w:highlight w:val="none"/>
          <w:u w:val="single" w:color="auto"/>
        </w:rPr>
        <w:t xml:space="preserve">    </w:t>
      </w:r>
    </w:p>
    <w:p w14:paraId="2090A8A9">
      <w:pPr>
        <w:spacing w:before="157" w:line="221" w:lineRule="auto"/>
        <w:ind w:left="4261"/>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1"/>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17"/>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15"/>
          <w:sz w:val="21"/>
          <w:szCs w:val="21"/>
          <w:highlight w:val="none"/>
        </w:rPr>
        <w:t xml:space="preserve">   </w:t>
      </w:r>
      <w:r>
        <w:rPr>
          <w:rFonts w:ascii="宋体" w:hAnsi="宋体" w:eastAsia="宋体" w:cs="宋体"/>
          <w:color w:val="auto"/>
          <w:spacing w:val="-25"/>
          <w:sz w:val="21"/>
          <w:szCs w:val="21"/>
          <w:highlight w:val="none"/>
        </w:rPr>
        <w:t>日</w:t>
      </w:r>
    </w:p>
    <w:p w14:paraId="6235F056">
      <w:pPr>
        <w:spacing w:line="221" w:lineRule="auto"/>
        <w:rPr>
          <w:rFonts w:ascii="宋体" w:hAnsi="宋体" w:eastAsia="宋体" w:cs="宋体"/>
          <w:color w:val="auto"/>
          <w:sz w:val="21"/>
          <w:szCs w:val="21"/>
          <w:highlight w:val="none"/>
        </w:rPr>
        <w:sectPr>
          <w:footerReference r:id="rId32" w:type="default"/>
          <w:pgSz w:w="11905" w:h="16839"/>
          <w:pgMar w:top="1431" w:right="1785" w:bottom="996" w:left="1785" w:header="0" w:footer="791" w:gutter="0"/>
          <w:pgNumType w:fmt="decimal"/>
          <w:cols w:space="720" w:num="1"/>
        </w:sectPr>
      </w:pPr>
    </w:p>
    <w:p w14:paraId="260EFB2B">
      <w:pPr>
        <w:pStyle w:val="5"/>
        <w:spacing w:line="248" w:lineRule="auto"/>
        <w:rPr>
          <w:color w:val="auto"/>
          <w:highlight w:val="none"/>
        </w:rPr>
      </w:pPr>
    </w:p>
    <w:p w14:paraId="01221CF0">
      <w:pPr>
        <w:pStyle w:val="5"/>
        <w:spacing w:line="248" w:lineRule="auto"/>
        <w:rPr>
          <w:color w:val="auto"/>
          <w:highlight w:val="none"/>
        </w:rPr>
      </w:pPr>
    </w:p>
    <w:p w14:paraId="1D0F6EF1">
      <w:pPr>
        <w:pStyle w:val="5"/>
        <w:spacing w:line="248" w:lineRule="auto"/>
        <w:rPr>
          <w:color w:val="auto"/>
          <w:highlight w:val="none"/>
        </w:rPr>
      </w:pPr>
    </w:p>
    <w:p w14:paraId="2835C90A">
      <w:pPr>
        <w:pStyle w:val="5"/>
        <w:spacing w:line="248" w:lineRule="auto"/>
        <w:rPr>
          <w:color w:val="auto"/>
          <w:highlight w:val="none"/>
        </w:rPr>
      </w:pPr>
    </w:p>
    <w:p w14:paraId="585F6681">
      <w:pPr>
        <w:pStyle w:val="5"/>
        <w:spacing w:line="248" w:lineRule="auto"/>
        <w:rPr>
          <w:color w:val="auto"/>
          <w:highlight w:val="none"/>
        </w:rPr>
      </w:pPr>
    </w:p>
    <w:p w14:paraId="6467E847">
      <w:pPr>
        <w:pStyle w:val="5"/>
        <w:spacing w:line="248" w:lineRule="auto"/>
        <w:rPr>
          <w:color w:val="auto"/>
          <w:highlight w:val="none"/>
        </w:rPr>
      </w:pPr>
    </w:p>
    <w:p w14:paraId="2E8CAE50">
      <w:pPr>
        <w:pStyle w:val="5"/>
        <w:spacing w:line="248" w:lineRule="auto"/>
        <w:rPr>
          <w:color w:val="auto"/>
          <w:highlight w:val="none"/>
        </w:rPr>
      </w:pPr>
    </w:p>
    <w:p w14:paraId="3EE41704">
      <w:pPr>
        <w:pStyle w:val="5"/>
        <w:spacing w:line="248" w:lineRule="auto"/>
        <w:rPr>
          <w:color w:val="auto"/>
          <w:highlight w:val="none"/>
        </w:rPr>
      </w:pPr>
    </w:p>
    <w:p w14:paraId="3EABB8EC">
      <w:pPr>
        <w:pStyle w:val="5"/>
        <w:spacing w:line="248" w:lineRule="auto"/>
        <w:rPr>
          <w:color w:val="auto"/>
          <w:highlight w:val="none"/>
        </w:rPr>
      </w:pPr>
    </w:p>
    <w:p w14:paraId="6CAF1BBB">
      <w:pPr>
        <w:pStyle w:val="5"/>
        <w:spacing w:line="248" w:lineRule="auto"/>
        <w:rPr>
          <w:color w:val="auto"/>
          <w:highlight w:val="none"/>
        </w:rPr>
      </w:pPr>
    </w:p>
    <w:p w14:paraId="063DCFE1">
      <w:pPr>
        <w:pStyle w:val="5"/>
        <w:spacing w:line="249" w:lineRule="auto"/>
        <w:rPr>
          <w:color w:val="auto"/>
          <w:highlight w:val="none"/>
        </w:rPr>
      </w:pPr>
    </w:p>
    <w:p w14:paraId="29CACF02">
      <w:pPr>
        <w:pStyle w:val="5"/>
        <w:spacing w:line="249" w:lineRule="auto"/>
        <w:rPr>
          <w:color w:val="auto"/>
          <w:highlight w:val="none"/>
        </w:rPr>
      </w:pPr>
    </w:p>
    <w:p w14:paraId="7E4643A5">
      <w:pPr>
        <w:pStyle w:val="5"/>
        <w:spacing w:line="249" w:lineRule="auto"/>
        <w:rPr>
          <w:color w:val="auto"/>
          <w:highlight w:val="none"/>
        </w:rPr>
      </w:pPr>
    </w:p>
    <w:p w14:paraId="2D8977BB">
      <w:pPr>
        <w:pStyle w:val="5"/>
        <w:spacing w:line="249" w:lineRule="auto"/>
        <w:rPr>
          <w:color w:val="auto"/>
          <w:highlight w:val="none"/>
        </w:rPr>
      </w:pPr>
    </w:p>
    <w:p w14:paraId="0AF3563F">
      <w:pPr>
        <w:pStyle w:val="5"/>
        <w:spacing w:line="249" w:lineRule="auto"/>
        <w:rPr>
          <w:color w:val="auto"/>
          <w:highlight w:val="none"/>
        </w:rPr>
      </w:pPr>
    </w:p>
    <w:p w14:paraId="1BC478D1">
      <w:pPr>
        <w:spacing w:before="104" w:line="219" w:lineRule="auto"/>
        <w:ind w:left="2899"/>
        <w:outlineLvl w:val="0"/>
        <w:rPr>
          <w:rFonts w:ascii="黑体" w:hAnsi="黑体" w:eastAsia="黑体" w:cs="黑体"/>
          <w:color w:val="auto"/>
          <w:sz w:val="32"/>
          <w:szCs w:val="32"/>
          <w:highlight w:val="none"/>
        </w:rPr>
      </w:pPr>
      <w:bookmarkStart w:id="84" w:name="_Toc19837"/>
      <w:bookmarkStart w:id="85" w:name="_Toc24539"/>
      <w:bookmarkStart w:id="86" w:name="_Toc15942"/>
      <w:bookmarkStart w:id="87" w:name="_Toc18341"/>
      <w:r>
        <w:rPr>
          <w:rFonts w:ascii="黑体" w:hAnsi="黑体" w:eastAsia="黑体" w:cs="黑体"/>
          <w:color w:val="auto"/>
          <w:spacing w:val="-1"/>
          <w:sz w:val="32"/>
          <w:szCs w:val="32"/>
          <w:highlight w:val="none"/>
        </w:rPr>
        <w:t>第三章  评标办法</w:t>
      </w:r>
      <w:bookmarkEnd w:id="84"/>
      <w:bookmarkEnd w:id="85"/>
      <w:bookmarkEnd w:id="86"/>
      <w:bookmarkEnd w:id="87"/>
    </w:p>
    <w:p w14:paraId="27EBC167">
      <w:pPr>
        <w:spacing w:line="219" w:lineRule="auto"/>
        <w:rPr>
          <w:rFonts w:ascii="黑体" w:hAnsi="黑体" w:eastAsia="黑体" w:cs="黑体"/>
          <w:color w:val="auto"/>
          <w:sz w:val="32"/>
          <w:szCs w:val="32"/>
          <w:highlight w:val="none"/>
        </w:rPr>
        <w:sectPr>
          <w:footerReference r:id="rId33" w:type="default"/>
          <w:pgSz w:w="11905" w:h="16839"/>
          <w:pgMar w:top="1431" w:right="1785" w:bottom="996" w:left="1785" w:header="0" w:footer="791" w:gutter="0"/>
          <w:pgNumType w:fmt="decimal"/>
          <w:cols w:space="720" w:num="1"/>
        </w:sectPr>
      </w:pPr>
    </w:p>
    <w:p w14:paraId="287B96E5">
      <w:pPr>
        <w:spacing w:before="64" w:line="219" w:lineRule="auto"/>
        <w:ind w:left="3201"/>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第三章  评标办法</w:t>
      </w:r>
    </w:p>
    <w:p w14:paraId="5D768B9C">
      <w:pPr>
        <w:pStyle w:val="5"/>
        <w:spacing w:line="426" w:lineRule="auto"/>
        <w:rPr>
          <w:color w:val="auto"/>
          <w:highlight w:val="none"/>
        </w:rPr>
      </w:pPr>
    </w:p>
    <w:p w14:paraId="279AFC8D">
      <w:pPr>
        <w:pStyle w:val="24"/>
        <w:jc w:val="center"/>
        <w:rPr>
          <w:color w:val="auto"/>
          <w:highlight w:val="none"/>
        </w:rPr>
      </w:pPr>
      <w:bookmarkStart w:id="88" w:name="_Toc155889699"/>
      <w:bookmarkStart w:id="89" w:name="_Toc256000081"/>
      <w:bookmarkStart w:id="90" w:name="_Toc8180"/>
      <w:bookmarkStart w:id="91" w:name="_Toc20756"/>
      <w:bookmarkStart w:id="92" w:name="_Toc4470"/>
      <w:bookmarkStart w:id="93" w:name="_Toc27994"/>
      <w:r>
        <w:rPr>
          <w:rFonts w:hint="eastAsia"/>
          <w:color w:val="auto"/>
          <w:highlight w:val="none"/>
        </w:rPr>
        <w:t>评标办法前附表</w:t>
      </w:r>
      <w:bookmarkEnd w:id="88"/>
      <w:r>
        <w:rPr>
          <w:rFonts w:hint="eastAsia"/>
          <w:color w:val="auto"/>
          <w:highlight w:val="none"/>
        </w:rPr>
        <w:t>（综合评估法）</w:t>
      </w:r>
      <w:bookmarkEnd w:id="89"/>
      <w:bookmarkEnd w:id="90"/>
      <w:bookmarkEnd w:id="91"/>
      <w:bookmarkEnd w:id="92"/>
      <w:bookmarkEnd w:id="93"/>
    </w:p>
    <w:p w14:paraId="6A290DE7">
      <w:pPr>
        <w:rPr>
          <w:rFonts w:ascii="黑体" w:hAnsi="宋体" w:eastAsia="黑体"/>
          <w:color w:val="auto"/>
          <w:sz w:val="28"/>
          <w:szCs w:val="28"/>
          <w:highlight w:val="none"/>
        </w:rPr>
      </w:pPr>
    </w:p>
    <w:tbl>
      <w:tblPr>
        <w:tblStyle w:val="12"/>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14:paraId="674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14:paraId="779B2EDB">
            <w:pPr>
              <w:spacing w:line="420" w:lineRule="exact"/>
              <w:jc w:val="center"/>
              <w:rPr>
                <w:rFonts w:ascii="宋体" w:hAnsi="宋体"/>
                <w:b/>
                <w:color w:val="auto"/>
                <w:szCs w:val="21"/>
                <w:highlight w:val="none"/>
              </w:rPr>
            </w:pPr>
            <w:bookmarkStart w:id="94" w:name="_Hlk154665296"/>
            <w:bookmarkStart w:id="95" w:name="_Hlk121668541"/>
            <w:r>
              <w:rPr>
                <w:rFonts w:hint="eastAsia" w:ascii="宋体" w:hAnsi="宋体"/>
                <w:b/>
                <w:color w:val="auto"/>
                <w:szCs w:val="21"/>
                <w:highlight w:val="none"/>
              </w:rPr>
              <w:t>条款号</w:t>
            </w:r>
          </w:p>
        </w:tc>
        <w:tc>
          <w:tcPr>
            <w:tcW w:w="2340" w:type="dxa"/>
            <w:gridSpan w:val="2"/>
            <w:vAlign w:val="center"/>
          </w:tcPr>
          <w:p w14:paraId="118C0693">
            <w:pPr>
              <w:spacing w:line="420" w:lineRule="exact"/>
              <w:jc w:val="center"/>
              <w:rPr>
                <w:rFonts w:ascii="宋体" w:hAnsi="宋体"/>
                <w:b/>
                <w:color w:val="auto"/>
                <w:szCs w:val="21"/>
                <w:highlight w:val="none"/>
              </w:rPr>
            </w:pPr>
            <w:r>
              <w:rPr>
                <w:rFonts w:hint="eastAsia" w:ascii="宋体" w:hAnsi="宋体"/>
                <w:b/>
                <w:color w:val="auto"/>
                <w:szCs w:val="21"/>
                <w:highlight w:val="none"/>
              </w:rPr>
              <w:t>评审因素</w:t>
            </w:r>
          </w:p>
        </w:tc>
        <w:tc>
          <w:tcPr>
            <w:tcW w:w="4791" w:type="dxa"/>
            <w:gridSpan w:val="2"/>
            <w:vAlign w:val="center"/>
          </w:tcPr>
          <w:p w14:paraId="1A4505EA">
            <w:pPr>
              <w:spacing w:line="420" w:lineRule="exact"/>
              <w:jc w:val="center"/>
              <w:rPr>
                <w:rFonts w:ascii="宋体" w:hAnsi="宋体"/>
                <w:b/>
                <w:color w:val="auto"/>
                <w:szCs w:val="21"/>
                <w:highlight w:val="none"/>
              </w:rPr>
            </w:pPr>
            <w:r>
              <w:rPr>
                <w:rFonts w:hint="eastAsia" w:ascii="宋体" w:hAnsi="宋体"/>
                <w:b/>
                <w:color w:val="auto"/>
                <w:szCs w:val="21"/>
                <w:highlight w:val="none"/>
              </w:rPr>
              <w:t>评审标准</w:t>
            </w:r>
          </w:p>
        </w:tc>
      </w:tr>
      <w:tr w14:paraId="08AF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0B96113">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restart"/>
            <w:vAlign w:val="center"/>
          </w:tcPr>
          <w:p w14:paraId="0F4F7D84">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780229C6">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投标人名称</w:t>
            </w:r>
          </w:p>
        </w:tc>
        <w:tc>
          <w:tcPr>
            <w:tcW w:w="4791" w:type="dxa"/>
            <w:gridSpan w:val="2"/>
            <w:vAlign w:val="center"/>
          </w:tcPr>
          <w:p w14:paraId="159ADB66">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与营业执照、资质证书、安全生产许可证一致</w:t>
            </w:r>
          </w:p>
        </w:tc>
      </w:tr>
      <w:tr w14:paraId="486B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1A6A672">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1EEB1E96">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77A5C1D4">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投标文件签字盖章</w:t>
            </w:r>
          </w:p>
        </w:tc>
        <w:tc>
          <w:tcPr>
            <w:tcW w:w="4791" w:type="dxa"/>
            <w:gridSpan w:val="2"/>
            <w:vAlign w:val="center"/>
          </w:tcPr>
          <w:p w14:paraId="021F20A6">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符合第二章“投标人须知”第3.7.3（4）目规定</w:t>
            </w:r>
          </w:p>
        </w:tc>
      </w:tr>
      <w:tr w14:paraId="0592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2CFD655">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110CE349">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7D45E9EC">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投标文件格式、内容</w:t>
            </w:r>
          </w:p>
        </w:tc>
        <w:tc>
          <w:tcPr>
            <w:tcW w:w="4791" w:type="dxa"/>
            <w:gridSpan w:val="2"/>
            <w:vAlign w:val="center"/>
          </w:tcPr>
          <w:p w14:paraId="24284F92">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符合第八章“投标文件格式”的要求且实质性内容齐全</w:t>
            </w:r>
          </w:p>
        </w:tc>
      </w:tr>
      <w:tr w14:paraId="3ACD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E104D90">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3C4F1B7E">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659031DC">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报价唯一</w:t>
            </w:r>
          </w:p>
        </w:tc>
        <w:tc>
          <w:tcPr>
            <w:tcW w:w="4791" w:type="dxa"/>
            <w:gridSpan w:val="2"/>
            <w:vAlign w:val="center"/>
          </w:tcPr>
          <w:p w14:paraId="448D82BF">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投标报价文件（包括投标函）中的任何单价、合价或总价只能有一个有效报价</w:t>
            </w:r>
          </w:p>
        </w:tc>
      </w:tr>
      <w:tr w14:paraId="3C4E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E00F454">
            <w:pPr>
              <w:spacing w:line="420" w:lineRule="exact"/>
              <w:jc w:val="center"/>
              <w:rPr>
                <w:rFonts w:hint="eastAsia" w:ascii="宋体" w:hAnsi="宋体" w:eastAsia="宋体" w:cs="宋体"/>
                <w:b w:val="0"/>
                <w:i w:val="0"/>
                <w:color w:val="auto"/>
                <w:szCs w:val="21"/>
                <w:highlight w:val="none"/>
                <w:u w:val="none" w:color="auto"/>
              </w:rPr>
            </w:pPr>
          </w:p>
        </w:tc>
        <w:tc>
          <w:tcPr>
            <w:tcW w:w="1059" w:type="dxa"/>
            <w:vMerge w:val="continue"/>
            <w:vAlign w:val="center"/>
          </w:tcPr>
          <w:p w14:paraId="2B39148B">
            <w:pPr>
              <w:spacing w:line="420" w:lineRule="exact"/>
              <w:jc w:val="center"/>
              <w:rPr>
                <w:rFonts w:hint="eastAsia" w:ascii="宋体" w:hAnsi="宋体" w:eastAsia="宋体" w:cs="宋体"/>
                <w:b w:val="0"/>
                <w:i w:val="0"/>
                <w:color w:val="auto"/>
                <w:szCs w:val="21"/>
                <w:highlight w:val="none"/>
                <w:u w:val="none" w:color="auto"/>
              </w:rPr>
            </w:pPr>
          </w:p>
        </w:tc>
        <w:tc>
          <w:tcPr>
            <w:tcW w:w="2340" w:type="dxa"/>
            <w:gridSpan w:val="2"/>
            <w:shd w:val="clear" w:color="auto" w:fill="auto"/>
            <w:vAlign w:val="center"/>
          </w:tcPr>
          <w:p w14:paraId="22C243C6">
            <w:pPr>
              <w:spacing w:line="420" w:lineRule="exact"/>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报价表格的完整性</w:t>
            </w:r>
          </w:p>
        </w:tc>
        <w:tc>
          <w:tcPr>
            <w:tcW w:w="4791" w:type="dxa"/>
            <w:gridSpan w:val="2"/>
            <w:shd w:val="clear" w:color="auto" w:fill="auto"/>
            <w:vAlign w:val="center"/>
          </w:tcPr>
          <w:p w14:paraId="740A88BC">
            <w:pPr>
              <w:spacing w:line="420" w:lineRule="exac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应按招标文件的要求完整报送投标报价应有表格</w:t>
            </w:r>
          </w:p>
        </w:tc>
      </w:tr>
      <w:tr w14:paraId="12CA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B7BF539">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5140F891">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3607207A">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项目经理实名认证</w:t>
            </w:r>
          </w:p>
        </w:tc>
        <w:tc>
          <w:tcPr>
            <w:tcW w:w="4791" w:type="dxa"/>
            <w:gridSpan w:val="2"/>
            <w:vAlign w:val="center"/>
          </w:tcPr>
          <w:p w14:paraId="6399ADE4">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项目经理通过二次刷卡实名认证（无在建工程和不良行为）</w:t>
            </w:r>
          </w:p>
        </w:tc>
      </w:tr>
      <w:tr w14:paraId="3089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1632DA83">
            <w:pPr>
              <w:spacing w:line="420" w:lineRule="exact"/>
              <w:jc w:val="center"/>
              <w:rPr>
                <w:rFonts w:hint="eastAsia" w:ascii="宋体" w:hAnsi="宋体" w:eastAsia="宋体" w:cs="宋体"/>
                <w:b w:val="0"/>
                <w:i w:val="0"/>
                <w:color w:val="auto"/>
                <w:szCs w:val="21"/>
                <w:highlight w:val="none"/>
                <w:u w:val="none" w:color="auto"/>
              </w:rPr>
            </w:pPr>
          </w:p>
        </w:tc>
        <w:tc>
          <w:tcPr>
            <w:tcW w:w="1059" w:type="dxa"/>
            <w:vMerge w:val="continue"/>
            <w:vAlign w:val="center"/>
          </w:tcPr>
          <w:p w14:paraId="3602B8EE">
            <w:pPr>
              <w:spacing w:line="420" w:lineRule="exact"/>
              <w:jc w:val="center"/>
              <w:rPr>
                <w:rFonts w:hint="eastAsia" w:ascii="宋体" w:hAnsi="宋体" w:eastAsia="宋体" w:cs="宋体"/>
                <w:b w:val="0"/>
                <w:i w:val="0"/>
                <w:color w:val="auto"/>
                <w:szCs w:val="21"/>
                <w:highlight w:val="none"/>
                <w:u w:val="none" w:color="auto"/>
              </w:rPr>
            </w:pPr>
          </w:p>
        </w:tc>
        <w:tc>
          <w:tcPr>
            <w:tcW w:w="2340" w:type="dxa"/>
            <w:gridSpan w:val="2"/>
            <w:shd w:val="clear" w:color="auto" w:fill="auto"/>
            <w:vAlign w:val="center"/>
          </w:tcPr>
          <w:p w14:paraId="6DF3DC72">
            <w:pPr>
              <w:spacing w:line="420" w:lineRule="exact"/>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法定代表人或授权委托人实名认证</w:t>
            </w:r>
          </w:p>
        </w:tc>
        <w:tc>
          <w:tcPr>
            <w:tcW w:w="4791" w:type="dxa"/>
            <w:gridSpan w:val="2"/>
            <w:shd w:val="clear" w:color="auto" w:fill="auto"/>
            <w:vAlign w:val="center"/>
          </w:tcPr>
          <w:p w14:paraId="140B8039">
            <w:pPr>
              <w:spacing w:line="420" w:lineRule="exac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法定代表人或授权委托人完成实名认证</w:t>
            </w:r>
          </w:p>
        </w:tc>
      </w:tr>
      <w:tr w14:paraId="7C14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84EDB08">
            <w:pPr>
              <w:spacing w:line="420" w:lineRule="exact"/>
              <w:jc w:val="center"/>
              <w:rPr>
                <w:rFonts w:hint="eastAsia" w:ascii="宋体" w:hAnsi="宋体" w:eastAsia="宋体" w:cs="宋体"/>
                <w:b w:val="0"/>
                <w:i w:val="0"/>
                <w:color w:val="auto"/>
                <w:szCs w:val="21"/>
                <w:highlight w:val="none"/>
                <w:u w:val="none" w:color="auto"/>
              </w:rPr>
            </w:pPr>
          </w:p>
        </w:tc>
        <w:tc>
          <w:tcPr>
            <w:tcW w:w="1059" w:type="dxa"/>
            <w:vMerge w:val="continue"/>
            <w:vAlign w:val="center"/>
          </w:tcPr>
          <w:p w14:paraId="551B217D">
            <w:pPr>
              <w:spacing w:line="420" w:lineRule="exact"/>
              <w:jc w:val="center"/>
              <w:rPr>
                <w:rFonts w:hint="eastAsia" w:ascii="宋体" w:hAnsi="宋体" w:eastAsia="宋体" w:cs="宋体"/>
                <w:b w:val="0"/>
                <w:i w:val="0"/>
                <w:color w:val="auto"/>
                <w:szCs w:val="21"/>
                <w:highlight w:val="none"/>
                <w:u w:val="none" w:color="auto"/>
              </w:rPr>
            </w:pPr>
          </w:p>
        </w:tc>
        <w:tc>
          <w:tcPr>
            <w:tcW w:w="2340" w:type="dxa"/>
            <w:gridSpan w:val="2"/>
            <w:shd w:val="clear" w:color="auto" w:fill="auto"/>
            <w:vAlign w:val="center"/>
          </w:tcPr>
          <w:p w14:paraId="06202B90">
            <w:pPr>
              <w:spacing w:line="420" w:lineRule="exact"/>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模块化暗标</w:t>
            </w:r>
          </w:p>
        </w:tc>
        <w:tc>
          <w:tcPr>
            <w:tcW w:w="4791" w:type="dxa"/>
            <w:gridSpan w:val="2"/>
            <w:shd w:val="clear" w:color="auto" w:fill="auto"/>
            <w:vAlign w:val="center"/>
          </w:tcPr>
          <w:p w14:paraId="205474F3">
            <w:pPr>
              <w:spacing w:line="420" w:lineRule="exac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符合第二章“投标人须知”第3.7.4项规定</w:t>
            </w:r>
          </w:p>
        </w:tc>
      </w:tr>
      <w:tr w14:paraId="4804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4F693B2">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2CABA601">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shd w:val="clear" w:color="auto" w:fill="auto"/>
            <w:vAlign w:val="center"/>
          </w:tcPr>
          <w:p w14:paraId="5616EBBD">
            <w:pPr>
              <w:spacing w:line="420" w:lineRule="exact"/>
              <w:jc w:val="center"/>
              <w:rPr>
                <w:rFonts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行为雷同分析</w:t>
            </w:r>
          </w:p>
        </w:tc>
        <w:tc>
          <w:tcPr>
            <w:tcW w:w="4791" w:type="dxa"/>
            <w:gridSpan w:val="2"/>
            <w:shd w:val="clear" w:color="auto" w:fill="auto"/>
            <w:vAlign w:val="center"/>
          </w:tcPr>
          <w:p w14:paraId="0AB0D96D">
            <w:pPr>
              <w:spacing w:line="420" w:lineRule="exact"/>
              <w:rPr>
                <w:rFonts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不存在投标行为雷同情形</w:t>
            </w:r>
          </w:p>
        </w:tc>
      </w:tr>
      <w:tr w14:paraId="13CE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59D4AD0B">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restart"/>
            <w:vAlign w:val="center"/>
          </w:tcPr>
          <w:p w14:paraId="76601CC0">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6CCD1E35">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营业执照</w:t>
            </w:r>
          </w:p>
        </w:tc>
        <w:tc>
          <w:tcPr>
            <w:tcW w:w="4791" w:type="dxa"/>
            <w:gridSpan w:val="2"/>
            <w:vAlign w:val="center"/>
          </w:tcPr>
          <w:p w14:paraId="4CBBE827">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具备有效的营业执照</w:t>
            </w:r>
          </w:p>
        </w:tc>
      </w:tr>
      <w:tr w14:paraId="131D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58E3479">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1A6C469B">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0AEA9EBD">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安全生产许可证</w:t>
            </w:r>
          </w:p>
        </w:tc>
        <w:tc>
          <w:tcPr>
            <w:tcW w:w="4791" w:type="dxa"/>
            <w:gridSpan w:val="2"/>
            <w:vAlign w:val="center"/>
          </w:tcPr>
          <w:p w14:paraId="1EA7A7F6">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具备有效的安全生产许可证</w:t>
            </w:r>
          </w:p>
        </w:tc>
      </w:tr>
      <w:tr w14:paraId="4723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05BA8AA">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7EF3C361">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1D3014F5">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资质等级</w:t>
            </w:r>
          </w:p>
        </w:tc>
        <w:tc>
          <w:tcPr>
            <w:tcW w:w="4791" w:type="dxa"/>
            <w:gridSpan w:val="2"/>
            <w:vAlign w:val="center"/>
          </w:tcPr>
          <w:p w14:paraId="4ADBF323">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3281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5617282">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4954C3FE">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6600BA17">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项目经理资格</w:t>
            </w:r>
          </w:p>
        </w:tc>
        <w:tc>
          <w:tcPr>
            <w:tcW w:w="4791" w:type="dxa"/>
            <w:gridSpan w:val="2"/>
            <w:vAlign w:val="center"/>
          </w:tcPr>
          <w:p w14:paraId="617D5F6B">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4A21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30D12187">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5B790A74">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110497E6">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其他要求</w:t>
            </w:r>
          </w:p>
        </w:tc>
        <w:tc>
          <w:tcPr>
            <w:tcW w:w="4791" w:type="dxa"/>
            <w:gridSpan w:val="2"/>
            <w:vAlign w:val="center"/>
          </w:tcPr>
          <w:p w14:paraId="1164C4DB">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10B4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2E576F6">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6839091D">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2140D3C8">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不存在禁止投标的情形</w:t>
            </w:r>
          </w:p>
        </w:tc>
        <w:tc>
          <w:tcPr>
            <w:tcW w:w="4791" w:type="dxa"/>
            <w:gridSpan w:val="2"/>
            <w:vAlign w:val="center"/>
          </w:tcPr>
          <w:p w14:paraId="78BCA47C">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不存在第二章“投标人须知”第1.4.3项规定的任何一种情形</w:t>
            </w:r>
          </w:p>
        </w:tc>
      </w:tr>
      <w:tr w14:paraId="739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FD52E94">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restart"/>
            <w:vAlign w:val="center"/>
          </w:tcPr>
          <w:p w14:paraId="01810484">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4AFEBEEE">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投标内容</w:t>
            </w:r>
          </w:p>
        </w:tc>
        <w:tc>
          <w:tcPr>
            <w:tcW w:w="4791" w:type="dxa"/>
            <w:gridSpan w:val="2"/>
            <w:vAlign w:val="center"/>
          </w:tcPr>
          <w:p w14:paraId="4A88DBFA">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符合第二章“投标人须知”第1.3.1项规定</w:t>
            </w:r>
          </w:p>
        </w:tc>
      </w:tr>
      <w:tr w14:paraId="58B6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2260F00">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61E8DB8F">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71FD162F">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计划工期</w:t>
            </w:r>
          </w:p>
        </w:tc>
        <w:tc>
          <w:tcPr>
            <w:tcW w:w="4791" w:type="dxa"/>
            <w:gridSpan w:val="2"/>
            <w:vAlign w:val="center"/>
          </w:tcPr>
          <w:p w14:paraId="56FB2F09">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符合第二章“投标人须知”第1.3.2项规定</w:t>
            </w:r>
          </w:p>
        </w:tc>
      </w:tr>
      <w:tr w14:paraId="413B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7644844">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50000BDA">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08577744">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工程质量</w:t>
            </w:r>
          </w:p>
        </w:tc>
        <w:tc>
          <w:tcPr>
            <w:tcW w:w="4791" w:type="dxa"/>
            <w:gridSpan w:val="2"/>
            <w:vAlign w:val="center"/>
          </w:tcPr>
          <w:p w14:paraId="3AFEE626">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符合第二章“投标人须知”第1.3.3项规定</w:t>
            </w:r>
          </w:p>
        </w:tc>
      </w:tr>
      <w:tr w14:paraId="236D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170A028D">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405301E8">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4A2E334D">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投标有效期</w:t>
            </w:r>
          </w:p>
        </w:tc>
        <w:tc>
          <w:tcPr>
            <w:tcW w:w="4791" w:type="dxa"/>
            <w:gridSpan w:val="2"/>
            <w:vAlign w:val="center"/>
          </w:tcPr>
          <w:p w14:paraId="71A3228C">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符合第二章“投标人须知”第3.3.1项规定</w:t>
            </w:r>
          </w:p>
        </w:tc>
      </w:tr>
      <w:tr w14:paraId="5A2B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58E60B7F">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7CBA7889">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46290187">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投标保证金</w:t>
            </w:r>
          </w:p>
        </w:tc>
        <w:tc>
          <w:tcPr>
            <w:tcW w:w="4791" w:type="dxa"/>
            <w:gridSpan w:val="2"/>
            <w:vAlign w:val="center"/>
          </w:tcPr>
          <w:p w14:paraId="6D82CD9D">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符合第二章“投标人须知”第3.4.1项规定</w:t>
            </w:r>
          </w:p>
        </w:tc>
      </w:tr>
      <w:tr w14:paraId="4A9C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98E6193">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006F5F14">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4AD2F7D9">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投标价格</w:t>
            </w:r>
          </w:p>
        </w:tc>
        <w:tc>
          <w:tcPr>
            <w:tcW w:w="4791" w:type="dxa"/>
            <w:gridSpan w:val="2"/>
            <w:vAlign w:val="center"/>
          </w:tcPr>
          <w:p w14:paraId="46A75A5B">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投标报价（含修正后）不大于本标段最高投标限价</w:t>
            </w:r>
          </w:p>
        </w:tc>
      </w:tr>
      <w:tr w14:paraId="7CC9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FAAF7F7">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02D4F07B">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0EC85E29">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已标价工程量清单</w:t>
            </w:r>
          </w:p>
        </w:tc>
        <w:tc>
          <w:tcPr>
            <w:tcW w:w="4791" w:type="dxa"/>
            <w:gridSpan w:val="2"/>
            <w:vAlign w:val="center"/>
          </w:tcPr>
          <w:p w14:paraId="11C6E77A">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按照招标人提供的工程量清单及其报价要求进行全面准确的报价</w:t>
            </w:r>
          </w:p>
        </w:tc>
      </w:tr>
      <w:tr w14:paraId="3D1F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706D9F8F">
            <w:pPr>
              <w:spacing w:line="420" w:lineRule="exact"/>
              <w:jc w:val="center"/>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7131" w:type="dxa"/>
            <w:gridSpan w:val="4"/>
            <w:vAlign w:val="center"/>
          </w:tcPr>
          <w:p w14:paraId="0CE8A289">
            <w:pPr>
              <w:spacing w:line="420" w:lineRule="exact"/>
              <w:rPr>
                <w:rFonts w:ascii="宋体" w:hAnsi="宋体"/>
                <w:color w:val="auto"/>
                <w:szCs w:val="21"/>
                <w:highlight w:val="none"/>
              </w:rPr>
            </w:pPr>
            <w:r>
              <w:rPr>
                <w:rFonts w:hint="eastAsia" w:ascii="宋体" w:hAnsi="宋体"/>
                <w:color w:val="auto"/>
                <w:szCs w:val="21"/>
                <w:highlight w:val="none"/>
              </w:rPr>
              <w:t>投标人不得存在的其他情形：</w:t>
            </w:r>
          </w:p>
          <w:p w14:paraId="6C6B4705">
            <w:pPr>
              <w:spacing w:line="420" w:lineRule="exact"/>
              <w:rPr>
                <w:rFonts w:ascii="宋体" w:hAnsi="宋体"/>
                <w:color w:val="auto"/>
                <w:szCs w:val="21"/>
                <w:highlight w:val="none"/>
              </w:rPr>
            </w:pPr>
            <w:r>
              <w:rPr>
                <w:rFonts w:hint="eastAsia" w:ascii="宋体" w:hAnsi="宋体"/>
                <w:color w:val="auto"/>
                <w:szCs w:val="21"/>
                <w:highlight w:val="none"/>
              </w:rPr>
              <w:t>（1）不按评标委员会要求澄清、说明或补正；</w:t>
            </w:r>
          </w:p>
          <w:p w14:paraId="0DBDBD64">
            <w:pPr>
              <w:spacing w:line="420" w:lineRule="exact"/>
              <w:rPr>
                <w:color w:val="auto"/>
                <w:highlight w:val="none"/>
              </w:rPr>
            </w:pPr>
            <w:r>
              <w:rPr>
                <w:rFonts w:hint="eastAsia" w:ascii="宋体" w:hAnsi="宋体"/>
                <w:color w:val="auto"/>
                <w:szCs w:val="21"/>
                <w:highlight w:val="none"/>
              </w:rPr>
              <w:t>（2）有串通投标、弄虚作假、行贿或有其他违法行为。</w:t>
            </w:r>
          </w:p>
        </w:tc>
      </w:tr>
      <w:tr w14:paraId="1179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24A4F8AF">
            <w:pPr>
              <w:spacing w:line="420" w:lineRule="exact"/>
              <w:jc w:val="center"/>
              <w:rPr>
                <w:color w:val="auto"/>
                <w:szCs w:val="21"/>
                <w:highlight w:val="none"/>
              </w:rPr>
            </w:pPr>
            <w:r>
              <w:rPr>
                <w:rFonts w:hint="eastAsia"/>
                <w:color w:val="auto"/>
                <w:szCs w:val="21"/>
                <w:highlight w:val="none"/>
              </w:rPr>
              <w:t>3</w:t>
            </w:r>
            <w:r>
              <w:rPr>
                <w:color w:val="auto"/>
                <w:szCs w:val="21"/>
                <w:highlight w:val="none"/>
              </w:rPr>
              <w:t>.1.4</w:t>
            </w:r>
          </w:p>
        </w:tc>
        <w:tc>
          <w:tcPr>
            <w:tcW w:w="7131" w:type="dxa"/>
            <w:gridSpan w:val="4"/>
            <w:vAlign w:val="center"/>
          </w:tcPr>
          <w:p w14:paraId="67A39378">
            <w:pPr>
              <w:spacing w:line="420" w:lineRule="exact"/>
              <w:jc w:val="left"/>
              <w:rPr>
                <w:rFonts w:ascii="宋体" w:hAnsi="宋体"/>
                <w:color w:val="auto"/>
                <w:szCs w:val="21"/>
                <w:highlight w:val="none"/>
              </w:rPr>
            </w:pPr>
            <w:r>
              <w:rPr>
                <w:rFonts w:hint="eastAsia" w:ascii="宋体" w:hAnsi="宋体"/>
                <w:color w:val="auto"/>
                <w:szCs w:val="21"/>
                <w:highlight w:val="none"/>
              </w:rPr>
              <w:t>合理最低价：</w:t>
            </w:r>
            <w:r>
              <w:rPr>
                <w:rFonts w:hint="eastAsia" w:ascii="宋体" w:hAnsi="宋体"/>
                <w:color w:val="auto"/>
                <w:szCs w:val="21"/>
                <w:highlight w:val="none"/>
              </w:rPr>
              <w:br w:type="textWrapping"/>
            </w:r>
            <w:r>
              <w:rPr>
                <w:rFonts w:hint="eastAsia" w:ascii="宋体" w:hAnsi="宋体"/>
                <w:color w:val="auto"/>
                <w:szCs w:val="21"/>
                <w:highlight w:val="none"/>
              </w:rPr>
              <w:t>（1）合同方式：固定单价合同</w:t>
            </w:r>
            <w:r>
              <w:rPr>
                <w:rFonts w:hint="eastAsia" w:ascii="宋体" w:hAnsi="宋体"/>
                <w:color w:val="auto"/>
                <w:szCs w:val="21"/>
                <w:highlight w:val="none"/>
              </w:rPr>
              <w:br w:type="textWrapping"/>
            </w:r>
            <w:r>
              <w:rPr>
                <w:rFonts w:hint="eastAsia" w:ascii="宋体" w:hAnsi="宋体"/>
                <w:color w:val="auto"/>
                <w:szCs w:val="21"/>
                <w:highlight w:val="none"/>
              </w:rPr>
              <w:t>（2）计算方法：依据辽住建发【2020】4号文件第十七条。</w:t>
            </w:r>
            <w:r>
              <w:rPr>
                <w:rFonts w:hint="eastAsia" w:ascii="宋体" w:hAnsi="宋体"/>
                <w:color w:val="auto"/>
                <w:szCs w:val="21"/>
                <w:highlight w:val="none"/>
              </w:rPr>
              <w:br w:type="textWrapping"/>
            </w:r>
            <w:r>
              <w:rPr>
                <w:rFonts w:hint="eastAsia" w:ascii="宋体" w:hAnsi="宋体"/>
                <w:color w:val="auto"/>
                <w:szCs w:val="21"/>
                <w:highlight w:val="none"/>
              </w:rPr>
              <w:t>（3）下浮比例：</w:t>
            </w:r>
            <w:r>
              <w:rPr>
                <w:rFonts w:hint="eastAsia" w:ascii="宋体" w:hAnsi="宋体" w:eastAsia="宋体"/>
                <w:color w:val="auto"/>
                <w:szCs w:val="21"/>
                <w:highlight w:val="none"/>
                <w:lang w:val="en-US" w:eastAsia="zh-CN"/>
              </w:rPr>
              <w:t>1</w:t>
            </w:r>
            <w:r>
              <w:rPr>
                <w:rFonts w:hint="eastAsia" w:ascii="宋体" w:hAnsi="宋体"/>
                <w:color w:val="auto"/>
                <w:szCs w:val="21"/>
                <w:highlight w:val="none"/>
              </w:rPr>
              <w:t>0%。</w:t>
            </w:r>
          </w:p>
        </w:tc>
      </w:tr>
      <w:tr w14:paraId="59BB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0B2BF4B0">
            <w:pPr>
              <w:spacing w:line="420" w:lineRule="exact"/>
              <w:jc w:val="center"/>
              <w:rPr>
                <w:color w:val="auto"/>
                <w:szCs w:val="21"/>
                <w:highlight w:val="none"/>
              </w:rPr>
            </w:pPr>
            <w:r>
              <w:rPr>
                <w:rFonts w:hint="eastAsia"/>
                <w:color w:val="auto"/>
                <w:szCs w:val="21"/>
                <w:highlight w:val="none"/>
              </w:rPr>
              <w:t>3</w:t>
            </w:r>
            <w:r>
              <w:rPr>
                <w:color w:val="auto"/>
                <w:szCs w:val="21"/>
                <w:highlight w:val="none"/>
              </w:rPr>
              <w:t>.2.1</w:t>
            </w:r>
          </w:p>
        </w:tc>
        <w:tc>
          <w:tcPr>
            <w:tcW w:w="7131" w:type="dxa"/>
            <w:gridSpan w:val="4"/>
            <w:vAlign w:val="center"/>
          </w:tcPr>
          <w:p w14:paraId="15AC292F">
            <w:pPr>
              <w:spacing w:line="420" w:lineRule="exact"/>
              <w:jc w:val="left"/>
              <w:rPr>
                <w:rFonts w:ascii="宋体" w:hAnsi="宋体"/>
                <w:color w:val="auto"/>
                <w:szCs w:val="21"/>
                <w:highlight w:val="none"/>
              </w:rPr>
            </w:pPr>
            <w:r>
              <w:rPr>
                <w:rFonts w:hint="eastAsia" w:ascii="宋体" w:hAnsi="宋体"/>
                <w:color w:val="auto"/>
                <w:szCs w:val="21"/>
                <w:highlight w:val="none"/>
              </w:rPr>
              <w:t>（1）是否采用入围：否</w:t>
            </w:r>
          </w:p>
        </w:tc>
      </w:tr>
      <w:tr w14:paraId="232E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5074D3FA">
            <w:pPr>
              <w:spacing w:line="420" w:lineRule="exact"/>
              <w:jc w:val="center"/>
              <w:rPr>
                <w:rFonts w:hint="default"/>
                <w:color w:val="auto"/>
                <w:szCs w:val="21"/>
                <w:highlight w:val="none"/>
              </w:rPr>
            </w:pPr>
            <w:r>
              <w:rPr>
                <w:rFonts w:hint="eastAsia"/>
                <w:color w:val="auto"/>
                <w:szCs w:val="21"/>
                <w:highlight w:val="none"/>
                <w:lang w:val="en-US" w:eastAsia="zh-CN"/>
              </w:rPr>
              <w:t>3.3</w:t>
            </w:r>
          </w:p>
        </w:tc>
        <w:tc>
          <w:tcPr>
            <w:tcW w:w="7131" w:type="dxa"/>
            <w:gridSpan w:val="4"/>
            <w:vAlign w:val="center"/>
          </w:tcPr>
          <w:p w14:paraId="6F20BF85">
            <w:pPr>
              <w:spacing w:line="360" w:lineRule="auto"/>
              <w:ind w:firstLine="420" w:firstLineChars="200"/>
              <w:jc w:val="left"/>
              <w:rPr>
                <w:rFonts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615A48CF">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51EFB7C1">
            <w:pPr>
              <w:spacing w:line="360" w:lineRule="auto"/>
              <w:ind w:firstLine="420" w:firstLineChars="200"/>
              <w:jc w:val="left"/>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14:paraId="663C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14:paraId="24AF1344">
            <w:pPr>
              <w:spacing w:line="42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72EB2F26">
            <w:pPr>
              <w:spacing w:line="420" w:lineRule="exact"/>
              <w:jc w:val="center"/>
              <w:rPr>
                <w:rFonts w:ascii="宋体" w:hAnsi="宋体"/>
                <w:b/>
                <w:color w:val="auto"/>
                <w:szCs w:val="21"/>
                <w:highlight w:val="none"/>
              </w:rPr>
            </w:pPr>
            <w:r>
              <w:rPr>
                <w:rFonts w:hint="eastAsia" w:ascii="宋体" w:hAnsi="宋体"/>
                <w:b/>
                <w:color w:val="auto"/>
                <w:szCs w:val="21"/>
                <w:highlight w:val="none"/>
              </w:rPr>
              <w:t>条款内容</w:t>
            </w:r>
          </w:p>
        </w:tc>
        <w:tc>
          <w:tcPr>
            <w:tcW w:w="5046" w:type="dxa"/>
            <w:gridSpan w:val="3"/>
            <w:vAlign w:val="center"/>
          </w:tcPr>
          <w:p w14:paraId="1301210C">
            <w:pPr>
              <w:spacing w:line="420" w:lineRule="exact"/>
              <w:jc w:val="center"/>
              <w:rPr>
                <w:rFonts w:ascii="宋体" w:hAnsi="宋体"/>
                <w:b/>
                <w:color w:val="auto"/>
                <w:szCs w:val="21"/>
                <w:highlight w:val="none"/>
              </w:rPr>
            </w:pPr>
            <w:r>
              <w:rPr>
                <w:rFonts w:hint="eastAsia" w:ascii="宋体" w:hAnsi="宋体"/>
                <w:b/>
                <w:color w:val="auto"/>
                <w:szCs w:val="21"/>
                <w:highlight w:val="none"/>
              </w:rPr>
              <w:t>编列内容</w:t>
            </w:r>
          </w:p>
        </w:tc>
      </w:tr>
      <w:tr w14:paraId="1EC5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14:paraId="5F39220F">
            <w:pPr>
              <w:spacing w:line="420" w:lineRule="exact"/>
              <w:jc w:val="center"/>
              <w:rPr>
                <w:rFonts w:ascii="宋体" w:hAnsi="宋体"/>
                <w:color w:val="auto"/>
                <w:szCs w:val="21"/>
                <w:highlight w:val="none"/>
              </w:rPr>
            </w:pPr>
            <w:r>
              <w:rPr>
                <w:rFonts w:hint="eastAsia"/>
                <w:color w:val="auto"/>
                <w:szCs w:val="21"/>
                <w:highlight w:val="none"/>
              </w:rPr>
              <w:t>2.2.1</w:t>
            </w:r>
          </w:p>
        </w:tc>
        <w:tc>
          <w:tcPr>
            <w:tcW w:w="2085" w:type="dxa"/>
            <w:vAlign w:val="center"/>
          </w:tcPr>
          <w:p w14:paraId="62B2379E">
            <w:pPr>
              <w:spacing w:line="420" w:lineRule="exact"/>
              <w:jc w:val="center"/>
              <w:rPr>
                <w:rFonts w:ascii="宋体" w:hAnsi="宋体"/>
                <w:color w:val="auto"/>
                <w:szCs w:val="21"/>
                <w:highlight w:val="none"/>
              </w:rPr>
            </w:pPr>
            <w:r>
              <w:rPr>
                <w:rFonts w:hint="eastAsia" w:ascii="宋体" w:hAnsi="宋体"/>
                <w:color w:val="auto"/>
                <w:szCs w:val="21"/>
                <w:highlight w:val="none"/>
              </w:rPr>
              <w:t>分值构成</w:t>
            </w:r>
          </w:p>
          <w:p w14:paraId="65C1A424">
            <w:pPr>
              <w:spacing w:line="420" w:lineRule="exact"/>
              <w:jc w:val="center"/>
              <w:rPr>
                <w:rFonts w:ascii="宋体" w:hAnsi="宋体"/>
                <w:color w:val="auto"/>
                <w:szCs w:val="21"/>
                <w:highlight w:val="none"/>
              </w:rPr>
            </w:pPr>
            <w:r>
              <w:rPr>
                <w:rFonts w:hint="eastAsia" w:ascii="宋体" w:hAnsi="宋体"/>
                <w:color w:val="auto"/>
                <w:szCs w:val="21"/>
                <w:highlight w:val="none"/>
              </w:rPr>
              <w:t>（总分</w:t>
            </w:r>
            <w:r>
              <w:rPr>
                <w:rFonts w:ascii="宋体" w:hAnsi="宋体"/>
                <w:color w:val="auto"/>
                <w:szCs w:val="21"/>
                <w:highlight w:val="none"/>
              </w:rPr>
              <w:t>100</w:t>
            </w:r>
            <w:r>
              <w:rPr>
                <w:rFonts w:hint="eastAsia" w:ascii="宋体" w:hAnsi="宋体"/>
                <w:color w:val="auto"/>
                <w:szCs w:val="21"/>
                <w:highlight w:val="none"/>
              </w:rPr>
              <w:t>分）</w:t>
            </w:r>
          </w:p>
        </w:tc>
        <w:tc>
          <w:tcPr>
            <w:tcW w:w="5046" w:type="dxa"/>
            <w:gridSpan w:val="3"/>
            <w:vAlign w:val="center"/>
          </w:tcPr>
          <w:p w14:paraId="196EFDE9">
            <w:pPr>
              <w:spacing w:line="420" w:lineRule="exact"/>
              <w:jc w:val="left"/>
              <w:rPr>
                <w:rFonts w:ascii="宋体" w:hAnsi="宋体"/>
                <w:color w:val="auto"/>
                <w:szCs w:val="21"/>
                <w:highlight w:val="none"/>
              </w:rPr>
            </w:pPr>
            <w:r>
              <w:rPr>
                <w:rFonts w:hint="eastAsia" w:ascii="宋体" w:hAnsi="宋体"/>
                <w:color w:val="auto"/>
                <w:szCs w:val="21"/>
                <w:highlight w:val="none"/>
              </w:rPr>
              <w:t>经济标：</w:t>
            </w:r>
            <w:r>
              <w:rPr>
                <w:rFonts w:hint="eastAsia" w:ascii="宋体" w:hAnsi="宋体"/>
                <w:color w:val="auto"/>
                <w:szCs w:val="21"/>
                <w:highlight w:val="none"/>
                <w:u w:val="single"/>
              </w:rPr>
              <w:t xml:space="preserve"> 55 </w:t>
            </w:r>
            <w:r>
              <w:rPr>
                <w:rFonts w:hint="eastAsia" w:ascii="宋体" w:hAnsi="宋体"/>
                <w:color w:val="auto"/>
                <w:szCs w:val="21"/>
                <w:highlight w:val="none"/>
              </w:rPr>
              <w:t>分；</w:t>
            </w:r>
          </w:p>
          <w:p w14:paraId="7BC1E745">
            <w:pPr>
              <w:spacing w:line="420" w:lineRule="exact"/>
              <w:jc w:val="left"/>
              <w:rPr>
                <w:rFonts w:ascii="宋体" w:hAnsi="宋体"/>
                <w:color w:val="auto"/>
                <w:szCs w:val="21"/>
                <w:highlight w:val="none"/>
              </w:rPr>
            </w:pPr>
            <w:r>
              <w:rPr>
                <w:rFonts w:hint="eastAsia" w:ascii="宋体" w:hAnsi="宋体"/>
                <w:color w:val="auto"/>
                <w:szCs w:val="21"/>
                <w:highlight w:val="none"/>
              </w:rPr>
              <w:t>技术标：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36</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14:paraId="0EF97BBC">
            <w:pPr>
              <w:spacing w:line="42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资信标</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9</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14:paraId="165FD2E3">
            <w:pPr>
              <w:spacing w:line="420" w:lineRule="exact"/>
              <w:jc w:val="left"/>
              <w:rPr>
                <w:rFonts w:ascii="宋体" w:hAnsi="宋体"/>
                <w:color w:val="auto"/>
                <w:szCs w:val="21"/>
                <w:highlight w:val="none"/>
              </w:rPr>
            </w:pPr>
            <w:r>
              <w:rPr>
                <w:rFonts w:hint="eastAsia" w:ascii="宋体" w:hAnsi="宋体"/>
                <w:color w:val="auto"/>
                <w:szCs w:val="21"/>
                <w:highlight w:val="none"/>
              </w:rPr>
              <w:t>其他评分因素：</w:t>
            </w:r>
            <w:r>
              <w:rPr>
                <w:rFonts w:hint="eastAsia" w:ascii="宋体" w:hAnsi="宋体"/>
                <w:color w:val="auto"/>
                <w:szCs w:val="21"/>
                <w:highlight w:val="none"/>
                <w:u w:val="single"/>
              </w:rPr>
              <w:t xml:space="preserve"> 0 </w:t>
            </w:r>
            <w:r>
              <w:rPr>
                <w:rFonts w:hint="eastAsia" w:ascii="宋体" w:hAnsi="宋体"/>
                <w:color w:val="auto"/>
                <w:szCs w:val="21"/>
                <w:highlight w:val="none"/>
              </w:rPr>
              <w:t>分。</w:t>
            </w:r>
          </w:p>
        </w:tc>
      </w:tr>
      <w:tr w14:paraId="7567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14:paraId="50724B20">
            <w:pPr>
              <w:spacing w:line="420" w:lineRule="exact"/>
              <w:jc w:val="center"/>
              <w:rPr>
                <w:color w:val="auto"/>
                <w:szCs w:val="21"/>
                <w:highlight w:val="none"/>
              </w:rPr>
            </w:pPr>
            <w:r>
              <w:rPr>
                <w:color w:val="auto"/>
                <w:szCs w:val="21"/>
                <w:highlight w:val="none"/>
              </w:rPr>
              <w:t>2.2.2</w:t>
            </w:r>
          </w:p>
          <w:p w14:paraId="6271EB1B">
            <w:pPr>
              <w:spacing w:line="420" w:lineRule="exact"/>
              <w:jc w:val="center"/>
              <w:rPr>
                <w:color w:val="auto"/>
                <w:szCs w:val="21"/>
                <w:highlight w:val="none"/>
              </w:rPr>
            </w:pPr>
            <w:r>
              <w:rPr>
                <w:color w:val="auto"/>
                <w:szCs w:val="21"/>
                <w:highlight w:val="none"/>
              </w:rPr>
              <w:t>（1）</w:t>
            </w:r>
          </w:p>
        </w:tc>
        <w:tc>
          <w:tcPr>
            <w:tcW w:w="2085" w:type="dxa"/>
            <w:vAlign w:val="center"/>
          </w:tcPr>
          <w:p w14:paraId="7DB482A3">
            <w:pPr>
              <w:spacing w:line="420" w:lineRule="exact"/>
              <w:jc w:val="center"/>
              <w:rPr>
                <w:rFonts w:ascii="宋体" w:hAnsi="宋体"/>
                <w:color w:val="auto"/>
                <w:szCs w:val="21"/>
                <w:highlight w:val="none"/>
              </w:rPr>
            </w:pPr>
            <w:r>
              <w:rPr>
                <w:rFonts w:hint="eastAsia" w:ascii="宋体" w:hAnsi="宋体"/>
                <w:color w:val="auto"/>
                <w:szCs w:val="21"/>
                <w:highlight w:val="none"/>
              </w:rPr>
              <w:t>评标价确定方法</w:t>
            </w:r>
          </w:p>
        </w:tc>
        <w:tc>
          <w:tcPr>
            <w:tcW w:w="5046" w:type="dxa"/>
            <w:gridSpan w:val="3"/>
            <w:vAlign w:val="center"/>
          </w:tcPr>
          <w:p w14:paraId="57BAC94D">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评标价＝投标函大写人民币投标报价或投标人须知前附表报价说明规定的参与评审的投标报价（或经投标人书面确认的算术错误修正后的投标报价）。</w:t>
            </w:r>
          </w:p>
          <w:p w14:paraId="11976D19">
            <w:pPr>
              <w:spacing w:line="420" w:lineRule="exact"/>
              <w:ind w:right="113"/>
              <w:rPr>
                <w:rFonts w:ascii="宋体" w:hAnsi="宋体"/>
                <w:color w:val="auto"/>
                <w:szCs w:val="21"/>
                <w:highlight w:val="none"/>
              </w:rPr>
            </w:pPr>
            <w:r>
              <w:rPr>
                <w:rFonts w:hint="eastAsia" w:ascii="宋体" w:hAnsi="宋体"/>
                <w:color w:val="auto"/>
                <w:szCs w:val="21"/>
                <w:highlight w:val="none"/>
              </w:rPr>
              <w:t>说明：除招标文件特殊规定外，有关报价入围基准值、评标基准价的计算应用的投标报价一般均指评标价。</w:t>
            </w:r>
          </w:p>
        </w:tc>
      </w:tr>
      <w:tr w14:paraId="346F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14:paraId="5F9DDCF7">
            <w:pPr>
              <w:spacing w:line="420" w:lineRule="exact"/>
              <w:jc w:val="center"/>
              <w:rPr>
                <w:color w:val="auto"/>
                <w:szCs w:val="21"/>
                <w:highlight w:val="none"/>
              </w:rPr>
            </w:pPr>
            <w:r>
              <w:rPr>
                <w:color w:val="auto"/>
                <w:szCs w:val="21"/>
                <w:highlight w:val="none"/>
              </w:rPr>
              <w:t>2.2.2</w:t>
            </w:r>
          </w:p>
          <w:p w14:paraId="2A53D3D5">
            <w:pPr>
              <w:spacing w:line="420" w:lineRule="exact"/>
              <w:jc w:val="center"/>
              <w:rPr>
                <w:color w:val="auto"/>
                <w:szCs w:val="21"/>
                <w:highlight w:val="none"/>
              </w:rPr>
            </w:pPr>
            <w:r>
              <w:rPr>
                <w:color w:val="auto"/>
                <w:szCs w:val="21"/>
                <w:highlight w:val="none"/>
              </w:rPr>
              <w:t>（2）</w:t>
            </w:r>
          </w:p>
        </w:tc>
        <w:tc>
          <w:tcPr>
            <w:tcW w:w="2085" w:type="dxa"/>
            <w:vAlign w:val="center"/>
          </w:tcPr>
          <w:p w14:paraId="6B522C92">
            <w:pPr>
              <w:spacing w:line="420" w:lineRule="exact"/>
              <w:jc w:val="center"/>
              <w:rPr>
                <w:rFonts w:ascii="宋体" w:hAnsi="宋体"/>
                <w:color w:val="auto"/>
                <w:szCs w:val="21"/>
                <w:highlight w:val="none"/>
              </w:rPr>
            </w:pPr>
            <w:r>
              <w:rPr>
                <w:rFonts w:hint="eastAsia" w:ascii="宋体" w:hAnsi="宋体"/>
                <w:color w:val="auto"/>
                <w:szCs w:val="21"/>
                <w:highlight w:val="none"/>
              </w:rPr>
              <w:t>评标基准价计算</w:t>
            </w:r>
          </w:p>
          <w:p w14:paraId="1212318C">
            <w:pPr>
              <w:spacing w:line="420" w:lineRule="exact"/>
              <w:jc w:val="center"/>
              <w:rPr>
                <w:rFonts w:ascii="宋体" w:hAnsi="宋体"/>
                <w:color w:val="auto"/>
                <w:szCs w:val="21"/>
                <w:highlight w:val="none"/>
              </w:rPr>
            </w:pPr>
            <w:r>
              <w:rPr>
                <w:rFonts w:hint="eastAsia" w:ascii="宋体" w:hAnsi="宋体"/>
                <w:color w:val="auto"/>
                <w:szCs w:val="21"/>
                <w:highlight w:val="none"/>
              </w:rPr>
              <w:t>方法</w:t>
            </w:r>
          </w:p>
        </w:tc>
        <w:tc>
          <w:tcPr>
            <w:tcW w:w="5046" w:type="dxa"/>
            <w:gridSpan w:val="3"/>
            <w:vAlign w:val="center"/>
          </w:tcPr>
          <w:p w14:paraId="67D1CCDE">
            <w:pPr>
              <w:spacing w:line="420" w:lineRule="exact"/>
              <w:ind w:right="113"/>
              <w:jc w:val="left"/>
              <w:rPr>
                <w:rFonts w:hint="default" w:ascii="宋体" w:hAnsi="宋体"/>
                <w:color w:val="auto"/>
                <w:szCs w:val="21"/>
                <w:highlight w:val="none"/>
              </w:rPr>
            </w:pPr>
            <w:r>
              <w:rPr>
                <w:rFonts w:hint="default" w:ascii="宋体" w:hAnsi="宋体"/>
                <w:color w:val="auto"/>
                <w:szCs w:val="21"/>
                <w:highlight w:val="none"/>
                <w:lang w:val="en-US" w:eastAsia="zh-CN"/>
              </w:rPr>
              <w:t>基准价计算方法：</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（1）最高投标限价是否参与基准价计算：否</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（2）参与基准价计算范围：</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 xml:space="preserve">    通过初步评审且投标报价不低于合理最低价的投标人投标报价参与基准价得分计算。</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（3）基准价计算规则：</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 xml:space="preserve">    通过初步评审且投标报价不低于合理最低价的投标人超过5家（包含5家），去掉1个最高投标报价，1个最低投标报价；若小于5家，则不去；将其投标报价取算术平均值下浮0%。</w:t>
            </w:r>
          </w:p>
        </w:tc>
      </w:tr>
      <w:tr w14:paraId="5E93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14:paraId="2A519475">
            <w:pPr>
              <w:spacing w:line="420" w:lineRule="exact"/>
              <w:jc w:val="center"/>
              <w:rPr>
                <w:rFonts w:ascii="宋体" w:hAnsi="宋体"/>
                <w:color w:val="auto"/>
                <w:szCs w:val="21"/>
                <w:highlight w:val="none"/>
              </w:rPr>
            </w:pPr>
            <w:r>
              <w:rPr>
                <w:rFonts w:hint="eastAsia"/>
                <w:color w:val="auto"/>
                <w:szCs w:val="21"/>
                <w:highlight w:val="none"/>
              </w:rPr>
              <w:t>2.2.3</w:t>
            </w:r>
          </w:p>
        </w:tc>
        <w:tc>
          <w:tcPr>
            <w:tcW w:w="2085" w:type="dxa"/>
            <w:vAlign w:val="center"/>
          </w:tcPr>
          <w:p w14:paraId="0B3D870F">
            <w:pPr>
              <w:spacing w:line="420" w:lineRule="exact"/>
              <w:rPr>
                <w:rFonts w:ascii="宋体" w:hAnsi="宋体"/>
                <w:color w:val="auto"/>
                <w:szCs w:val="21"/>
                <w:highlight w:val="none"/>
              </w:rPr>
            </w:pPr>
            <w:r>
              <w:rPr>
                <w:rFonts w:hint="eastAsia" w:ascii="宋体" w:hAnsi="宋体"/>
                <w:color w:val="auto"/>
                <w:szCs w:val="21"/>
                <w:highlight w:val="none"/>
              </w:rPr>
              <w:t>投标报价的偏差率</w:t>
            </w:r>
          </w:p>
          <w:p w14:paraId="6E9A4BED">
            <w:pPr>
              <w:spacing w:line="420" w:lineRule="exact"/>
              <w:jc w:val="center"/>
              <w:rPr>
                <w:rFonts w:ascii="宋体" w:hAnsi="宋体"/>
                <w:color w:val="auto"/>
                <w:szCs w:val="21"/>
                <w:highlight w:val="none"/>
              </w:rPr>
            </w:pPr>
            <w:r>
              <w:rPr>
                <w:rFonts w:hint="eastAsia" w:ascii="宋体" w:hAnsi="宋体"/>
                <w:color w:val="auto"/>
                <w:szCs w:val="21"/>
                <w:highlight w:val="none"/>
              </w:rPr>
              <w:t>计算公式</w:t>
            </w:r>
          </w:p>
        </w:tc>
        <w:tc>
          <w:tcPr>
            <w:tcW w:w="5046" w:type="dxa"/>
            <w:gridSpan w:val="3"/>
            <w:vAlign w:val="center"/>
          </w:tcPr>
          <w:p w14:paraId="173A40B2">
            <w:pPr>
              <w:spacing w:line="420" w:lineRule="exact"/>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14:paraId="0D19F97B">
            <w:pPr>
              <w:spacing w:line="420" w:lineRule="exact"/>
              <w:rPr>
                <w:rFonts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14:paraId="4EBDCAD8">
            <w:pPr>
              <w:spacing w:line="420" w:lineRule="exact"/>
              <w:rPr>
                <w:rFonts w:hint="default" w:ascii="宋体" w:hAnsi="宋体"/>
                <w:color w:val="auto"/>
                <w:szCs w:val="21"/>
                <w:highlight w:val="none"/>
              </w:rPr>
            </w:pPr>
            <w:r>
              <w:rPr>
                <w:rFonts w:hint="eastAsia" w:ascii="宋体" w:hAnsi="宋体"/>
                <w:color w:val="auto"/>
                <w:szCs w:val="21"/>
                <w:highlight w:val="none"/>
              </w:rPr>
              <w:t>扣分标准：每低1%扣0.1分；每高1%扣0.2分。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14:paraId="2DFE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14:paraId="5204873C">
            <w:pPr>
              <w:spacing w:line="42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5103170B">
            <w:pPr>
              <w:spacing w:line="420" w:lineRule="exact"/>
              <w:jc w:val="center"/>
              <w:rPr>
                <w:rFonts w:ascii="宋体" w:hAnsi="宋体"/>
                <w:b/>
                <w:color w:val="auto"/>
                <w:szCs w:val="21"/>
                <w:highlight w:val="none"/>
              </w:rPr>
            </w:pPr>
            <w:r>
              <w:rPr>
                <w:rFonts w:hint="eastAsia" w:ascii="宋体" w:hAnsi="宋体"/>
                <w:b/>
                <w:color w:val="auto"/>
                <w:szCs w:val="21"/>
                <w:highlight w:val="none"/>
              </w:rPr>
              <w:t>评分因素</w:t>
            </w:r>
          </w:p>
        </w:tc>
        <w:tc>
          <w:tcPr>
            <w:tcW w:w="935" w:type="dxa"/>
            <w:gridSpan w:val="2"/>
            <w:vAlign w:val="center"/>
          </w:tcPr>
          <w:p w14:paraId="04890C98">
            <w:pPr>
              <w:spacing w:line="420" w:lineRule="exact"/>
              <w:jc w:val="center"/>
              <w:rPr>
                <w:rFonts w:ascii="宋体" w:hAnsi="宋体"/>
                <w:b/>
                <w:color w:val="auto"/>
                <w:szCs w:val="21"/>
                <w:highlight w:val="none"/>
              </w:rPr>
            </w:pPr>
            <w:r>
              <w:rPr>
                <w:rFonts w:hint="eastAsia" w:ascii="宋体" w:hAnsi="宋体"/>
                <w:b/>
                <w:color w:val="auto"/>
                <w:szCs w:val="21"/>
                <w:highlight w:val="none"/>
              </w:rPr>
              <w:t>标准分</w:t>
            </w:r>
          </w:p>
        </w:tc>
        <w:tc>
          <w:tcPr>
            <w:tcW w:w="4111" w:type="dxa"/>
            <w:vAlign w:val="center"/>
          </w:tcPr>
          <w:p w14:paraId="703F8E02">
            <w:pPr>
              <w:spacing w:line="420" w:lineRule="exact"/>
              <w:jc w:val="center"/>
              <w:rPr>
                <w:rFonts w:ascii="宋体" w:hAnsi="宋体"/>
                <w:b/>
                <w:color w:val="auto"/>
                <w:szCs w:val="21"/>
                <w:highlight w:val="none"/>
              </w:rPr>
            </w:pPr>
            <w:r>
              <w:rPr>
                <w:rFonts w:hint="eastAsia" w:ascii="宋体" w:hAnsi="宋体"/>
                <w:b/>
                <w:color w:val="auto"/>
                <w:szCs w:val="21"/>
                <w:highlight w:val="none"/>
              </w:rPr>
              <w:t>评分标准</w:t>
            </w:r>
          </w:p>
        </w:tc>
      </w:tr>
      <w:bookmarkEnd w:id="94"/>
      <w:bookmarkEnd w:id="95"/>
      <w:tr w14:paraId="522F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5D5E6563">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2.2.4（1）</w:t>
            </w:r>
          </w:p>
        </w:tc>
        <w:tc>
          <w:tcPr>
            <w:tcW w:w="1059" w:type="dxa"/>
            <w:vMerge w:val="restart"/>
            <w:vAlign w:val="center"/>
          </w:tcPr>
          <w:p w14:paraId="0216E815">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经济标评分标准</w:t>
            </w:r>
          </w:p>
        </w:tc>
        <w:tc>
          <w:tcPr>
            <w:tcW w:w="2085" w:type="dxa"/>
            <w:vAlign w:val="center"/>
          </w:tcPr>
          <w:p w14:paraId="0B9FAAE7">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投标报价</w:t>
            </w:r>
          </w:p>
        </w:tc>
        <w:tc>
          <w:tcPr>
            <w:tcW w:w="935" w:type="dxa"/>
            <w:gridSpan w:val="2"/>
            <w:vAlign w:val="center"/>
          </w:tcPr>
          <w:p w14:paraId="13D34EB1">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55</w:t>
            </w:r>
          </w:p>
        </w:tc>
        <w:tc>
          <w:tcPr>
            <w:tcW w:w="4111" w:type="dxa"/>
            <w:vAlign w:val="center"/>
          </w:tcPr>
          <w:p w14:paraId="5AC75A85">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F＝55-（投标人评标价-评标基准价）÷评标基准价×100×0.2（评标价＞基准价时）</w:t>
            </w:r>
            <w:r>
              <w:rPr>
                <w:rFonts w:ascii="宋体" w:hAnsi="宋体" w:eastAsia="宋体" w:cs="宋体"/>
                <w:color w:val="auto"/>
                <w:highlight w:val="none"/>
              </w:rPr>
              <w:br w:type="textWrapping"/>
            </w:r>
            <w:r>
              <w:rPr>
                <w:rFonts w:ascii="宋体" w:hAnsi="宋体" w:eastAsia="宋体" w:cs="宋体"/>
                <w:color w:val="auto"/>
                <w:highlight w:val="none"/>
              </w:rPr>
              <w:t>F＝55-（评标基准价-投标人评标价）÷评标基准价×100×0.1（评标价≤基准价时）</w:t>
            </w:r>
          </w:p>
        </w:tc>
      </w:tr>
      <w:tr w14:paraId="0251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33EAB009">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restart"/>
            <w:vAlign w:val="center"/>
          </w:tcPr>
          <w:p w14:paraId="7D1E9EDA">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00ED8E46">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质量管理体系与措施</w:t>
            </w:r>
          </w:p>
        </w:tc>
        <w:tc>
          <w:tcPr>
            <w:tcW w:w="935" w:type="dxa"/>
            <w:gridSpan w:val="2"/>
            <w:vAlign w:val="center"/>
          </w:tcPr>
          <w:p w14:paraId="1F287A37">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1FD3C194">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评审维度：1.体系与措施；2.管理控制机制；3.质量检查</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2.0分：有完善的施工质量保证体系与措施，且设有质量管理控制机制，配备专职的质量检查以及工程质量负责人。</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1.5分：有比较完善的施工质量保证体系与措施，且设有质量管理控制机制，配备专职的质量检查以及工程质量负</w:t>
            </w:r>
            <w:r>
              <w:rPr>
                <w:rFonts w:ascii="宋体" w:hAnsi="宋体" w:eastAsia="宋体" w:cs="宋体"/>
                <w:color w:val="auto"/>
                <w:highlight w:val="none"/>
              </w:rPr>
              <w:br w:type="textWrapping"/>
            </w:r>
            <w:r>
              <w:rPr>
                <w:rFonts w:ascii="宋体" w:hAnsi="宋体" w:eastAsia="宋体" w:cs="宋体"/>
                <w:color w:val="auto"/>
                <w:highlight w:val="none"/>
              </w:rPr>
              <w:t>责人。</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1.0分：施工质量保证体系与措施基本完善，且设有质量管理控制机制，配备专职的质量检查以及工程质量负责人。</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0.5分：施工质量保证体系与措施不完善，且设有质量管理控制机制，配备专职的质量检查以及工程质量负责人。</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06BA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2ECE621E">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81D7ABE">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4F730394">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应急预案</w:t>
            </w:r>
          </w:p>
        </w:tc>
        <w:tc>
          <w:tcPr>
            <w:tcW w:w="935" w:type="dxa"/>
            <w:gridSpan w:val="2"/>
            <w:vAlign w:val="center"/>
          </w:tcPr>
          <w:p w14:paraId="534FAC14">
            <w:pPr>
              <w:spacing w:line="420" w:lineRule="exact"/>
              <w:jc w:val="center"/>
              <w:rPr>
                <w:rFonts w:hint="eastAsia" w:ascii="宋体" w:hAnsi="宋体" w:eastAsia="宋体"/>
                <w:color w:val="auto"/>
                <w:szCs w:val="44"/>
                <w:highlight w:val="none"/>
                <w:lang w:eastAsia="zh-CN"/>
              </w:rPr>
            </w:pPr>
            <w:r>
              <w:rPr>
                <w:rFonts w:hint="eastAsia" w:ascii="宋体" w:hAnsi="宋体" w:cs="宋体"/>
                <w:b w:val="0"/>
                <w:bCs/>
                <w:i w:val="0"/>
                <w:color w:val="auto"/>
                <w:szCs w:val="21"/>
                <w:highlight w:val="none"/>
                <w:u w:val="none" w:color="auto"/>
                <w:lang w:val="en-US" w:eastAsia="zh-CN"/>
              </w:rPr>
              <w:t>2</w:t>
            </w:r>
          </w:p>
        </w:tc>
        <w:tc>
          <w:tcPr>
            <w:tcW w:w="4111" w:type="dxa"/>
            <w:vAlign w:val="center"/>
          </w:tcPr>
          <w:p w14:paraId="23974218">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评审维度：1.应急响应流程；2.应急响应安排；3.应急响应措施</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1.6-2</w:t>
            </w:r>
            <w:r>
              <w:rPr>
                <w:rFonts w:ascii="宋体" w:hAnsi="宋体" w:eastAsia="宋体" w:cs="宋体"/>
                <w:color w:val="auto"/>
                <w:highlight w:val="none"/>
              </w:rPr>
              <w:t>分：结合本项目特点编制应急预案，包括但不限于施工期间安全、质量、进度、雨季施工中突发事件的应急响应流程、应急响应安排、应急响应措施等科学、合理、针对性强。</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1.1-1.5</w:t>
            </w:r>
            <w:r>
              <w:rPr>
                <w:rFonts w:ascii="宋体" w:hAnsi="宋体" w:eastAsia="宋体" w:cs="宋体"/>
                <w:color w:val="auto"/>
                <w:highlight w:val="none"/>
              </w:rPr>
              <w:t>分：结合本项目特点编制应急预案，包括但不限于施工期间安全、质量、进度、雨季施工中突发事件的应急响应流程、应急响应安排、应急响应措施等较科学、合理、针对性较强。</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0.6-1</w:t>
            </w:r>
            <w:r>
              <w:rPr>
                <w:rFonts w:ascii="宋体" w:hAnsi="宋体" w:eastAsia="宋体" w:cs="宋体"/>
                <w:color w:val="auto"/>
                <w:highlight w:val="none"/>
              </w:rPr>
              <w:t>分：结合本项目特点编制应急预案，包括但不限于施工期间安全、质量、进度、雨季施工中突发事件的应急响应流程、应急响应安排、应急响应措施等基本科学、合理、针对性一般。</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0.1-0.5</w:t>
            </w:r>
            <w:r>
              <w:rPr>
                <w:rFonts w:ascii="宋体" w:hAnsi="宋体" w:eastAsia="宋体" w:cs="宋体"/>
                <w:color w:val="auto"/>
                <w:highlight w:val="none"/>
              </w:rPr>
              <w:t>分：结合本项目特点编制应急预案，包括但不限于施工期间安全、质量、进度、雨季施工中突发事件的应急响应流程、应急响应安排、应急响应措施等不科学、不合理、无针对性。</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34C3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660F72A2">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9ABE72D">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292C1FBB">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成本控制措施</w:t>
            </w:r>
          </w:p>
        </w:tc>
        <w:tc>
          <w:tcPr>
            <w:tcW w:w="935" w:type="dxa"/>
            <w:gridSpan w:val="2"/>
            <w:vAlign w:val="center"/>
          </w:tcPr>
          <w:p w14:paraId="6AE177E6">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31241AB2">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评审维度：1.科学；2.合理；3.针对性</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2.0分：对本项目提供的成本控制措施科学、合理、针对性强。</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1.5分：对本项目提供的成本控制措施较科学、合理、针对性较强。</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1.0分：对本项目提供的成本控制措施基本科学、合理、针对性一般。</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0.5分：对本项目提供的成本控制措施不科学、不合理、无针对性。</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6C8A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03AA343">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7ACB012C">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1E07DC3D">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风险防范措施</w:t>
            </w:r>
          </w:p>
        </w:tc>
        <w:tc>
          <w:tcPr>
            <w:tcW w:w="935" w:type="dxa"/>
            <w:gridSpan w:val="2"/>
            <w:vAlign w:val="center"/>
          </w:tcPr>
          <w:p w14:paraId="12BA113A">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7EF6E085">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评审维度：1.科学；2.合理；3.针对性</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2.0分：对本项目提供的风险防范措施科学、合理、针对性强。</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1.5分：对本项目提供的风险防范措施较科学、合理、针对性较强。</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1.0分：对本项目提供的风险防范措施基本科学、合理、针对性一般。</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0.5分：对本项目提供的风险防范措施不科学、不合理、无针对性。</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085D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34B1AB6">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74A9F55E">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64000C75">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合理化建议</w:t>
            </w:r>
          </w:p>
        </w:tc>
        <w:tc>
          <w:tcPr>
            <w:tcW w:w="935" w:type="dxa"/>
            <w:gridSpan w:val="2"/>
            <w:vAlign w:val="center"/>
          </w:tcPr>
          <w:p w14:paraId="29A879DD">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6E812A85">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评审维度：1.科学；2.合理；3.针对性</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2.0分：对本项目提供的合理化建议科学、合理、针对性强。</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1.5分：对本项目提供的合理化建议较科学、合理、针对性较强。</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1.0分：对本项目提供的合理化建议基本科学、合理、针对性一般。</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0.5分：对本项目提供的合理化建议不科学、不合理、无针对性。</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4A7B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6CD9D439">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7F65B2FD">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3F09D139">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扬尘污染治理方案</w:t>
            </w:r>
          </w:p>
        </w:tc>
        <w:tc>
          <w:tcPr>
            <w:tcW w:w="935" w:type="dxa"/>
            <w:gridSpan w:val="2"/>
            <w:vAlign w:val="center"/>
          </w:tcPr>
          <w:p w14:paraId="69C478AB">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1E676601">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评审维度：1.工作目标；2.扬尘治理方案；</w:t>
            </w:r>
            <w:r>
              <w:rPr>
                <w:rFonts w:ascii="宋体" w:hAnsi="宋体" w:eastAsia="宋体" w:cs="宋体"/>
                <w:color w:val="auto"/>
                <w:highlight w:val="none"/>
              </w:rPr>
              <w:br w:type="textWrapping"/>
            </w:r>
            <w:r>
              <w:rPr>
                <w:rFonts w:ascii="宋体" w:hAnsi="宋体" w:eastAsia="宋体" w:cs="宋体"/>
                <w:color w:val="auto"/>
                <w:highlight w:val="none"/>
              </w:rPr>
              <w:t>3.专项防尘防治技术措施</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2.0分：结合本项目特点、项目所在区域等因素，编制施工现场扬尘治理方案，包括扬尘防治工作目标、各分项工程不同施工工艺专项防尘防治技术措施等合理的。</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1.5分：结合本项目特点、项目所在区域等因素，编制施工现场扬尘治理方案，包括扬尘防治工作目标、各分项工程不同施工工艺专项防尘防治技术措施等比较合理的。</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1.0分：结合本项目特点、项目所在区域等因素，编制施工现场扬尘治理方案，包括扬尘防治工作目标、各分项工程不同施工工艺专项防尘防治技术措施等基本合理的。</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0.5分：结合本项目特点、项目所在区域等因素，编制施工现场扬尘治理方案，包括扬尘防治工作目标、各分项工程不同施工工艺专项防尘防治技术措施等不合理的。</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5C8D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63470FB8">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13BA46AC">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32C5A333">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环保管理体系与措施</w:t>
            </w:r>
          </w:p>
        </w:tc>
        <w:tc>
          <w:tcPr>
            <w:tcW w:w="935" w:type="dxa"/>
            <w:gridSpan w:val="2"/>
            <w:vAlign w:val="center"/>
          </w:tcPr>
          <w:p w14:paraId="45D547D0">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43DF1F5C">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评审维度：1.环保保证体系；2.措施；3.相关规定</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2.0分：有完善的环保保证体系与措施，符合或高于工程及相关规定的要求。</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1.5分：有比较完善的环保保证体系与措施，比较符合工程及相关规定的要求。</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1.0分：有基本完善的环保保证体系与措施，基本符合工程及相关规定的。</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0.5分：环保保证体系与措施不完善。</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33C8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3BA0D8A">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457433AD">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11565409">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文明施工体系及保证措施</w:t>
            </w:r>
          </w:p>
        </w:tc>
        <w:tc>
          <w:tcPr>
            <w:tcW w:w="935" w:type="dxa"/>
            <w:gridSpan w:val="2"/>
            <w:vAlign w:val="center"/>
          </w:tcPr>
          <w:p w14:paraId="45A96CE5">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14F641BB">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评审维度：1.文明施工保证体系；2.措施；3.相关规定</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2.0分：有完善的文明施工保证体系与措施，符合或高于工程及相关规定的要求。</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1.5分：有比较完善的文明施工保证体系与措施，比较符合工程及相关规定的要求。</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1.0分：有基本完善的文明施工保证体系与措施，基本符合工程及相关规定的。</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0.5分：文明施工保证体系与措施不完善。</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30FF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65BA366">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DA74E6A">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6F4F81AB">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安全管理体系与措施</w:t>
            </w:r>
          </w:p>
        </w:tc>
        <w:tc>
          <w:tcPr>
            <w:tcW w:w="935" w:type="dxa"/>
            <w:gridSpan w:val="2"/>
            <w:vAlign w:val="center"/>
          </w:tcPr>
          <w:p w14:paraId="58635DD1">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1D0386D8">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评审维度：1.施工安全保证体系；2.安全管理控制机制；3.专职的安全管理人员</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2.0分：有完善的施工安全保证体系与措施，且设有安全管理控制机制，配备专职的安全管理人员。</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1.5分：有比较完善的施工安全保证体系与措施，且设有安全管理控制机制，配备专职的安全管理人员。</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1.0分：安全管理体系与措施基本完善，且设有安全管理控制机制，配备专职的安全管理人员。</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0.5分：安全管理体系与措施不完善，且设有安全管理控制机制，配备专职的安全管理人员。</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6436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BAF91C1">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29E76B2">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3CCDC997">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管理组织架构</w:t>
            </w:r>
          </w:p>
        </w:tc>
        <w:tc>
          <w:tcPr>
            <w:tcW w:w="935" w:type="dxa"/>
            <w:gridSpan w:val="2"/>
            <w:vAlign w:val="center"/>
          </w:tcPr>
          <w:p w14:paraId="79FFC58B">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1BBCA322">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评审维度：1.人员架构；2.管理体系；3.生产目标</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2.0分：管理人员架构完整、科学、针对性强，管理体系及制度健全，生产目标明确。</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1.5分：管理人员架构比较完整、比较科学、针对性比较强，管理体系及制度比较健全，生产目标比较明确。</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1.0分：管理人员架构基本完整、基本科学、针对性一般，管理体系及制度基本健全，生产目标基本明确。</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0.5分：管理人员架构不完整、不科学、针对性不强，管理体系及制度不健全，生产目标不明确。</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6ADE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01C4B199">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28087BC0">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77A2A6F5">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技术重点、难点及相应解决方案</w:t>
            </w:r>
          </w:p>
        </w:tc>
        <w:tc>
          <w:tcPr>
            <w:tcW w:w="935" w:type="dxa"/>
            <w:gridSpan w:val="2"/>
            <w:vAlign w:val="center"/>
          </w:tcPr>
          <w:p w14:paraId="0D0AC703">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277689B2">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评审维度：1.技术；2.工艺；3.重点与难点</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2.0分：关键施工技术、工艺及工程项目实施的重点与难点有针对性，有适用本工程详尽可行的施工技术与方案，考虑周密全面。</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1.5分：关键施工技术、工艺及工程项目实施的重点与难点比较有针对性，有适用本工程可行的施工技术与方案，考虑比较周密全面。</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1.0分：关键施工技术、工艺及工程项目实施的重点与难点针对性不强，有适用本工程的施工技术与方案，考虑基本周密全面。</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0.5分：关键施工技术、工艺及工程项目实施的重点与难点没有针对性，没有适用本工程的施工技术与方案，考虑不周密不全面。</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0CAC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F2CF944">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A7B6350">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285B6131">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总体概述</w:t>
            </w:r>
          </w:p>
        </w:tc>
        <w:tc>
          <w:tcPr>
            <w:tcW w:w="935" w:type="dxa"/>
            <w:gridSpan w:val="2"/>
            <w:vAlign w:val="center"/>
          </w:tcPr>
          <w:p w14:paraId="0619C3A9">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37BE0B56">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评审维度：1.总体认识；2.总体组织；3.总体设计</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2.0分：对项目总体认识全面深刻，论述完整清晰，总体组织符合实际，总体设计符合规范，总体规划合理，综合措施科学。</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1.5分：对项目总体认识比较全面，论述比较清晰，总体组织比较符合实际，总体设计比较符合规范，总体计划比较合理，综合措施比较科学。</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1.0分：对项目总体认识基本全面，论述基本清晰，总体组织基本符合实际，总体设计基本符合规范，总体计划基本合理，综合措施基本科学。</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0.5分：对项目总体认识不全面，论述不清晰，总体组织不符合实际，总体设计不符合规范，总体计划不合理，综合措施</w:t>
            </w:r>
            <w:bookmarkStart w:id="1775" w:name="_GoBack"/>
            <w:bookmarkEnd w:id="1775"/>
            <w:r>
              <w:rPr>
                <w:rFonts w:ascii="宋体" w:hAnsi="宋体" w:eastAsia="宋体" w:cs="宋体"/>
                <w:color w:val="auto"/>
                <w:highlight w:val="none"/>
              </w:rPr>
              <w:t>不科学。</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79B9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60AAAE0">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C1BAA9F">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4D995B7E">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施工进度计划</w:t>
            </w:r>
          </w:p>
        </w:tc>
        <w:tc>
          <w:tcPr>
            <w:tcW w:w="935" w:type="dxa"/>
            <w:gridSpan w:val="2"/>
            <w:vAlign w:val="center"/>
          </w:tcPr>
          <w:p w14:paraId="13C827AA">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0896AC0A">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评审维度：1.工程进度；2.保证措施；3.计划安排</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结合项目的情况，有切实可行的工程进度横道图或网络图，有完善的进度保证措施，施工进度计划安排合理完善、施工总进度表或施工网络图准确、各工序进度安排合理、衔接关系合适，能够确保在合同工期内完工。</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1.5分：施工进度计划安排比较合理、施工总进度横道图或施工网络图准确、各工序进度安排、衔接关系较合适、能保证合同工期内完工，进度保证措施较为完善。</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1.0分：施工进度计划安排基本合理、施工总进度横道图或施工网络图准确、各工序进度安排、衔接关系基本合适、能在合同工期内完工，进度保证措施基本完善。</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0.5分：施工进度计划安排欠缺、施工总进度横道图或施工网络图不合理、各工序进度安排、衔接关系不切实可行、能在合同工期内完工，进度保证措施不完善。</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54D9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5E785FCB">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7B57250">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451F868E">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施工技术方案</w:t>
            </w:r>
          </w:p>
        </w:tc>
        <w:tc>
          <w:tcPr>
            <w:tcW w:w="935" w:type="dxa"/>
            <w:gridSpan w:val="2"/>
            <w:vAlign w:val="center"/>
          </w:tcPr>
          <w:p w14:paraId="01D37ABA">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107629DC">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评审维度：1.技术措施；2.施工方法；3.技术方案</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2.0分：施工技术方案全面，各分部分项工程施工技术措施考虑周全，详细论述了主要施工部位的施工方法，内容科学且合理可行。</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1.5分：施工技术方案基本全面，各分部分项工程施工技术措施考虑基本周全，论述了主要施工部位的施工方法，内容基本合理可行。</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1.0分：施工技术方案、各分部分项工程施工技术措施、主要施工部位的施工方法有所欠缺。</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0.5分：施工技术方案、各分部分项工程施工技术措施、主要施工部位的施工方法不合理。</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6F31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301CED8A">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3EBD9DE3">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65D0727C">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材料投入计划</w:t>
            </w:r>
          </w:p>
        </w:tc>
        <w:tc>
          <w:tcPr>
            <w:tcW w:w="935" w:type="dxa"/>
            <w:gridSpan w:val="2"/>
            <w:vAlign w:val="center"/>
          </w:tcPr>
          <w:p w14:paraId="69AA2537">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31F262E9">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评审维度：1.种类；2.数量；3.投入计划</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2.0分：材料种类齐全、数量满足工程需求、投入计划合理完善。</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1.5分：材料种类基本齐全、数量基本满足需求、投入计划基本合理。</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1.0分：材料种类、数量、投入计划有所欠缺。</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0.5分：材料种类、数量、投入计划不合理。</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332E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09648DA">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7C4B02A2">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29ADF6D8">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劳动力安排计划</w:t>
            </w:r>
          </w:p>
        </w:tc>
        <w:tc>
          <w:tcPr>
            <w:tcW w:w="935" w:type="dxa"/>
            <w:gridSpan w:val="2"/>
            <w:vAlign w:val="center"/>
          </w:tcPr>
          <w:p w14:paraId="17B19334">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7CE426D3">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评审维度：1.安排计划；2.保证措施；3.工种配备</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2.0分：劳动力安排计划全面完善，保证措施及时间安排合理可行，各工种配备齐全、数量充足。</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1.5分：劳动力安排计划基本完善，保证措施及时间安排基本合理，各工种、数量配备基本齐全。</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1.0分：劳动力安排计划、保证措施及时间安排、工种配备、数量有所欠缺。</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0.5分：劳动力安排计划、保证措施及时间安排、工种配备、数量不合理。</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66E6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38F27398">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4AF68FEC">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0B13FD8C">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施工机械设备投入</w:t>
            </w:r>
          </w:p>
        </w:tc>
        <w:tc>
          <w:tcPr>
            <w:tcW w:w="935" w:type="dxa"/>
            <w:gridSpan w:val="2"/>
            <w:vAlign w:val="center"/>
          </w:tcPr>
          <w:p w14:paraId="27E6F2DF">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2DBBBAA1">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评审维度：1.设备种类；2.进场计划；3.施工程序</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2.0分：施工机械设备种类齐全、配置合理、数量充足、进场计划时间明确、与进度计划及施工程序完全相符。</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1.5分：施工机械设备种类基本齐全、配置基本合理、有进场计划时间、与进度计划及施工程序基本相符。</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1.0分：施工机械设备的种类、配置、数量、进场计划时间有所欠缺。</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0.5分：施工机械设备的种类、配置、数量、进场计划时间不合理。</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63C0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0A6D6163">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2.2.2（2）</w:t>
            </w:r>
          </w:p>
        </w:tc>
        <w:tc>
          <w:tcPr>
            <w:tcW w:w="1059" w:type="dxa"/>
            <w:vMerge w:val="continue"/>
            <w:vAlign w:val="center"/>
          </w:tcPr>
          <w:p w14:paraId="6FCF4E34">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5E6A92CC">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施工总平面布置</w:t>
            </w:r>
          </w:p>
        </w:tc>
        <w:tc>
          <w:tcPr>
            <w:tcW w:w="935" w:type="dxa"/>
            <w:gridSpan w:val="2"/>
            <w:vAlign w:val="center"/>
          </w:tcPr>
          <w:p w14:paraId="52D36809">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2A673369">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评审维度：1.全面完善；2.合理齐全；3.贴合实际</w:t>
            </w:r>
            <w:r>
              <w:rPr>
                <w:rFonts w:ascii="宋体" w:hAnsi="宋体" w:eastAsia="宋体" w:cs="宋体"/>
                <w:color w:val="auto"/>
                <w:highlight w:val="none"/>
              </w:rPr>
              <w:br w:type="textWrapping"/>
            </w:r>
            <w:r>
              <w:rPr>
                <w:rFonts w:ascii="宋体" w:hAnsi="宋体" w:eastAsia="宋体" w:cs="宋体"/>
                <w:color w:val="auto"/>
                <w:highlight w:val="none"/>
              </w:rPr>
              <w:t>评审标准：1、优秀得</w:t>
            </w:r>
            <w:r>
              <w:rPr>
                <w:rFonts w:hint="eastAsia" w:ascii="宋体" w:hAnsi="宋体" w:cs="宋体"/>
                <w:color w:val="auto"/>
                <w:highlight w:val="none"/>
                <w:lang w:val="en-US" w:eastAsia="zh-CN"/>
              </w:rPr>
              <w:t>1.6-</w:t>
            </w:r>
            <w:r>
              <w:rPr>
                <w:rFonts w:ascii="宋体" w:hAnsi="宋体" w:eastAsia="宋体" w:cs="宋体"/>
                <w:color w:val="auto"/>
                <w:highlight w:val="none"/>
              </w:rPr>
              <w:t>2.0分：施工总平面布置全面完善，现场办公、材料存储、消防设施、卫生设施等布置合理齐全、安全、贴合实际。</w:t>
            </w:r>
            <w:r>
              <w:rPr>
                <w:rFonts w:ascii="宋体" w:hAnsi="宋体" w:eastAsia="宋体" w:cs="宋体"/>
                <w:color w:val="auto"/>
                <w:highlight w:val="none"/>
              </w:rPr>
              <w:br w:type="textWrapping"/>
            </w:r>
            <w:r>
              <w:rPr>
                <w:rFonts w:ascii="宋体" w:hAnsi="宋体" w:eastAsia="宋体" w:cs="宋体"/>
                <w:color w:val="auto"/>
                <w:highlight w:val="none"/>
              </w:rPr>
              <w:t>2、良好得</w:t>
            </w:r>
            <w:r>
              <w:rPr>
                <w:rFonts w:hint="eastAsia" w:ascii="宋体" w:hAnsi="宋体" w:cs="宋体"/>
                <w:color w:val="auto"/>
                <w:highlight w:val="none"/>
                <w:lang w:val="en-US" w:eastAsia="zh-CN"/>
              </w:rPr>
              <w:t>1.1-</w:t>
            </w:r>
            <w:r>
              <w:rPr>
                <w:rFonts w:ascii="宋体" w:hAnsi="宋体" w:eastAsia="宋体" w:cs="宋体"/>
                <w:color w:val="auto"/>
                <w:highlight w:val="none"/>
              </w:rPr>
              <w:t>1.5分：施工总平面布置基本完善，现场办公、材料存储、消防设施、卫生设施等布置基本合理。</w:t>
            </w:r>
            <w:r>
              <w:rPr>
                <w:rFonts w:ascii="宋体" w:hAnsi="宋体" w:eastAsia="宋体" w:cs="宋体"/>
                <w:color w:val="auto"/>
                <w:highlight w:val="none"/>
              </w:rPr>
              <w:br w:type="textWrapping"/>
            </w:r>
            <w:r>
              <w:rPr>
                <w:rFonts w:ascii="宋体" w:hAnsi="宋体" w:eastAsia="宋体" w:cs="宋体"/>
                <w:color w:val="auto"/>
                <w:highlight w:val="none"/>
              </w:rPr>
              <w:t>3、一般得</w:t>
            </w:r>
            <w:r>
              <w:rPr>
                <w:rFonts w:hint="eastAsia" w:ascii="宋体" w:hAnsi="宋体" w:cs="宋体"/>
                <w:color w:val="auto"/>
                <w:highlight w:val="none"/>
                <w:lang w:val="en-US" w:eastAsia="zh-CN"/>
              </w:rPr>
              <w:t>0.6-</w:t>
            </w:r>
            <w:r>
              <w:rPr>
                <w:rFonts w:ascii="宋体" w:hAnsi="宋体" w:eastAsia="宋体" w:cs="宋体"/>
                <w:color w:val="auto"/>
                <w:highlight w:val="none"/>
              </w:rPr>
              <w:t>1.0分：施工总平面布置、现场办公、材料存储、消防设施、卫生设施等布置有所欠缺。</w:t>
            </w:r>
            <w:r>
              <w:rPr>
                <w:rFonts w:ascii="宋体" w:hAnsi="宋体" w:eastAsia="宋体" w:cs="宋体"/>
                <w:color w:val="auto"/>
                <w:highlight w:val="none"/>
              </w:rPr>
              <w:br w:type="textWrapping"/>
            </w:r>
            <w:r>
              <w:rPr>
                <w:rFonts w:ascii="宋体" w:hAnsi="宋体" w:eastAsia="宋体" w:cs="宋体"/>
                <w:color w:val="auto"/>
                <w:highlight w:val="none"/>
              </w:rPr>
              <w:t>4、较差得</w:t>
            </w:r>
            <w:r>
              <w:rPr>
                <w:rFonts w:hint="eastAsia" w:ascii="宋体" w:hAnsi="宋体" w:cs="宋体"/>
                <w:color w:val="auto"/>
                <w:highlight w:val="none"/>
                <w:lang w:val="en-US" w:eastAsia="zh-CN"/>
              </w:rPr>
              <w:t>0.1-</w:t>
            </w:r>
            <w:r>
              <w:rPr>
                <w:rFonts w:ascii="宋体" w:hAnsi="宋体" w:eastAsia="宋体" w:cs="宋体"/>
                <w:color w:val="auto"/>
                <w:highlight w:val="none"/>
              </w:rPr>
              <w:t>0.5分：施工总平面布置不合理；</w:t>
            </w:r>
            <w:r>
              <w:rPr>
                <w:rFonts w:ascii="宋体" w:hAnsi="宋体" w:eastAsia="宋体" w:cs="宋体"/>
                <w:color w:val="auto"/>
                <w:highlight w:val="none"/>
              </w:rPr>
              <w:br w:type="textWrapping"/>
            </w:r>
            <w:r>
              <w:rPr>
                <w:rFonts w:ascii="宋体" w:hAnsi="宋体" w:eastAsia="宋体" w:cs="宋体"/>
                <w:color w:val="auto"/>
                <w:highlight w:val="none"/>
              </w:rPr>
              <w:t>5、未提供不得分。</w:t>
            </w:r>
          </w:p>
        </w:tc>
      </w:tr>
      <w:tr w14:paraId="4709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5C73855D">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2.2.2（3）</w:t>
            </w:r>
          </w:p>
        </w:tc>
        <w:tc>
          <w:tcPr>
            <w:tcW w:w="1059" w:type="dxa"/>
            <w:vMerge w:val="restart"/>
            <w:vAlign w:val="center"/>
          </w:tcPr>
          <w:p w14:paraId="5D3F3398">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61F62381">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企业业绩</w:t>
            </w:r>
          </w:p>
        </w:tc>
        <w:tc>
          <w:tcPr>
            <w:tcW w:w="935" w:type="dxa"/>
            <w:gridSpan w:val="2"/>
            <w:vAlign w:val="center"/>
          </w:tcPr>
          <w:p w14:paraId="6CA34C12">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58D53210">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业绩类别及专业：【施工类-建筑工程-不限专业】（新建工程）</w:t>
            </w:r>
            <w:r>
              <w:rPr>
                <w:rFonts w:ascii="宋体" w:hAnsi="宋体" w:eastAsia="宋体" w:cs="宋体"/>
                <w:color w:val="auto"/>
                <w:highlight w:val="none"/>
              </w:rPr>
              <w:br w:type="textWrapping"/>
            </w:r>
            <w:r>
              <w:rPr>
                <w:rFonts w:ascii="宋体" w:hAnsi="宋体" w:eastAsia="宋体" w:cs="宋体"/>
                <w:color w:val="auto"/>
                <w:highlight w:val="none"/>
              </w:rPr>
              <w:t>年份：202</w:t>
            </w:r>
            <w:r>
              <w:rPr>
                <w:rFonts w:hint="eastAsia" w:ascii="宋体" w:hAnsi="宋体" w:cs="宋体"/>
                <w:color w:val="auto"/>
                <w:highlight w:val="none"/>
                <w:lang w:val="en-US" w:eastAsia="zh-CN"/>
              </w:rPr>
              <w:t>3</w:t>
            </w:r>
            <w:r>
              <w:rPr>
                <w:rFonts w:ascii="宋体" w:hAnsi="宋体" w:eastAsia="宋体" w:cs="宋体"/>
                <w:color w:val="auto"/>
                <w:highlight w:val="none"/>
              </w:rPr>
              <w:t>年1月1日至投标截止时间</w:t>
            </w:r>
            <w:r>
              <w:rPr>
                <w:rFonts w:ascii="宋体" w:hAnsi="宋体" w:eastAsia="宋体" w:cs="宋体"/>
                <w:color w:val="auto"/>
                <w:highlight w:val="none"/>
              </w:rPr>
              <w:br w:type="textWrapping"/>
            </w:r>
            <w:r>
              <w:rPr>
                <w:rFonts w:ascii="宋体" w:hAnsi="宋体" w:eastAsia="宋体" w:cs="宋体"/>
                <w:color w:val="auto"/>
                <w:highlight w:val="none"/>
              </w:rPr>
              <w:t>金额：</w:t>
            </w:r>
            <w:r>
              <w:rPr>
                <w:rFonts w:hint="eastAsia" w:ascii="宋体" w:hAnsi="宋体" w:eastAsia="宋体" w:cs="宋体"/>
                <w:color w:val="auto"/>
                <w:highlight w:val="none"/>
                <w:lang w:val="en-US" w:eastAsia="zh-CN"/>
              </w:rPr>
              <w:t>5</w:t>
            </w:r>
            <w:r>
              <w:rPr>
                <w:rFonts w:hint="eastAsia" w:ascii="宋体" w:hAnsi="宋体" w:cs="宋体"/>
                <w:color w:val="auto"/>
                <w:highlight w:val="none"/>
                <w:lang w:val="en-US" w:eastAsia="zh-CN"/>
              </w:rPr>
              <w:t>00</w:t>
            </w:r>
            <w:r>
              <w:rPr>
                <w:rFonts w:ascii="宋体" w:hAnsi="宋体" w:eastAsia="宋体" w:cs="宋体"/>
                <w:color w:val="auto"/>
                <w:highlight w:val="none"/>
              </w:rPr>
              <w:t>万元（含）以上</w:t>
            </w:r>
            <w:r>
              <w:rPr>
                <w:rFonts w:ascii="宋体" w:hAnsi="宋体" w:eastAsia="宋体" w:cs="宋体"/>
                <w:color w:val="auto"/>
                <w:highlight w:val="none"/>
              </w:rPr>
              <w:br w:type="textWrapping"/>
            </w:r>
            <w:r>
              <w:rPr>
                <w:rFonts w:ascii="宋体" w:hAnsi="宋体" w:eastAsia="宋体" w:cs="宋体"/>
                <w:color w:val="auto"/>
                <w:highlight w:val="none"/>
              </w:rPr>
              <w:t>分值：</w:t>
            </w:r>
            <w:r>
              <w:rPr>
                <w:rFonts w:hint="eastAsia" w:ascii="宋体" w:hAnsi="宋体" w:eastAsia="宋体" w:cs="宋体"/>
                <w:color w:val="auto"/>
                <w:highlight w:val="none"/>
                <w:lang w:val="en-US" w:eastAsia="zh-CN"/>
              </w:rPr>
              <w:t>1</w:t>
            </w:r>
            <w:r>
              <w:rPr>
                <w:rFonts w:ascii="宋体" w:hAnsi="宋体" w:eastAsia="宋体" w:cs="宋体"/>
                <w:color w:val="auto"/>
                <w:highlight w:val="none"/>
              </w:rPr>
              <w:t>分/个，满分：2分。</w:t>
            </w:r>
            <w:r>
              <w:rPr>
                <w:rFonts w:ascii="宋体" w:hAnsi="宋体" w:eastAsia="宋体" w:cs="宋体"/>
                <w:color w:val="auto"/>
                <w:highlight w:val="none"/>
              </w:rPr>
              <w:br w:type="textWrapping"/>
            </w:r>
            <w:r>
              <w:rPr>
                <w:rFonts w:ascii="宋体" w:hAnsi="宋体" w:eastAsia="宋体" w:cs="宋体"/>
                <w:color w:val="auto"/>
                <w:highlight w:val="none"/>
              </w:rPr>
              <w:t>注：业绩以住建领域主体信息库A类入库信息为准，时间以</w:t>
            </w:r>
            <w:r>
              <w:rPr>
                <w:rFonts w:hint="eastAsia" w:ascii="宋体" w:hAnsi="宋体" w:cs="宋体"/>
                <w:color w:val="auto"/>
                <w:highlight w:val="none"/>
                <w:lang w:val="en-US" w:eastAsia="zh-CN"/>
              </w:rPr>
              <w:t>竣工验收</w:t>
            </w:r>
            <w:r>
              <w:rPr>
                <w:rFonts w:ascii="宋体" w:hAnsi="宋体" w:eastAsia="宋体" w:cs="宋体"/>
                <w:color w:val="auto"/>
                <w:highlight w:val="none"/>
              </w:rPr>
              <w:t>时间为准。</w:t>
            </w:r>
          </w:p>
        </w:tc>
      </w:tr>
      <w:tr w14:paraId="59F1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7643D6D">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2.2.2（3）</w:t>
            </w:r>
          </w:p>
        </w:tc>
        <w:tc>
          <w:tcPr>
            <w:tcW w:w="1059" w:type="dxa"/>
            <w:vMerge w:val="continue"/>
            <w:vAlign w:val="center"/>
          </w:tcPr>
          <w:p w14:paraId="0896623F">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1D732F45">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企业认证</w:t>
            </w:r>
          </w:p>
        </w:tc>
        <w:tc>
          <w:tcPr>
            <w:tcW w:w="935" w:type="dxa"/>
            <w:gridSpan w:val="2"/>
            <w:vAlign w:val="center"/>
          </w:tcPr>
          <w:p w14:paraId="1014EF57">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3</w:t>
            </w:r>
          </w:p>
        </w:tc>
        <w:tc>
          <w:tcPr>
            <w:tcW w:w="4111" w:type="dxa"/>
            <w:vAlign w:val="center"/>
          </w:tcPr>
          <w:p w14:paraId="29516F09">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评审内容：</w:t>
            </w:r>
            <w:r>
              <w:rPr>
                <w:rFonts w:ascii="宋体" w:hAnsi="宋体" w:eastAsia="宋体" w:cs="宋体"/>
                <w:color w:val="auto"/>
                <w:highlight w:val="none"/>
              </w:rPr>
              <w:br w:type="textWrapping"/>
            </w:r>
            <w:r>
              <w:rPr>
                <w:rFonts w:ascii="宋体" w:hAnsi="宋体" w:eastAsia="宋体" w:cs="宋体"/>
                <w:color w:val="auto"/>
                <w:highlight w:val="none"/>
              </w:rPr>
              <w:t>（1）质量管理体系认证证书 分值：1分</w:t>
            </w:r>
            <w:r>
              <w:rPr>
                <w:rFonts w:ascii="宋体" w:hAnsi="宋体" w:eastAsia="宋体" w:cs="宋体"/>
                <w:color w:val="auto"/>
                <w:highlight w:val="none"/>
              </w:rPr>
              <w:br w:type="textWrapping"/>
            </w:r>
            <w:r>
              <w:rPr>
                <w:rFonts w:ascii="宋体" w:hAnsi="宋体" w:eastAsia="宋体" w:cs="宋体"/>
                <w:color w:val="auto"/>
                <w:highlight w:val="none"/>
              </w:rPr>
              <w:t>（2）环境管理体系认证证书 分值：1分</w:t>
            </w:r>
            <w:r>
              <w:rPr>
                <w:rFonts w:ascii="宋体" w:hAnsi="宋体" w:eastAsia="宋体" w:cs="宋体"/>
                <w:color w:val="auto"/>
                <w:highlight w:val="none"/>
              </w:rPr>
              <w:br w:type="textWrapping"/>
            </w:r>
            <w:r>
              <w:rPr>
                <w:rFonts w:ascii="宋体" w:hAnsi="宋体" w:eastAsia="宋体" w:cs="宋体"/>
                <w:color w:val="auto"/>
                <w:highlight w:val="none"/>
              </w:rPr>
              <w:t>（3）职业健康安全管理体系认证证书 分值：1分</w:t>
            </w:r>
            <w:r>
              <w:rPr>
                <w:rFonts w:ascii="宋体" w:hAnsi="宋体" w:eastAsia="宋体" w:cs="宋体"/>
                <w:color w:val="auto"/>
                <w:highlight w:val="none"/>
              </w:rPr>
              <w:br w:type="textWrapping"/>
            </w:r>
            <w:r>
              <w:rPr>
                <w:rFonts w:ascii="宋体" w:hAnsi="宋体" w:eastAsia="宋体" w:cs="宋体"/>
                <w:color w:val="auto"/>
                <w:highlight w:val="none"/>
              </w:rPr>
              <w:t>满分：3分。</w:t>
            </w:r>
            <w:r>
              <w:rPr>
                <w:rFonts w:ascii="宋体" w:hAnsi="宋体" w:eastAsia="宋体" w:cs="宋体"/>
                <w:color w:val="auto"/>
                <w:highlight w:val="none"/>
              </w:rPr>
              <w:br w:type="textWrapping"/>
            </w:r>
            <w:r>
              <w:rPr>
                <w:rFonts w:ascii="宋体" w:hAnsi="宋体" w:eastAsia="宋体" w:cs="宋体"/>
                <w:color w:val="auto"/>
                <w:highlight w:val="none"/>
              </w:rPr>
              <w:t>注：以住建领域主体信息库入库的有效的认证证书为准。</w:t>
            </w:r>
          </w:p>
        </w:tc>
      </w:tr>
      <w:tr w14:paraId="1A15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371F71F0">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2.2.2（3）</w:t>
            </w:r>
          </w:p>
        </w:tc>
        <w:tc>
          <w:tcPr>
            <w:tcW w:w="1059" w:type="dxa"/>
            <w:vMerge w:val="continue"/>
            <w:vAlign w:val="center"/>
          </w:tcPr>
          <w:p w14:paraId="2EB13583">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63C27AB2">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拟派项目管理班子资历（职称证书）</w:t>
            </w:r>
          </w:p>
        </w:tc>
        <w:tc>
          <w:tcPr>
            <w:tcW w:w="935" w:type="dxa"/>
            <w:gridSpan w:val="2"/>
            <w:vAlign w:val="center"/>
          </w:tcPr>
          <w:p w14:paraId="6FECB1B6">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1</w:t>
            </w:r>
          </w:p>
        </w:tc>
        <w:tc>
          <w:tcPr>
            <w:tcW w:w="4111" w:type="dxa"/>
            <w:vAlign w:val="center"/>
          </w:tcPr>
          <w:p w14:paraId="6021D0FB">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人员类别：技术负责人（项目总工程师）</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评审内容：职称</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评审标准：【不限相关专业（指职称专业类别）</w:t>
            </w:r>
            <w:r>
              <w:rPr>
                <w:rFonts w:hint="eastAsia" w:ascii="宋体" w:hAnsi="宋体" w:eastAsia="宋体" w:cs="宋体"/>
                <w:b w:val="0"/>
                <w:bCs/>
                <w:i w:val="0"/>
                <w:color w:val="auto"/>
                <w:szCs w:val="21"/>
                <w:highlight w:val="none"/>
                <w:u w:val="none" w:color="auto"/>
                <w:lang w:val="en-US" w:eastAsia="zh-CN"/>
              </w:rPr>
              <w:t>高级</w:t>
            </w:r>
            <w:r>
              <w:rPr>
                <w:rFonts w:hint="eastAsia" w:ascii="宋体" w:hAnsi="宋体" w:eastAsia="宋体" w:cs="宋体"/>
                <w:b w:val="0"/>
                <w:bCs/>
                <w:i w:val="0"/>
                <w:color w:val="auto"/>
                <w:szCs w:val="21"/>
                <w:highlight w:val="none"/>
                <w:u w:val="none" w:color="auto"/>
              </w:rPr>
              <w:t>工程师（含）以上职称】</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分，满分：</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w:t>
            </w:r>
          </w:p>
        </w:tc>
      </w:tr>
      <w:tr w14:paraId="4B3E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58A89ECE">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2.2.2（3）</w:t>
            </w:r>
          </w:p>
        </w:tc>
        <w:tc>
          <w:tcPr>
            <w:tcW w:w="1059" w:type="dxa"/>
            <w:vMerge w:val="continue"/>
            <w:vAlign w:val="center"/>
          </w:tcPr>
          <w:p w14:paraId="74D36D37">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1A84A6FB">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拟派项目管理班子资历（安全生产考核合格证）</w:t>
            </w:r>
          </w:p>
        </w:tc>
        <w:tc>
          <w:tcPr>
            <w:tcW w:w="935" w:type="dxa"/>
            <w:gridSpan w:val="2"/>
            <w:vAlign w:val="center"/>
          </w:tcPr>
          <w:p w14:paraId="49D677A6">
            <w:pPr>
              <w:spacing w:line="420" w:lineRule="exact"/>
              <w:jc w:val="center"/>
              <w:rPr>
                <w:rFonts w:hint="eastAsia" w:ascii="宋体" w:hAnsi="宋体" w:eastAsia="宋体"/>
                <w:color w:val="auto"/>
                <w:szCs w:val="44"/>
                <w:highlight w:val="none"/>
                <w:lang w:eastAsia="zh-CN"/>
              </w:rPr>
            </w:pPr>
            <w:r>
              <w:rPr>
                <w:rFonts w:hint="eastAsia" w:ascii="宋体" w:hAnsi="宋体" w:cs="宋体"/>
                <w:b w:val="0"/>
                <w:bCs/>
                <w:i w:val="0"/>
                <w:color w:val="auto"/>
                <w:szCs w:val="21"/>
                <w:highlight w:val="none"/>
                <w:u w:val="none" w:color="auto"/>
                <w:lang w:val="en-US" w:eastAsia="zh-CN"/>
              </w:rPr>
              <w:t>1</w:t>
            </w:r>
          </w:p>
        </w:tc>
        <w:tc>
          <w:tcPr>
            <w:tcW w:w="4111" w:type="dxa"/>
            <w:vAlign w:val="center"/>
          </w:tcPr>
          <w:p w14:paraId="23B4CF9E">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评审内容：安全生产考核合格证</w:t>
            </w:r>
            <w:r>
              <w:rPr>
                <w:rFonts w:ascii="宋体" w:hAnsi="宋体" w:eastAsia="宋体" w:cs="宋体"/>
                <w:color w:val="auto"/>
                <w:highlight w:val="none"/>
              </w:rPr>
              <w:br w:type="textWrapping"/>
            </w:r>
            <w:r>
              <w:rPr>
                <w:rFonts w:ascii="宋体" w:hAnsi="宋体" w:eastAsia="宋体" w:cs="宋体"/>
                <w:color w:val="auto"/>
                <w:highlight w:val="none"/>
              </w:rPr>
              <w:t>（1）专职安全生产管理人员安全生产考核合格证 (C证) 分值：</w:t>
            </w:r>
            <w:r>
              <w:rPr>
                <w:rFonts w:hint="eastAsia" w:ascii="宋体" w:hAnsi="宋体" w:cs="宋体"/>
                <w:color w:val="auto"/>
                <w:highlight w:val="none"/>
                <w:lang w:val="en-US" w:eastAsia="zh-CN"/>
              </w:rPr>
              <w:t>1</w:t>
            </w:r>
            <w:r>
              <w:rPr>
                <w:rFonts w:ascii="宋体" w:hAnsi="宋体" w:eastAsia="宋体" w:cs="宋体"/>
                <w:color w:val="auto"/>
                <w:highlight w:val="none"/>
              </w:rPr>
              <w:t>分/个，最多得：</w:t>
            </w:r>
            <w:r>
              <w:rPr>
                <w:rFonts w:hint="eastAsia" w:ascii="宋体" w:hAnsi="宋体" w:cs="宋体"/>
                <w:color w:val="auto"/>
                <w:highlight w:val="none"/>
                <w:lang w:val="en-US" w:eastAsia="zh-CN"/>
              </w:rPr>
              <w:t>1</w:t>
            </w:r>
            <w:r>
              <w:rPr>
                <w:rFonts w:ascii="宋体" w:hAnsi="宋体" w:eastAsia="宋体" w:cs="宋体"/>
                <w:color w:val="auto"/>
                <w:highlight w:val="none"/>
              </w:rPr>
              <w:t>分</w:t>
            </w:r>
            <w:r>
              <w:rPr>
                <w:rFonts w:ascii="宋体" w:hAnsi="宋体" w:eastAsia="宋体" w:cs="宋体"/>
                <w:color w:val="auto"/>
                <w:highlight w:val="none"/>
              </w:rPr>
              <w:br w:type="textWrapping"/>
            </w:r>
            <w:r>
              <w:rPr>
                <w:rFonts w:ascii="宋体" w:hAnsi="宋体" w:eastAsia="宋体" w:cs="宋体"/>
                <w:color w:val="auto"/>
                <w:highlight w:val="none"/>
              </w:rPr>
              <w:t>满分：</w:t>
            </w:r>
            <w:r>
              <w:rPr>
                <w:rFonts w:hint="eastAsia" w:ascii="宋体" w:hAnsi="宋体" w:cs="宋体"/>
                <w:color w:val="auto"/>
                <w:highlight w:val="none"/>
                <w:lang w:val="en-US" w:eastAsia="zh-CN"/>
              </w:rPr>
              <w:t>1</w:t>
            </w:r>
            <w:r>
              <w:rPr>
                <w:rFonts w:ascii="宋体" w:hAnsi="宋体" w:eastAsia="宋体" w:cs="宋体"/>
                <w:color w:val="auto"/>
                <w:highlight w:val="none"/>
              </w:rPr>
              <w:t>分。</w:t>
            </w:r>
            <w:r>
              <w:rPr>
                <w:rFonts w:ascii="宋体" w:hAnsi="宋体" w:eastAsia="宋体" w:cs="宋体"/>
                <w:color w:val="auto"/>
                <w:highlight w:val="none"/>
              </w:rPr>
              <w:br w:type="textWrapping"/>
            </w:r>
            <w:r>
              <w:rPr>
                <w:rFonts w:ascii="宋体" w:hAnsi="宋体" w:eastAsia="宋体" w:cs="宋体"/>
                <w:color w:val="auto"/>
                <w:highlight w:val="none"/>
              </w:rPr>
              <w:t>注：以住建领域主体信息库入库的有效证书为准。</w:t>
            </w:r>
          </w:p>
        </w:tc>
      </w:tr>
      <w:tr w14:paraId="115C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0C0B9ED">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2.2.2（3）</w:t>
            </w:r>
          </w:p>
        </w:tc>
        <w:tc>
          <w:tcPr>
            <w:tcW w:w="1059" w:type="dxa"/>
            <w:vMerge w:val="continue"/>
            <w:vAlign w:val="center"/>
          </w:tcPr>
          <w:p w14:paraId="139CD6E6">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41AF6D31">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拟派项目管理班子资历（施工现场专业人员职业培训合格证）</w:t>
            </w:r>
          </w:p>
        </w:tc>
        <w:tc>
          <w:tcPr>
            <w:tcW w:w="935" w:type="dxa"/>
            <w:gridSpan w:val="2"/>
            <w:vAlign w:val="center"/>
          </w:tcPr>
          <w:p w14:paraId="6967A033">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14:paraId="3B3C038A">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评审内容：施工现场专业人员职业培训合格证</w:t>
            </w:r>
            <w:r>
              <w:rPr>
                <w:rFonts w:ascii="宋体" w:hAnsi="宋体" w:eastAsia="宋体" w:cs="宋体"/>
                <w:color w:val="auto"/>
                <w:highlight w:val="none"/>
              </w:rPr>
              <w:br w:type="textWrapping"/>
            </w:r>
            <w:r>
              <w:rPr>
                <w:rFonts w:ascii="宋体" w:hAnsi="宋体" w:eastAsia="宋体" w:cs="宋体"/>
                <w:color w:val="auto"/>
                <w:highlight w:val="none"/>
              </w:rPr>
              <w:t>（1）施工员 分值：0.5分/个，最多得：0.5分</w:t>
            </w:r>
            <w:r>
              <w:rPr>
                <w:rFonts w:ascii="宋体" w:hAnsi="宋体" w:eastAsia="宋体" w:cs="宋体"/>
                <w:color w:val="auto"/>
                <w:highlight w:val="none"/>
              </w:rPr>
              <w:br w:type="textWrapping"/>
            </w:r>
            <w:r>
              <w:rPr>
                <w:rFonts w:ascii="宋体" w:hAnsi="宋体" w:eastAsia="宋体" w:cs="宋体"/>
                <w:color w:val="auto"/>
                <w:highlight w:val="none"/>
              </w:rPr>
              <w:t>（2）</w:t>
            </w:r>
            <w:r>
              <w:rPr>
                <w:rFonts w:hint="eastAsia" w:ascii="宋体" w:hAnsi="宋体" w:cs="宋体"/>
                <w:color w:val="auto"/>
                <w:highlight w:val="none"/>
                <w:lang w:val="en-US" w:eastAsia="zh-CN"/>
              </w:rPr>
              <w:t>材料员</w:t>
            </w:r>
            <w:r>
              <w:rPr>
                <w:rFonts w:ascii="宋体" w:hAnsi="宋体" w:eastAsia="宋体" w:cs="宋体"/>
                <w:color w:val="auto"/>
                <w:highlight w:val="none"/>
              </w:rPr>
              <w:t xml:space="preserve"> 分值：0.5分/个，最多得：0.5分</w:t>
            </w:r>
            <w:r>
              <w:rPr>
                <w:rFonts w:ascii="宋体" w:hAnsi="宋体" w:eastAsia="宋体" w:cs="宋体"/>
                <w:color w:val="auto"/>
                <w:highlight w:val="none"/>
              </w:rPr>
              <w:br w:type="textWrapping"/>
            </w:r>
            <w:r>
              <w:rPr>
                <w:rFonts w:ascii="宋体" w:hAnsi="宋体" w:eastAsia="宋体" w:cs="宋体"/>
                <w:color w:val="auto"/>
                <w:highlight w:val="none"/>
              </w:rPr>
              <w:t>（3）</w:t>
            </w:r>
            <w:r>
              <w:rPr>
                <w:rFonts w:hint="eastAsia" w:ascii="宋体" w:hAnsi="宋体" w:cs="宋体"/>
                <w:color w:val="auto"/>
                <w:highlight w:val="none"/>
                <w:lang w:val="en-US" w:eastAsia="zh-CN"/>
              </w:rPr>
              <w:t>质检员</w:t>
            </w:r>
            <w:r>
              <w:rPr>
                <w:rFonts w:ascii="宋体" w:hAnsi="宋体" w:eastAsia="宋体" w:cs="宋体"/>
                <w:color w:val="auto"/>
                <w:highlight w:val="none"/>
              </w:rPr>
              <w:t xml:space="preserve"> 分值：0.5分/个，最多得：0.5分</w:t>
            </w:r>
            <w:r>
              <w:rPr>
                <w:rFonts w:ascii="宋体" w:hAnsi="宋体" w:eastAsia="宋体" w:cs="宋体"/>
                <w:color w:val="auto"/>
                <w:highlight w:val="none"/>
              </w:rPr>
              <w:br w:type="textWrapping"/>
            </w:r>
            <w:r>
              <w:rPr>
                <w:rFonts w:ascii="宋体" w:hAnsi="宋体" w:eastAsia="宋体" w:cs="宋体"/>
                <w:color w:val="auto"/>
                <w:highlight w:val="none"/>
              </w:rPr>
              <w:t>（4）资料员 分值：0.5分/个，最多得：0.5分</w:t>
            </w:r>
            <w:r>
              <w:rPr>
                <w:rFonts w:ascii="宋体" w:hAnsi="宋体" w:eastAsia="宋体" w:cs="宋体"/>
                <w:color w:val="auto"/>
                <w:highlight w:val="none"/>
              </w:rPr>
              <w:br w:type="textWrapping"/>
            </w:r>
            <w:r>
              <w:rPr>
                <w:rFonts w:ascii="宋体" w:hAnsi="宋体" w:eastAsia="宋体" w:cs="宋体"/>
                <w:color w:val="auto"/>
                <w:highlight w:val="none"/>
              </w:rPr>
              <w:t>满分：2分。</w:t>
            </w:r>
            <w:r>
              <w:rPr>
                <w:rFonts w:ascii="宋体" w:hAnsi="宋体" w:eastAsia="宋体" w:cs="宋体"/>
                <w:color w:val="auto"/>
                <w:highlight w:val="none"/>
              </w:rPr>
              <w:br w:type="textWrapping"/>
            </w:r>
            <w:r>
              <w:rPr>
                <w:rFonts w:ascii="宋体" w:hAnsi="宋体" w:eastAsia="宋体" w:cs="宋体"/>
                <w:color w:val="auto"/>
                <w:highlight w:val="none"/>
              </w:rPr>
              <w:t>注：以住建领域主体信息库入库的有效证书为准。</w:t>
            </w:r>
          </w:p>
        </w:tc>
      </w:tr>
      <w:tr w14:paraId="59E6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14:paraId="05538FD1">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7131" w:type="dxa"/>
            <w:gridSpan w:val="4"/>
            <w:vAlign w:val="center"/>
          </w:tcPr>
          <w:p w14:paraId="1133C0DD">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具体内容</w:t>
            </w:r>
          </w:p>
        </w:tc>
      </w:tr>
      <w:tr w14:paraId="2906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3DB25298">
            <w:pPr>
              <w:spacing w:line="420" w:lineRule="exact"/>
              <w:jc w:val="center"/>
              <w:rPr>
                <w:rFonts w:hint="default"/>
                <w:color w:val="auto"/>
                <w:szCs w:val="21"/>
                <w:highlight w:val="none"/>
              </w:rPr>
            </w:pPr>
            <w:r>
              <w:rPr>
                <w:rFonts w:hint="eastAsia"/>
                <w:color w:val="auto"/>
                <w:szCs w:val="21"/>
                <w:highlight w:val="none"/>
                <w:lang w:val="en-US" w:eastAsia="zh-CN"/>
              </w:rPr>
              <w:t>3.2.5</w:t>
            </w:r>
          </w:p>
        </w:tc>
        <w:tc>
          <w:tcPr>
            <w:tcW w:w="1059" w:type="dxa"/>
            <w:vAlign w:val="center"/>
          </w:tcPr>
          <w:p w14:paraId="66590E50">
            <w:pPr>
              <w:spacing w:line="420" w:lineRule="exact"/>
              <w:jc w:val="center"/>
              <w:rPr>
                <w:rFonts w:hint="default" w:ascii="宋体" w:hAnsi="宋体"/>
                <w:color w:val="auto"/>
                <w:szCs w:val="21"/>
                <w:highlight w:val="none"/>
              </w:rPr>
            </w:pPr>
            <w:r>
              <w:rPr>
                <w:rFonts w:hint="eastAsia" w:ascii="宋体" w:hAnsi="宋体"/>
                <w:color w:val="auto"/>
                <w:szCs w:val="21"/>
                <w:highlight w:val="none"/>
                <w:lang w:val="en-US" w:eastAsia="zh-CN"/>
              </w:rPr>
              <w:t>评分结果汇总</w:t>
            </w:r>
          </w:p>
        </w:tc>
        <w:tc>
          <w:tcPr>
            <w:tcW w:w="7131" w:type="dxa"/>
            <w:gridSpan w:val="4"/>
            <w:vAlign w:val="center"/>
          </w:tcPr>
          <w:p w14:paraId="53CA1D60">
            <w:pPr>
              <w:spacing w:line="380" w:lineRule="exact"/>
              <w:jc w:val="left"/>
              <w:rPr>
                <w:rFonts w:hint="eastAsia"/>
                <w:color w:val="auto"/>
                <w:highlight w:val="none"/>
              </w:rPr>
            </w:pPr>
            <w:r>
              <w:rPr>
                <w:rFonts w:hint="eastAsia" w:eastAsia="宋体"/>
                <w:color w:val="auto"/>
                <w:highlight w:val="none"/>
                <w:lang w:val="en-US" w:eastAsia="zh-CN"/>
              </w:rPr>
              <w:t>最终（含分项）评分结果汇总确定办法</w:t>
            </w:r>
            <w:r>
              <w:rPr>
                <w:rFonts w:hint="eastAsia"/>
                <w:color w:val="auto"/>
                <w:highlight w:val="none"/>
                <w:lang w:val="en-US" w:eastAsia="zh-CN"/>
              </w:rPr>
              <w:t>：</w:t>
            </w:r>
          </w:p>
          <w:p w14:paraId="6F0749CD">
            <w:pPr>
              <w:spacing w:line="380" w:lineRule="exact"/>
              <w:ind w:firstLine="420" w:firstLineChars="200"/>
              <w:jc w:val="left"/>
              <w:rPr>
                <w:rFonts w:hint="eastAsia"/>
                <w:color w:val="auto"/>
                <w:highlight w:val="none"/>
              </w:rPr>
            </w:pPr>
            <w:r>
              <w:rPr>
                <w:rFonts w:hint="eastAsia"/>
                <w:color w:val="auto"/>
                <w:highlight w:val="none"/>
                <w:lang w:val="en-US" w:eastAsia="zh-CN"/>
              </w:rPr>
              <w:t>☑所有评标委员会成员评分的算术平均值。</w:t>
            </w:r>
          </w:p>
          <w:p w14:paraId="25695EDE">
            <w:pPr>
              <w:spacing w:line="380" w:lineRule="exact"/>
              <w:ind w:firstLine="420" w:firstLineChars="200"/>
              <w:jc w:val="left"/>
              <w:rPr>
                <w:rFonts w:hint="default"/>
                <w:color w:val="auto"/>
                <w:highlight w:val="none"/>
              </w:rPr>
            </w:pPr>
            <w:r>
              <w:rPr>
                <w:rFonts w:hint="eastAsia"/>
                <w:color w:val="auto"/>
                <w:highlight w:val="none"/>
                <w:lang w:val="en-US" w:eastAsia="zh-CN"/>
              </w:rPr>
              <w:t>□所有评标委员会成员评分去掉一个最高分和一个最低分后计算平均值（分项评审成员3名（含3名）以下时，按照算术平均值进行计算）。</w:t>
            </w:r>
          </w:p>
        </w:tc>
      </w:tr>
      <w:tr w14:paraId="2CC6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393E2BDA">
            <w:pPr>
              <w:spacing w:line="420" w:lineRule="exact"/>
              <w:jc w:val="center"/>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14:paraId="4A81A315">
            <w:pPr>
              <w:spacing w:line="420" w:lineRule="exact"/>
              <w:jc w:val="center"/>
              <w:rPr>
                <w:rFonts w:hint="eastAsia" w:ascii="宋体" w:hAnsi="宋体"/>
                <w:b/>
                <w:color w:val="auto"/>
                <w:szCs w:val="21"/>
                <w:highlight w:val="none"/>
              </w:rPr>
            </w:pPr>
            <w:r>
              <w:rPr>
                <w:rFonts w:hint="eastAsia" w:ascii="宋体" w:hAnsi="宋体"/>
                <w:color w:val="auto"/>
                <w:szCs w:val="21"/>
                <w:highlight w:val="none"/>
              </w:rPr>
              <w:t>推荐中标候选人</w:t>
            </w:r>
          </w:p>
        </w:tc>
        <w:tc>
          <w:tcPr>
            <w:tcW w:w="7131" w:type="dxa"/>
            <w:gridSpan w:val="4"/>
            <w:vAlign w:val="center"/>
          </w:tcPr>
          <w:p w14:paraId="016576BB">
            <w:pPr>
              <w:spacing w:line="380" w:lineRule="exact"/>
              <w:rPr>
                <w:rFonts w:hint="eastAsia"/>
                <w:color w:val="auto"/>
                <w:highlight w:val="none"/>
              </w:rPr>
            </w:pPr>
            <w:r>
              <w:rPr>
                <w:rFonts w:hint="eastAsia" w:eastAsia="宋体"/>
                <w:color w:val="auto"/>
                <w:highlight w:val="none"/>
                <w:lang w:val="en-US" w:eastAsia="zh-CN"/>
              </w:rPr>
              <w:t xml:space="preserve">    （1）评标委员会向招标人推荐不超过3家的合格的中标候选人，且对每个中标候选人的技术咨询建议、优势、不足、风险等情况进行说明，提出推荐意见和建议。</w:t>
            </w:r>
            <w:r>
              <w:rPr>
                <w:rFonts w:hint="eastAsia" w:eastAsia="宋体"/>
                <w:color w:val="auto"/>
                <w:highlight w:val="none"/>
                <w:lang w:val="en-US" w:eastAsia="zh-CN"/>
              </w:rPr>
              <w:br w:type="textWrapping"/>
            </w:r>
            <w:r>
              <w:rPr>
                <w:rFonts w:hint="eastAsia" w:eastAsia="宋体"/>
                <w:color w:val="auto"/>
                <w:highlight w:val="none"/>
                <w:lang w:val="en-US" w:eastAsia="zh-CN"/>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14:paraId="55124181">
      <w:pPr>
        <w:pStyle w:val="5"/>
        <w:rPr>
          <w:color w:val="auto"/>
          <w:highlight w:val="none"/>
        </w:rPr>
      </w:pPr>
    </w:p>
    <w:p w14:paraId="15E8ADDC">
      <w:pPr>
        <w:rPr>
          <w:color w:val="auto"/>
          <w:highlight w:val="none"/>
        </w:rPr>
        <w:sectPr>
          <w:footerReference r:id="rId34" w:type="default"/>
          <w:pgSz w:w="11905" w:h="16839"/>
          <w:pgMar w:top="1431" w:right="1493" w:bottom="996" w:left="1502" w:header="0" w:footer="791" w:gutter="0"/>
          <w:pgNumType w:fmt="decimal"/>
          <w:cols w:space="720" w:num="1"/>
        </w:sectPr>
      </w:pPr>
    </w:p>
    <w:p w14:paraId="18A84363">
      <w:pPr>
        <w:spacing w:line="95" w:lineRule="auto"/>
        <w:rPr>
          <w:rFonts w:ascii="Arial"/>
          <w:color w:val="auto"/>
          <w:sz w:val="2"/>
          <w:highlight w:val="none"/>
        </w:rPr>
      </w:pPr>
    </w:p>
    <w:p w14:paraId="022E78E6">
      <w:pPr>
        <w:pStyle w:val="5"/>
        <w:rPr>
          <w:color w:val="auto"/>
          <w:highlight w:val="none"/>
        </w:rPr>
      </w:pPr>
    </w:p>
    <w:p w14:paraId="5A922535">
      <w:pPr>
        <w:spacing w:line="95" w:lineRule="auto"/>
        <w:rPr>
          <w:rFonts w:ascii="Arial"/>
          <w:color w:val="auto"/>
          <w:sz w:val="2"/>
          <w:highlight w:val="none"/>
        </w:rPr>
      </w:pPr>
    </w:p>
    <w:p w14:paraId="1CC19E76">
      <w:pPr>
        <w:pStyle w:val="24"/>
        <w:rPr>
          <w:color w:val="auto"/>
          <w:highlight w:val="none"/>
        </w:rPr>
      </w:pPr>
      <w:bookmarkStart w:id="96" w:name="_Toc183107218"/>
      <w:bookmarkStart w:id="97" w:name="_Toc3793"/>
      <w:bookmarkStart w:id="98" w:name="_Toc256000082"/>
      <w:bookmarkStart w:id="99" w:name="_Toc21662"/>
      <w:bookmarkStart w:id="100" w:name="_Toc18969"/>
      <w:bookmarkStart w:id="101" w:name="_Toc7346"/>
      <w:bookmarkStart w:id="102" w:name="_Hlk176002393"/>
      <w:r>
        <w:rPr>
          <w:rFonts w:hint="eastAsia"/>
          <w:color w:val="auto"/>
          <w:highlight w:val="none"/>
        </w:rPr>
        <w:t>评标办法正文部分</w:t>
      </w:r>
      <w:bookmarkEnd w:id="96"/>
      <w:bookmarkEnd w:id="97"/>
      <w:bookmarkEnd w:id="98"/>
      <w:bookmarkEnd w:id="99"/>
      <w:bookmarkEnd w:id="100"/>
      <w:bookmarkEnd w:id="101"/>
    </w:p>
    <w:bookmarkEnd w:id="102"/>
    <w:p w14:paraId="5574C31F">
      <w:pPr>
        <w:pStyle w:val="24"/>
        <w:rPr>
          <w:color w:val="auto"/>
          <w:highlight w:val="none"/>
        </w:rPr>
      </w:pPr>
      <w:bookmarkStart w:id="103" w:name="_Toc183107219"/>
      <w:bookmarkStart w:id="104" w:name="_Toc22052"/>
      <w:bookmarkStart w:id="105" w:name="_Toc256000083"/>
      <w:bookmarkStart w:id="106" w:name="_Toc3379"/>
      <w:bookmarkStart w:id="107" w:name="_Toc8844"/>
      <w:bookmarkStart w:id="108" w:name="_Toc17294"/>
      <w:r>
        <w:rPr>
          <w:rFonts w:hint="eastAsia"/>
          <w:color w:val="auto"/>
          <w:highlight w:val="none"/>
        </w:rPr>
        <w:t>1. 评标方法</w:t>
      </w:r>
      <w:bookmarkEnd w:id="103"/>
      <w:bookmarkEnd w:id="104"/>
      <w:bookmarkEnd w:id="105"/>
      <w:bookmarkEnd w:id="106"/>
      <w:bookmarkEnd w:id="107"/>
      <w:bookmarkEnd w:id="108"/>
    </w:p>
    <w:p w14:paraId="3EA12C47">
      <w:pPr>
        <w:spacing w:line="380" w:lineRule="exact"/>
        <w:ind w:firstLine="420" w:firstLineChars="200"/>
        <w:rPr>
          <w:color w:val="auto"/>
          <w:highlight w:val="none"/>
        </w:rPr>
      </w:pPr>
      <w:bookmarkStart w:id="109" w:name="_Hlk174448114"/>
      <w:r>
        <w:rPr>
          <w:rFonts w:hint="eastAsia"/>
          <w:color w:val="auto"/>
          <w:highlight w:val="none"/>
        </w:rPr>
        <w:t>本次评标采用综合评估法。评标委员会对满足招标文件实质性要求的投标文件，按照本章第2.2款规定的评分标准进行打分，并按评标办法前附表的规定推荐中标候选人</w:t>
      </w:r>
      <w:bookmarkStart w:id="110" w:name="_Hlk152257834"/>
      <w:r>
        <w:rPr>
          <w:rFonts w:hint="eastAsia" w:ascii="宋体" w:hAnsi="宋体" w:cs="宋体"/>
          <w:color w:val="auto"/>
          <w:szCs w:val="21"/>
          <w:highlight w:val="none"/>
        </w:rPr>
        <w:t>。</w:t>
      </w:r>
      <w:bookmarkEnd w:id="110"/>
    </w:p>
    <w:bookmarkEnd w:id="109"/>
    <w:p w14:paraId="10BF61A5">
      <w:pPr>
        <w:pStyle w:val="24"/>
        <w:rPr>
          <w:color w:val="auto"/>
          <w:highlight w:val="none"/>
        </w:rPr>
      </w:pPr>
      <w:bookmarkStart w:id="111" w:name="_Toc1873"/>
      <w:bookmarkStart w:id="112" w:name="_Toc19588"/>
      <w:bookmarkStart w:id="113" w:name="_Toc12380"/>
      <w:bookmarkStart w:id="114" w:name="_Toc24643"/>
      <w:bookmarkStart w:id="115" w:name="_Toc256000084"/>
      <w:bookmarkStart w:id="116" w:name="_Toc183107220"/>
      <w:r>
        <w:rPr>
          <w:rFonts w:hint="eastAsia"/>
          <w:color w:val="auto"/>
          <w:highlight w:val="none"/>
        </w:rPr>
        <w:t>2. 评审标准</w:t>
      </w:r>
      <w:bookmarkEnd w:id="111"/>
      <w:bookmarkEnd w:id="112"/>
      <w:bookmarkEnd w:id="113"/>
      <w:bookmarkEnd w:id="114"/>
      <w:bookmarkEnd w:id="115"/>
      <w:bookmarkEnd w:id="116"/>
    </w:p>
    <w:p w14:paraId="39C81884">
      <w:pPr>
        <w:pStyle w:val="25"/>
        <w:rPr>
          <w:color w:val="auto"/>
          <w:highlight w:val="none"/>
        </w:rPr>
      </w:pPr>
      <w:bookmarkStart w:id="117" w:name="_Toc256000085"/>
      <w:bookmarkStart w:id="118" w:name="_Toc3406"/>
      <w:bookmarkStart w:id="119" w:name="_Toc10494"/>
      <w:bookmarkStart w:id="120" w:name="_Toc183107221"/>
      <w:bookmarkStart w:id="121" w:name="_Toc22735"/>
      <w:bookmarkStart w:id="122" w:name="_Toc28442"/>
      <w:r>
        <w:rPr>
          <w:rFonts w:hint="eastAsia"/>
          <w:color w:val="auto"/>
          <w:highlight w:val="none"/>
        </w:rPr>
        <w:t>2.1 初步评审标准</w:t>
      </w:r>
      <w:bookmarkEnd w:id="117"/>
      <w:bookmarkEnd w:id="118"/>
      <w:bookmarkEnd w:id="119"/>
      <w:bookmarkEnd w:id="120"/>
      <w:bookmarkEnd w:id="121"/>
      <w:bookmarkEnd w:id="122"/>
    </w:p>
    <w:p w14:paraId="34893C1F">
      <w:pPr>
        <w:spacing w:line="380" w:lineRule="exact"/>
        <w:ind w:firstLine="420" w:firstLineChars="200"/>
        <w:rPr>
          <w:color w:val="auto"/>
          <w:highlight w:val="none"/>
        </w:rPr>
      </w:pPr>
      <w:r>
        <w:rPr>
          <w:rFonts w:hint="eastAsia"/>
          <w:color w:val="auto"/>
          <w:highlight w:val="none"/>
        </w:rPr>
        <w:t>2.1.1 形式评审标准：见评标办法前附表。</w:t>
      </w:r>
    </w:p>
    <w:p w14:paraId="643E55D1">
      <w:pPr>
        <w:spacing w:line="380" w:lineRule="exact"/>
        <w:ind w:firstLine="420" w:firstLineChars="200"/>
        <w:rPr>
          <w:color w:val="auto"/>
          <w:highlight w:val="none"/>
        </w:rPr>
      </w:pPr>
      <w:r>
        <w:rPr>
          <w:rFonts w:hint="eastAsia"/>
          <w:color w:val="auto"/>
          <w:highlight w:val="none"/>
        </w:rPr>
        <w:t>2.1.2 资格评审标准：见评标办法前附表。</w:t>
      </w:r>
    </w:p>
    <w:p w14:paraId="415BB041">
      <w:pPr>
        <w:spacing w:line="380" w:lineRule="exact"/>
        <w:ind w:firstLine="420" w:firstLineChars="200"/>
        <w:rPr>
          <w:color w:val="auto"/>
          <w:highlight w:val="none"/>
        </w:rPr>
      </w:pPr>
      <w:r>
        <w:rPr>
          <w:rFonts w:hint="eastAsia"/>
          <w:color w:val="auto"/>
          <w:highlight w:val="none"/>
        </w:rPr>
        <w:t>2.1.3 响应性评审标准：见评标办法前附表。</w:t>
      </w:r>
    </w:p>
    <w:p w14:paraId="4085713E">
      <w:pPr>
        <w:pStyle w:val="25"/>
        <w:rPr>
          <w:color w:val="auto"/>
          <w:highlight w:val="none"/>
        </w:rPr>
      </w:pPr>
      <w:bookmarkStart w:id="123" w:name="_Toc875"/>
      <w:bookmarkStart w:id="124" w:name="_Toc256000086"/>
      <w:bookmarkStart w:id="125" w:name="_Toc15268"/>
      <w:bookmarkStart w:id="126" w:name="_Toc32531"/>
      <w:bookmarkStart w:id="127" w:name="_Toc5159"/>
      <w:bookmarkStart w:id="128" w:name="_Toc183107222"/>
      <w:r>
        <w:rPr>
          <w:rFonts w:hint="eastAsia"/>
          <w:color w:val="auto"/>
          <w:highlight w:val="none"/>
        </w:rPr>
        <w:t>2.2 分值构成与评分标准</w:t>
      </w:r>
      <w:bookmarkEnd w:id="123"/>
      <w:bookmarkEnd w:id="124"/>
      <w:bookmarkEnd w:id="125"/>
      <w:bookmarkEnd w:id="126"/>
      <w:bookmarkEnd w:id="127"/>
      <w:bookmarkEnd w:id="128"/>
    </w:p>
    <w:p w14:paraId="1EF59EAB">
      <w:pPr>
        <w:spacing w:line="400" w:lineRule="exact"/>
        <w:ind w:firstLine="420" w:firstLineChars="200"/>
        <w:rPr>
          <w:color w:val="auto"/>
          <w:highlight w:val="none"/>
        </w:rPr>
      </w:pPr>
      <w:r>
        <w:rPr>
          <w:rFonts w:hint="eastAsia"/>
          <w:color w:val="auto"/>
          <w:highlight w:val="none"/>
        </w:rPr>
        <w:t xml:space="preserve">2.2.1 </w:t>
      </w:r>
      <w:r>
        <w:rPr>
          <w:rFonts w:hint="eastAsia" w:ascii="黑体" w:eastAsia="黑体"/>
          <w:color w:val="auto"/>
          <w:highlight w:val="none"/>
        </w:rPr>
        <w:t>分值构成</w:t>
      </w:r>
    </w:p>
    <w:p w14:paraId="42543874">
      <w:pPr>
        <w:spacing w:line="380" w:lineRule="exact"/>
        <w:ind w:firstLine="420" w:firstLineChars="200"/>
        <w:rPr>
          <w:color w:val="auto"/>
          <w:highlight w:val="none"/>
        </w:rPr>
      </w:pPr>
      <w:r>
        <w:rPr>
          <w:rFonts w:hint="eastAsia"/>
          <w:color w:val="auto"/>
          <w:highlight w:val="none"/>
        </w:rPr>
        <w:t>（1）投标报价（经济标）：见评标办法前附表；</w:t>
      </w:r>
    </w:p>
    <w:p w14:paraId="0A18A9B7">
      <w:pPr>
        <w:spacing w:line="380" w:lineRule="exact"/>
        <w:ind w:firstLine="420" w:firstLineChars="200"/>
        <w:rPr>
          <w:color w:val="auto"/>
          <w:highlight w:val="none"/>
        </w:rPr>
      </w:pPr>
      <w:r>
        <w:rPr>
          <w:rFonts w:hint="eastAsia"/>
          <w:color w:val="auto"/>
          <w:highlight w:val="none"/>
        </w:rPr>
        <w:t>（2）施工组织设计（技术标）：见评标办法前附表；</w:t>
      </w:r>
    </w:p>
    <w:p w14:paraId="1CB5B29E">
      <w:pPr>
        <w:spacing w:line="380" w:lineRule="exact"/>
        <w:ind w:firstLine="420" w:firstLineChars="200"/>
        <w:rPr>
          <w:color w:val="auto"/>
          <w:highlight w:val="none"/>
        </w:rPr>
      </w:pPr>
      <w:r>
        <w:rPr>
          <w:rFonts w:hint="eastAsia"/>
          <w:color w:val="auto"/>
          <w:highlight w:val="none"/>
        </w:rPr>
        <w:t>（3）资信业绩：见评标办法前附表；</w:t>
      </w:r>
    </w:p>
    <w:p w14:paraId="74F717C2">
      <w:pPr>
        <w:spacing w:line="380" w:lineRule="exact"/>
        <w:ind w:firstLine="420" w:firstLineChars="200"/>
        <w:rPr>
          <w:color w:val="auto"/>
          <w:highlight w:val="none"/>
        </w:rPr>
      </w:pPr>
      <w:r>
        <w:rPr>
          <w:rFonts w:hint="eastAsia"/>
          <w:color w:val="auto"/>
          <w:highlight w:val="none"/>
        </w:rPr>
        <w:t>（4）其他因素：见评标办法前附表。</w:t>
      </w:r>
    </w:p>
    <w:p w14:paraId="1C2158F1">
      <w:pPr>
        <w:spacing w:line="400" w:lineRule="exact"/>
        <w:ind w:firstLine="420" w:firstLineChars="200"/>
        <w:rPr>
          <w:color w:val="auto"/>
          <w:highlight w:val="none"/>
        </w:rPr>
      </w:pPr>
      <w:r>
        <w:rPr>
          <w:rFonts w:hint="eastAsia"/>
          <w:color w:val="auto"/>
          <w:highlight w:val="none"/>
        </w:rPr>
        <w:t xml:space="preserve">2.2.2 </w:t>
      </w:r>
      <w:r>
        <w:rPr>
          <w:rFonts w:hint="eastAsia" w:ascii="黑体" w:eastAsia="黑体"/>
          <w:color w:val="auto"/>
          <w:highlight w:val="none"/>
        </w:rPr>
        <w:t>评标基准价计算</w:t>
      </w:r>
    </w:p>
    <w:p w14:paraId="2CF2C355">
      <w:pPr>
        <w:spacing w:line="380" w:lineRule="exact"/>
        <w:ind w:firstLine="420" w:firstLineChars="200"/>
        <w:rPr>
          <w:color w:val="auto"/>
          <w:highlight w:val="none"/>
        </w:rPr>
      </w:pPr>
      <w:r>
        <w:rPr>
          <w:rFonts w:hint="eastAsia"/>
          <w:color w:val="auto"/>
          <w:highlight w:val="none"/>
        </w:rPr>
        <w:t>（1）评标价确定方法：见评标办法前附表；</w:t>
      </w:r>
    </w:p>
    <w:p w14:paraId="3F45BF97">
      <w:pPr>
        <w:spacing w:line="380" w:lineRule="exact"/>
        <w:ind w:firstLine="420" w:firstLineChars="200"/>
        <w:rPr>
          <w:color w:val="auto"/>
          <w:highlight w:val="none"/>
        </w:rPr>
      </w:pPr>
      <w:r>
        <w:rPr>
          <w:rFonts w:hint="eastAsia"/>
          <w:color w:val="auto"/>
          <w:highlight w:val="none"/>
        </w:rPr>
        <w:t>（2）评标基准价计算方法：见评标办法前附表。</w:t>
      </w:r>
    </w:p>
    <w:p w14:paraId="6441121F">
      <w:pPr>
        <w:spacing w:line="400" w:lineRule="exact"/>
        <w:ind w:firstLine="420" w:firstLineChars="200"/>
        <w:rPr>
          <w:color w:val="auto"/>
          <w:highlight w:val="none"/>
        </w:rPr>
      </w:pPr>
      <w:r>
        <w:rPr>
          <w:rFonts w:hint="eastAsia"/>
          <w:color w:val="auto"/>
          <w:highlight w:val="none"/>
        </w:rPr>
        <w:t xml:space="preserve">2.2.3 </w:t>
      </w:r>
      <w:r>
        <w:rPr>
          <w:rFonts w:hint="eastAsia" w:ascii="黑体" w:eastAsia="黑体"/>
          <w:color w:val="auto"/>
          <w:highlight w:val="none"/>
        </w:rPr>
        <w:t>投标报价的偏差率计算</w:t>
      </w:r>
    </w:p>
    <w:p w14:paraId="3CF809D6">
      <w:pPr>
        <w:spacing w:line="380" w:lineRule="exact"/>
        <w:ind w:firstLine="420" w:firstLineChars="200"/>
        <w:rPr>
          <w:color w:val="auto"/>
          <w:highlight w:val="none"/>
        </w:rPr>
      </w:pPr>
      <w:r>
        <w:rPr>
          <w:rFonts w:hint="eastAsia"/>
          <w:color w:val="auto"/>
          <w:highlight w:val="none"/>
        </w:rPr>
        <w:t>投标报价的偏差率计算公式：见评标办法前附表。</w:t>
      </w:r>
    </w:p>
    <w:p w14:paraId="2B3E5DAF">
      <w:pPr>
        <w:spacing w:line="400" w:lineRule="exact"/>
        <w:ind w:firstLine="420" w:firstLineChars="200"/>
        <w:rPr>
          <w:color w:val="auto"/>
          <w:highlight w:val="none"/>
        </w:rPr>
      </w:pPr>
      <w:r>
        <w:rPr>
          <w:rFonts w:hint="eastAsia"/>
          <w:color w:val="auto"/>
          <w:highlight w:val="none"/>
        </w:rPr>
        <w:t xml:space="preserve">2.2.4 </w:t>
      </w:r>
      <w:r>
        <w:rPr>
          <w:rFonts w:hint="eastAsia" w:ascii="黑体" w:eastAsia="黑体"/>
          <w:color w:val="auto"/>
          <w:highlight w:val="none"/>
        </w:rPr>
        <w:t>评分标准</w:t>
      </w:r>
    </w:p>
    <w:p w14:paraId="2D998335">
      <w:pPr>
        <w:spacing w:line="380" w:lineRule="exact"/>
        <w:ind w:firstLine="420" w:firstLineChars="200"/>
        <w:rPr>
          <w:color w:val="auto"/>
          <w:highlight w:val="none"/>
        </w:rPr>
      </w:pPr>
      <w:r>
        <w:rPr>
          <w:rFonts w:hint="eastAsia"/>
          <w:color w:val="auto"/>
          <w:highlight w:val="none"/>
        </w:rPr>
        <w:t>（1）经济标评分标准：见评标办法前附表；</w:t>
      </w:r>
    </w:p>
    <w:p w14:paraId="766B7556">
      <w:pPr>
        <w:spacing w:line="380" w:lineRule="exact"/>
        <w:ind w:firstLine="420" w:firstLineChars="200"/>
        <w:rPr>
          <w:color w:val="auto"/>
          <w:highlight w:val="none"/>
        </w:rPr>
      </w:pPr>
      <w:r>
        <w:rPr>
          <w:rFonts w:hint="eastAsia"/>
          <w:color w:val="auto"/>
          <w:highlight w:val="none"/>
        </w:rPr>
        <w:t>（2）技术标评分标准：见评标办法前附表；</w:t>
      </w:r>
    </w:p>
    <w:p w14:paraId="1953887A">
      <w:pPr>
        <w:spacing w:line="380" w:lineRule="exact"/>
        <w:ind w:firstLine="420" w:firstLineChars="200"/>
        <w:rPr>
          <w:color w:val="auto"/>
          <w:highlight w:val="none"/>
        </w:rPr>
      </w:pPr>
      <w:r>
        <w:rPr>
          <w:rFonts w:hint="eastAsia"/>
          <w:color w:val="auto"/>
          <w:highlight w:val="none"/>
        </w:rPr>
        <w:t>（3）资信标评分标准：见评标办法前附表；</w:t>
      </w:r>
    </w:p>
    <w:p w14:paraId="3EF37ED2">
      <w:pPr>
        <w:spacing w:line="380" w:lineRule="exact"/>
        <w:ind w:firstLine="420" w:firstLineChars="200"/>
        <w:rPr>
          <w:color w:val="auto"/>
          <w:highlight w:val="none"/>
        </w:rPr>
      </w:pPr>
      <w:r>
        <w:rPr>
          <w:rFonts w:hint="eastAsia"/>
          <w:color w:val="auto"/>
          <w:highlight w:val="none"/>
        </w:rPr>
        <w:t>（4）其他因素评分标准：见评标办法前附表。</w:t>
      </w:r>
    </w:p>
    <w:p w14:paraId="3C1B211D">
      <w:pPr>
        <w:pStyle w:val="24"/>
        <w:rPr>
          <w:color w:val="auto"/>
          <w:highlight w:val="none"/>
        </w:rPr>
      </w:pPr>
      <w:bookmarkStart w:id="129" w:name="_Toc28065"/>
      <w:bookmarkStart w:id="130" w:name="_Toc256000087"/>
      <w:bookmarkStart w:id="131" w:name="_Toc183107223"/>
      <w:bookmarkStart w:id="132" w:name="_Toc29623"/>
      <w:bookmarkStart w:id="133" w:name="_Toc2216"/>
      <w:bookmarkStart w:id="134" w:name="_Toc25287"/>
      <w:r>
        <w:rPr>
          <w:rFonts w:hint="eastAsia"/>
          <w:color w:val="auto"/>
          <w:highlight w:val="none"/>
        </w:rPr>
        <w:t>3. 评标程序</w:t>
      </w:r>
      <w:bookmarkEnd w:id="129"/>
      <w:bookmarkEnd w:id="130"/>
      <w:bookmarkEnd w:id="131"/>
      <w:bookmarkEnd w:id="132"/>
      <w:bookmarkEnd w:id="133"/>
      <w:bookmarkEnd w:id="134"/>
    </w:p>
    <w:p w14:paraId="45D66AC8">
      <w:pPr>
        <w:pStyle w:val="25"/>
        <w:rPr>
          <w:color w:val="auto"/>
          <w:highlight w:val="none"/>
        </w:rPr>
      </w:pPr>
      <w:bookmarkStart w:id="135" w:name="_Toc256000088"/>
      <w:bookmarkStart w:id="136" w:name="_Toc183107224"/>
      <w:bookmarkStart w:id="137" w:name="_Toc32080"/>
      <w:bookmarkStart w:id="138" w:name="_Toc32314"/>
      <w:bookmarkStart w:id="139" w:name="_Toc32015"/>
      <w:bookmarkStart w:id="140" w:name="_Toc28740"/>
      <w:r>
        <w:rPr>
          <w:rFonts w:hint="eastAsia"/>
          <w:color w:val="auto"/>
          <w:highlight w:val="none"/>
        </w:rPr>
        <w:t>3.1 初步评审</w:t>
      </w:r>
      <w:bookmarkEnd w:id="135"/>
      <w:bookmarkEnd w:id="136"/>
      <w:bookmarkEnd w:id="137"/>
      <w:bookmarkEnd w:id="138"/>
      <w:bookmarkEnd w:id="139"/>
      <w:bookmarkEnd w:id="140"/>
    </w:p>
    <w:p w14:paraId="2D8F8A96">
      <w:pPr>
        <w:spacing w:line="380" w:lineRule="exact"/>
        <w:ind w:firstLine="420" w:firstLineChars="200"/>
        <w:rPr>
          <w:color w:val="auto"/>
          <w:highlight w:val="none"/>
        </w:rPr>
      </w:pPr>
      <w:r>
        <w:rPr>
          <w:rFonts w:hint="eastAsia"/>
          <w:color w:val="auto"/>
          <w:highlight w:val="none"/>
        </w:rPr>
        <w:t>3.1.1评标委员会依据本章第2.1款规定的标准对投标文件进行初步评审。有一项不符合评审标准的，评标委员会应当否决其投标。</w:t>
      </w:r>
    </w:p>
    <w:p w14:paraId="3E2BFE18">
      <w:pPr>
        <w:spacing w:line="380" w:lineRule="exact"/>
        <w:ind w:firstLine="420" w:firstLineChars="200"/>
        <w:rPr>
          <w:color w:val="auto"/>
          <w:highlight w:val="none"/>
        </w:rPr>
      </w:pPr>
      <w:r>
        <w:rPr>
          <w:rFonts w:hint="eastAsia"/>
          <w:color w:val="auto"/>
          <w:highlight w:val="none"/>
        </w:rPr>
        <w:t>3.1.2 投标人有以下情形之一的，评标委员会应当否决其投标：</w:t>
      </w:r>
    </w:p>
    <w:p w14:paraId="35376E63">
      <w:pPr>
        <w:spacing w:line="380" w:lineRule="exact"/>
        <w:ind w:firstLine="420" w:firstLineChars="200"/>
        <w:rPr>
          <w:color w:val="auto"/>
          <w:highlight w:val="none"/>
        </w:rPr>
      </w:pPr>
      <w:r>
        <w:rPr>
          <w:rFonts w:hint="eastAsia"/>
          <w:color w:val="auto"/>
          <w:highlight w:val="none"/>
        </w:rPr>
        <w:t>（1）不按评标委员会要求澄清、说明或补正。</w:t>
      </w:r>
    </w:p>
    <w:p w14:paraId="08CB93C5">
      <w:pPr>
        <w:spacing w:line="380" w:lineRule="exact"/>
        <w:ind w:firstLine="420" w:firstLineChars="200"/>
        <w:rPr>
          <w:color w:val="auto"/>
          <w:highlight w:val="none"/>
        </w:rPr>
      </w:pPr>
      <w:r>
        <w:rPr>
          <w:rFonts w:hint="eastAsia"/>
          <w:color w:val="auto"/>
          <w:highlight w:val="none"/>
        </w:rPr>
        <w:t>（2）有串通投标、弄虚作假、行贿或有其他违法行为；</w:t>
      </w:r>
    </w:p>
    <w:p w14:paraId="3CA3899C">
      <w:pPr>
        <w:spacing w:line="380" w:lineRule="exact"/>
        <w:ind w:firstLine="420" w:firstLineChars="200"/>
        <w:rPr>
          <w:color w:val="auto"/>
          <w:highlight w:val="none"/>
        </w:rPr>
      </w:pPr>
      <w:r>
        <w:rPr>
          <w:rFonts w:hint="eastAsia"/>
          <w:color w:val="auto"/>
          <w:highlight w:val="none"/>
        </w:rPr>
        <w:t>1）有下列情形之一的，视为投标人相互串通投标：</w:t>
      </w:r>
    </w:p>
    <w:p w14:paraId="458C217A">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14:paraId="09012EEB">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14:paraId="282BC103">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14:paraId="39AA9E59">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14:paraId="378DE068">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14:paraId="0AB0C2C7">
      <w:pPr>
        <w:spacing w:line="380" w:lineRule="exact"/>
        <w:ind w:firstLine="420" w:firstLineChars="200"/>
        <w:rPr>
          <w:color w:val="auto"/>
          <w:highlight w:val="none"/>
        </w:rPr>
      </w:pPr>
      <w:r>
        <w:rPr>
          <w:rFonts w:hint="eastAsia"/>
          <w:color w:val="auto"/>
          <w:highlight w:val="none"/>
        </w:rPr>
        <w:t>⑥ 不同投标人的投标文件相互混装；</w:t>
      </w:r>
    </w:p>
    <w:p w14:paraId="2DA68826">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14:paraId="259C13FB">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14:paraId="3C528BEE">
      <w:pPr>
        <w:spacing w:line="380" w:lineRule="exact"/>
        <w:ind w:firstLine="420" w:firstLineChars="200"/>
        <w:rPr>
          <w:color w:val="auto"/>
          <w:highlight w:val="none"/>
        </w:rPr>
      </w:pPr>
      <w:r>
        <w:rPr>
          <w:rFonts w:hint="eastAsia"/>
          <w:color w:val="auto"/>
          <w:highlight w:val="none"/>
        </w:rPr>
        <w:t>2）有下列情形之一的，属于弄虚作假行为：</w:t>
      </w:r>
    </w:p>
    <w:p w14:paraId="0CF31973">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14:paraId="32E9A4E1">
      <w:pPr>
        <w:spacing w:line="380" w:lineRule="exact"/>
        <w:ind w:firstLine="420" w:firstLineChars="200"/>
        <w:rPr>
          <w:color w:val="auto"/>
          <w:highlight w:val="none"/>
        </w:rPr>
      </w:pPr>
      <w:r>
        <w:rPr>
          <w:rFonts w:hint="eastAsia"/>
          <w:color w:val="auto"/>
          <w:highlight w:val="none"/>
        </w:rPr>
        <w:t>② 使用伪造、变造的许可证件；</w:t>
      </w:r>
    </w:p>
    <w:p w14:paraId="0F3B2D48">
      <w:pPr>
        <w:spacing w:line="380" w:lineRule="exact"/>
        <w:ind w:firstLine="420" w:firstLineChars="200"/>
        <w:rPr>
          <w:color w:val="auto"/>
          <w:highlight w:val="none"/>
        </w:rPr>
      </w:pPr>
      <w:r>
        <w:rPr>
          <w:rFonts w:hint="eastAsia"/>
          <w:color w:val="auto"/>
          <w:highlight w:val="none"/>
        </w:rPr>
        <w:t>③ 提供虚假的财务状况或者业绩；</w:t>
      </w:r>
    </w:p>
    <w:p w14:paraId="0A9AB26E">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14:paraId="0112108F">
      <w:pPr>
        <w:spacing w:line="380" w:lineRule="exact"/>
        <w:ind w:firstLine="420" w:firstLineChars="200"/>
        <w:rPr>
          <w:color w:val="auto"/>
          <w:highlight w:val="none"/>
        </w:rPr>
      </w:pPr>
      <w:r>
        <w:rPr>
          <w:rFonts w:hint="eastAsia"/>
          <w:color w:val="auto"/>
          <w:highlight w:val="none"/>
        </w:rPr>
        <w:t>⑤ 提供虚假的信用状况；</w:t>
      </w:r>
    </w:p>
    <w:p w14:paraId="45AB89A9">
      <w:pPr>
        <w:spacing w:line="380" w:lineRule="exact"/>
        <w:ind w:firstLine="420" w:firstLineChars="200"/>
        <w:rPr>
          <w:color w:val="auto"/>
          <w:highlight w:val="none"/>
        </w:rPr>
      </w:pPr>
      <w:r>
        <w:rPr>
          <w:rFonts w:hint="eastAsia"/>
          <w:color w:val="auto"/>
          <w:highlight w:val="none"/>
        </w:rPr>
        <w:t>⑥ 其他弄虚作假的行为。</w:t>
      </w:r>
    </w:p>
    <w:p w14:paraId="2DB0DA3A">
      <w:pPr>
        <w:spacing w:line="380" w:lineRule="exact"/>
        <w:ind w:firstLine="420" w:firstLineChars="200"/>
        <w:rPr>
          <w:color w:val="auto"/>
          <w:highlight w:val="none"/>
        </w:rPr>
      </w:pPr>
      <w:r>
        <w:rPr>
          <w:rFonts w:hint="eastAsia"/>
          <w:color w:val="auto"/>
          <w:highlight w:val="none"/>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14:paraId="10622E15">
      <w:pPr>
        <w:spacing w:line="380" w:lineRule="exact"/>
        <w:ind w:firstLine="420" w:firstLineChars="200"/>
        <w:rPr>
          <w:color w:val="auto"/>
          <w:highlight w:val="none"/>
        </w:rPr>
      </w:pPr>
      <w:r>
        <w:rPr>
          <w:rFonts w:hint="eastAsia"/>
          <w:color w:val="auto"/>
          <w:highlight w:val="none"/>
        </w:rPr>
        <w:t>（1）投标文件中的大写金额与小写金额不一致的，以大写金额为准；</w:t>
      </w:r>
    </w:p>
    <w:p w14:paraId="67B376FC">
      <w:pPr>
        <w:spacing w:line="380" w:lineRule="exact"/>
        <w:ind w:firstLine="420" w:firstLineChars="200"/>
        <w:rPr>
          <w:color w:val="auto"/>
          <w:highlight w:val="none"/>
        </w:rPr>
      </w:pPr>
      <w:r>
        <w:rPr>
          <w:rFonts w:hint="eastAsia"/>
          <w:color w:val="auto"/>
          <w:highlight w:val="none"/>
        </w:rPr>
        <w:t>（2）总价金额与依据单价计算出的结果不一致的，以单价金额为准修正总价，但单价金额小数点有明显错误的除外。</w:t>
      </w:r>
    </w:p>
    <w:p w14:paraId="18092E0C">
      <w:pPr>
        <w:spacing w:line="380" w:lineRule="exact"/>
        <w:ind w:firstLine="420" w:firstLineChars="200"/>
        <w:rPr>
          <w:color w:val="auto"/>
          <w:highlight w:val="none"/>
        </w:rPr>
      </w:pPr>
      <w:r>
        <w:rPr>
          <w:rFonts w:hint="eastAsia"/>
          <w:color w:val="auto"/>
          <w:highlight w:val="none"/>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14:paraId="1EDB89A3">
      <w:pPr>
        <w:spacing w:line="380" w:lineRule="exact"/>
        <w:ind w:firstLine="420" w:firstLineChars="200"/>
        <w:rPr>
          <w:color w:val="auto"/>
          <w:highlight w:val="none"/>
        </w:rPr>
      </w:pPr>
      <w:r>
        <w:rPr>
          <w:rFonts w:hint="eastAsia"/>
          <w:color w:val="auto"/>
          <w:highlight w:val="none"/>
        </w:rPr>
        <w:t>3.1</w:t>
      </w:r>
      <w:r>
        <w:rPr>
          <w:color w:val="auto"/>
          <w:highlight w:val="none"/>
        </w:rPr>
        <w:t>.</w:t>
      </w:r>
      <w:r>
        <w:rPr>
          <w:rFonts w:hint="eastAsia"/>
          <w:color w:val="auto"/>
          <w:highlight w:val="none"/>
        </w:rPr>
        <w:t>5</w:t>
      </w:r>
      <w:r>
        <w:rPr>
          <w:color w:val="auto"/>
          <w:highlight w:val="none"/>
        </w:rPr>
        <w:t xml:space="preserve"> 评标委员会否决不合格投标后，因有效投标不足三个使得投标明显缺乏竞争的，评标委员会可以否决全部投标。</w:t>
      </w:r>
    </w:p>
    <w:p w14:paraId="5F1D7CB5">
      <w:pPr>
        <w:pStyle w:val="25"/>
        <w:rPr>
          <w:color w:val="auto"/>
          <w:highlight w:val="none"/>
        </w:rPr>
      </w:pPr>
      <w:bookmarkStart w:id="141" w:name="_Toc183107225"/>
      <w:bookmarkStart w:id="142" w:name="_Toc256000089"/>
      <w:bookmarkStart w:id="143" w:name="_Toc27738"/>
      <w:bookmarkStart w:id="144" w:name="_Toc1896"/>
      <w:bookmarkStart w:id="145" w:name="_Toc12026"/>
      <w:bookmarkStart w:id="146" w:name="_Toc32738"/>
      <w:r>
        <w:rPr>
          <w:rFonts w:hint="eastAsia"/>
          <w:color w:val="auto"/>
          <w:highlight w:val="none"/>
        </w:rPr>
        <w:t>3.2 详细评审</w:t>
      </w:r>
      <w:bookmarkEnd w:id="141"/>
      <w:bookmarkEnd w:id="142"/>
      <w:bookmarkEnd w:id="143"/>
      <w:bookmarkEnd w:id="144"/>
      <w:bookmarkEnd w:id="145"/>
      <w:bookmarkEnd w:id="146"/>
    </w:p>
    <w:p w14:paraId="50267A70">
      <w:pPr>
        <w:spacing w:line="380" w:lineRule="exact"/>
        <w:ind w:firstLine="420" w:firstLineChars="200"/>
        <w:rPr>
          <w:color w:val="auto"/>
          <w:highlight w:val="none"/>
        </w:rPr>
      </w:pPr>
      <w:r>
        <w:rPr>
          <w:rFonts w:hint="eastAsia"/>
          <w:color w:val="auto"/>
          <w:highlight w:val="none"/>
        </w:rPr>
        <w:t>3.2.1 评标委员会对通过了初步评审的投标文件进行详细评审。</w:t>
      </w:r>
      <w:bookmarkStart w:id="147" w:name="_Hlk155258945"/>
      <w:r>
        <w:rPr>
          <w:rFonts w:hint="eastAsia"/>
          <w:color w:val="auto"/>
          <w:highlight w:val="none"/>
        </w:rPr>
        <w:t>如采用入围方式的，则按照评标办法前附表规定的方式进行入围。</w:t>
      </w:r>
      <w:bookmarkEnd w:id="147"/>
    </w:p>
    <w:p w14:paraId="27152F30">
      <w:pPr>
        <w:spacing w:line="380" w:lineRule="exact"/>
        <w:ind w:firstLine="420" w:firstLineChars="200"/>
        <w:rPr>
          <w:color w:val="auto"/>
          <w:highlight w:val="none"/>
        </w:rPr>
      </w:pPr>
      <w:r>
        <w:rPr>
          <w:rFonts w:hint="eastAsia"/>
          <w:color w:val="auto"/>
          <w:highlight w:val="none"/>
        </w:rPr>
        <w:t>3.2.2 评标委员会按本章第2.2款规定的量化因素和分值进行打分，并计算出综合评估得分。</w:t>
      </w:r>
    </w:p>
    <w:p w14:paraId="27FD3BC4">
      <w:pPr>
        <w:spacing w:line="380" w:lineRule="exact"/>
        <w:ind w:firstLine="420" w:firstLineChars="200"/>
        <w:rPr>
          <w:color w:val="auto"/>
          <w:highlight w:val="none"/>
        </w:rPr>
      </w:pPr>
      <w:r>
        <w:rPr>
          <w:rFonts w:hint="eastAsia"/>
          <w:color w:val="auto"/>
          <w:highlight w:val="none"/>
        </w:rPr>
        <w:t>（1）按本章第2.2.4（1）目规定的评审因素和分值对经济标计算出得分A；</w:t>
      </w:r>
    </w:p>
    <w:p w14:paraId="43A994D7">
      <w:pPr>
        <w:spacing w:line="380" w:lineRule="exact"/>
        <w:ind w:firstLine="420" w:firstLineChars="200"/>
        <w:rPr>
          <w:color w:val="auto"/>
          <w:highlight w:val="none"/>
        </w:rPr>
      </w:pPr>
      <w:r>
        <w:rPr>
          <w:rFonts w:hint="eastAsia"/>
          <w:color w:val="auto"/>
          <w:highlight w:val="none"/>
        </w:rPr>
        <w:t>（2）按本章第2.2.4（2）目规定的评审因素和分值对技术标计算出得分B；</w:t>
      </w:r>
    </w:p>
    <w:p w14:paraId="317088C2">
      <w:pPr>
        <w:spacing w:line="380" w:lineRule="exact"/>
        <w:ind w:firstLine="420" w:firstLineChars="200"/>
        <w:rPr>
          <w:color w:val="auto"/>
          <w:highlight w:val="none"/>
        </w:rPr>
      </w:pPr>
      <w:r>
        <w:rPr>
          <w:rFonts w:hint="eastAsia"/>
          <w:color w:val="auto"/>
          <w:highlight w:val="none"/>
        </w:rPr>
        <w:t>（3）按本章第2.2.4（3）目规定的评审因素和分值对资信标计算出得分C；</w:t>
      </w:r>
    </w:p>
    <w:p w14:paraId="42D74E35">
      <w:pPr>
        <w:spacing w:line="380" w:lineRule="exact"/>
        <w:ind w:firstLine="420" w:firstLineChars="200"/>
        <w:rPr>
          <w:color w:val="auto"/>
          <w:highlight w:val="none"/>
        </w:rPr>
      </w:pPr>
      <w:r>
        <w:rPr>
          <w:rFonts w:hint="eastAsia"/>
          <w:color w:val="auto"/>
          <w:highlight w:val="none"/>
        </w:rPr>
        <w:t>（4）按本章第2.2.4（4）目规定的评审因素和分值对其他因素计算出得分D。</w:t>
      </w:r>
    </w:p>
    <w:p w14:paraId="45F011E8">
      <w:pPr>
        <w:spacing w:line="380" w:lineRule="exact"/>
        <w:ind w:firstLine="420" w:firstLineChars="200"/>
        <w:rPr>
          <w:color w:val="auto"/>
          <w:highlight w:val="none"/>
        </w:rPr>
      </w:pPr>
      <w:r>
        <w:rPr>
          <w:rFonts w:hint="eastAsia"/>
          <w:color w:val="auto"/>
          <w:highlight w:val="none"/>
        </w:rPr>
        <w:t>3.2.3 评分分值计算保留小数点后两位，小数点后第三位“四舍五入”。</w:t>
      </w:r>
    </w:p>
    <w:p w14:paraId="6AA0F7AA">
      <w:pPr>
        <w:spacing w:line="380" w:lineRule="exact"/>
        <w:ind w:firstLine="420" w:firstLineChars="200"/>
        <w:rPr>
          <w:color w:val="auto"/>
          <w:highlight w:val="none"/>
        </w:rPr>
      </w:pPr>
      <w:r>
        <w:rPr>
          <w:rFonts w:hint="eastAsia"/>
          <w:color w:val="auto"/>
          <w:highlight w:val="none"/>
        </w:rPr>
        <w:t>3.2.4 投标人得分=A+B+C+D。</w:t>
      </w:r>
    </w:p>
    <w:p w14:paraId="3EAD5926">
      <w:pPr>
        <w:spacing w:line="380" w:lineRule="exact"/>
        <w:ind w:firstLine="420" w:firstLineChars="200"/>
        <w:rPr>
          <w:color w:val="auto"/>
          <w:highlight w:val="none"/>
        </w:rPr>
      </w:pPr>
      <w:r>
        <w:rPr>
          <w:rFonts w:hint="eastAsia"/>
          <w:color w:val="auto"/>
          <w:highlight w:val="none"/>
        </w:rPr>
        <w:t xml:space="preserve">3.2.5 </w:t>
      </w:r>
      <w:bookmarkStart w:id="148" w:name="_Hlk174450796"/>
      <w:r>
        <w:rPr>
          <w:rFonts w:hint="eastAsia"/>
          <w:color w:val="auto"/>
          <w:highlight w:val="none"/>
        </w:rPr>
        <w:t>各投标人评分结果汇总确定办法详见评标办法前附表。</w:t>
      </w:r>
      <w:bookmarkEnd w:id="148"/>
    </w:p>
    <w:p w14:paraId="0AA1C86F">
      <w:pPr>
        <w:pStyle w:val="25"/>
        <w:rPr>
          <w:color w:val="auto"/>
          <w:highlight w:val="none"/>
        </w:rPr>
      </w:pPr>
      <w:bookmarkStart w:id="149" w:name="_Toc183107226"/>
      <w:bookmarkStart w:id="150" w:name="_Toc7202"/>
      <w:bookmarkStart w:id="151" w:name="_Toc256000090"/>
      <w:bookmarkStart w:id="152" w:name="_Toc17508"/>
      <w:bookmarkStart w:id="153" w:name="_Toc9826"/>
      <w:bookmarkStart w:id="154" w:name="_Toc12851"/>
      <w:r>
        <w:rPr>
          <w:rFonts w:hint="eastAsia"/>
          <w:color w:val="auto"/>
          <w:highlight w:val="none"/>
        </w:rPr>
        <w:t>3.3 投标文件的澄清和补正</w:t>
      </w:r>
      <w:bookmarkEnd w:id="149"/>
      <w:bookmarkEnd w:id="150"/>
      <w:bookmarkEnd w:id="151"/>
      <w:bookmarkEnd w:id="152"/>
      <w:bookmarkEnd w:id="153"/>
      <w:bookmarkEnd w:id="154"/>
    </w:p>
    <w:p w14:paraId="50D5FDD2">
      <w:pPr>
        <w:spacing w:line="380" w:lineRule="exact"/>
        <w:ind w:firstLine="420" w:firstLineChars="200"/>
        <w:rPr>
          <w:color w:val="auto"/>
          <w:highlight w:val="none"/>
        </w:rPr>
      </w:pPr>
      <w:r>
        <w:rPr>
          <w:rFonts w:hint="eastAsia"/>
          <w:color w:val="auto"/>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7A0C9568">
      <w:pPr>
        <w:spacing w:line="380" w:lineRule="exact"/>
        <w:ind w:firstLine="420" w:firstLineChars="200"/>
        <w:rPr>
          <w:color w:val="auto"/>
          <w:highlight w:val="none"/>
        </w:rPr>
      </w:pPr>
      <w:r>
        <w:rPr>
          <w:rFonts w:hint="eastAsia"/>
          <w:color w:val="auto"/>
          <w:highlight w:val="none"/>
        </w:rPr>
        <w:t>3.3.2 澄清、说明和补正不得超出投标文件的范围且不得改变投标文件的实质性内容（算术错误修正的除外）。投标人的书面澄清、说明和补正属于投标文件的组成部分。</w:t>
      </w:r>
    </w:p>
    <w:p w14:paraId="0EEEFAAA">
      <w:pPr>
        <w:spacing w:line="380" w:lineRule="exact"/>
        <w:ind w:firstLine="420" w:firstLineChars="200"/>
        <w:rPr>
          <w:color w:val="auto"/>
          <w:highlight w:val="none"/>
        </w:rPr>
      </w:pPr>
      <w:r>
        <w:rPr>
          <w:rFonts w:hint="eastAsia"/>
          <w:color w:val="auto"/>
          <w:highlight w:val="none"/>
        </w:rPr>
        <w:t>3.3.3 评标委员会对投标人提交的澄清、说明或补正有疑问的，可以要求投标人进一步澄清、说明或补正，直至满足评标委员会的要求。</w:t>
      </w:r>
    </w:p>
    <w:p w14:paraId="18012D16">
      <w:pPr>
        <w:spacing w:line="380" w:lineRule="exact"/>
        <w:ind w:firstLine="420" w:firstLineChars="200"/>
        <w:rPr>
          <w:color w:val="auto"/>
          <w:highlight w:val="none"/>
        </w:rPr>
      </w:pPr>
      <w:bookmarkStart w:id="155" w:name="_Hlk150329621"/>
      <w:r>
        <w:rPr>
          <w:rFonts w:hint="eastAsia"/>
          <w:color w:val="auto"/>
          <w:highlight w:val="none"/>
        </w:rPr>
        <w:t>3.3.4</w:t>
      </w:r>
      <w:bookmarkStart w:id="156" w:name="_Hlk174451177"/>
      <w:r>
        <w:rPr>
          <w:rFonts w:hint="eastAsia"/>
          <w:color w:val="auto"/>
          <w:highlight w:val="none"/>
        </w:rPr>
        <w:t>评标委员会要求投标人对投标文件问题澄清的通知，以及投标人对投标文件的澄清通过</w:t>
      </w:r>
      <w:bookmarkStart w:id="157" w:name="_Hlk164710198"/>
      <w:r>
        <w:rPr>
          <w:rFonts w:hint="eastAsia"/>
          <w:color w:val="auto"/>
          <w:highlight w:val="none"/>
        </w:rPr>
        <w:t>电子招标投标系统（辽宁省工程建设项目数字化开标评标系统）</w:t>
      </w:r>
      <w:bookmarkEnd w:id="157"/>
      <w:r>
        <w:rPr>
          <w:rFonts w:hint="eastAsia"/>
          <w:color w:val="auto"/>
          <w:highlight w:val="none"/>
        </w:rPr>
        <w:t>以书面形式进行。</w:t>
      </w:r>
      <w:bookmarkStart w:id="158" w:name="_Hlk161316527"/>
      <w:r>
        <w:rPr>
          <w:rFonts w:hint="eastAsia"/>
          <w:color w:val="auto"/>
          <w:highlight w:val="none"/>
        </w:rPr>
        <w:t>投标人的澄清、说明或补正应在评标办法前附表通知规定的</w:t>
      </w:r>
      <w:r>
        <w:rPr>
          <w:rFonts w:hint="eastAsia" w:ascii="宋体" w:hAnsi="宋体" w:cs="微软雅黑"/>
          <w:color w:val="auto"/>
          <w:szCs w:val="21"/>
          <w:highlight w:val="none"/>
        </w:rPr>
        <w:t>时间要求内</w:t>
      </w:r>
      <w:r>
        <w:rPr>
          <w:rFonts w:hint="eastAsia"/>
          <w:color w:val="auto"/>
          <w:highlight w:val="none"/>
        </w:rPr>
        <w:t>提交，否则评标委员会（电子招标投标系统）将拒绝接收。</w:t>
      </w:r>
      <w:bookmarkEnd w:id="156"/>
      <w:bookmarkEnd w:id="158"/>
    </w:p>
    <w:bookmarkEnd w:id="155"/>
    <w:p w14:paraId="2886AC32">
      <w:pPr>
        <w:pStyle w:val="25"/>
        <w:rPr>
          <w:color w:val="auto"/>
          <w:highlight w:val="none"/>
        </w:rPr>
      </w:pPr>
      <w:bookmarkStart w:id="159" w:name="_Toc183107227"/>
      <w:bookmarkStart w:id="160" w:name="_Toc30920"/>
      <w:bookmarkStart w:id="161" w:name="_Toc256000091"/>
      <w:bookmarkStart w:id="162" w:name="_Toc27042"/>
      <w:bookmarkStart w:id="163" w:name="_Toc17511"/>
      <w:bookmarkStart w:id="164" w:name="_Toc14937"/>
      <w:r>
        <w:rPr>
          <w:rFonts w:hint="eastAsia"/>
          <w:color w:val="auto"/>
          <w:highlight w:val="none"/>
        </w:rPr>
        <w:t>3.4 评标结果</w:t>
      </w:r>
      <w:bookmarkEnd w:id="159"/>
      <w:bookmarkEnd w:id="160"/>
      <w:bookmarkEnd w:id="161"/>
      <w:bookmarkEnd w:id="162"/>
      <w:bookmarkEnd w:id="163"/>
      <w:bookmarkEnd w:id="164"/>
    </w:p>
    <w:p w14:paraId="0FB60AD4">
      <w:pPr>
        <w:spacing w:line="380" w:lineRule="exact"/>
        <w:ind w:firstLine="420" w:firstLineChars="200"/>
        <w:rPr>
          <w:color w:val="auto"/>
          <w:highlight w:val="none"/>
        </w:rPr>
      </w:pPr>
      <w:r>
        <w:rPr>
          <w:rFonts w:hint="eastAsia"/>
          <w:color w:val="auto"/>
          <w:highlight w:val="none"/>
        </w:rPr>
        <w:t>3.4.1</w:t>
      </w:r>
      <w:bookmarkStart w:id="165" w:name="_Hlk174451188"/>
      <w:r>
        <w:rPr>
          <w:rFonts w:hint="eastAsia"/>
          <w:color w:val="auto"/>
          <w:highlight w:val="none"/>
        </w:rPr>
        <w:t>评标委员会按照本章评标办法前附表规定的推荐方法和第二章“投标人须知”前附表第7.1款推荐的中标候选人数量推荐中标候选人。</w:t>
      </w:r>
      <w:bookmarkEnd w:id="165"/>
    </w:p>
    <w:p w14:paraId="3515976F">
      <w:pPr>
        <w:spacing w:line="380" w:lineRule="exact"/>
        <w:ind w:firstLine="420" w:firstLineChars="200"/>
        <w:rPr>
          <w:color w:val="auto"/>
          <w:highlight w:val="none"/>
        </w:rPr>
      </w:pPr>
      <w:r>
        <w:rPr>
          <w:rFonts w:hint="eastAsia"/>
          <w:color w:val="auto"/>
          <w:highlight w:val="none"/>
        </w:rPr>
        <w:t>3.4.2评标委员会完成评标后，应当向招标人提交书面评标报告。</w:t>
      </w:r>
    </w:p>
    <w:p w14:paraId="31A7DFC3">
      <w:pPr>
        <w:spacing w:line="380" w:lineRule="exact"/>
        <w:ind w:firstLine="420" w:firstLineChars="200"/>
        <w:rPr>
          <w:color w:val="auto"/>
          <w:highlight w:val="none"/>
        </w:rPr>
      </w:pPr>
      <w:bookmarkStart w:id="166" w:name="_Hlk174451199"/>
      <w:r>
        <w:rPr>
          <w:rFonts w:hint="eastAsia"/>
          <w:color w:val="auto"/>
          <w:highlight w:val="none"/>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166"/>
    </w:p>
    <w:p w14:paraId="3A25EAA8">
      <w:pPr>
        <w:spacing w:line="400" w:lineRule="exact"/>
        <w:ind w:firstLine="420" w:firstLineChars="200"/>
        <w:rPr>
          <w:color w:val="auto"/>
          <w:highlight w:val="none"/>
        </w:rPr>
      </w:pPr>
      <w:r>
        <w:rPr>
          <w:color w:val="auto"/>
          <w:highlight w:val="none"/>
        </w:rPr>
        <w:br w:type="page"/>
      </w:r>
    </w:p>
    <w:p w14:paraId="5278CCA5">
      <w:pPr>
        <w:spacing w:line="400" w:lineRule="exact"/>
        <w:ind w:firstLine="420" w:firstLineChars="200"/>
        <w:rPr>
          <w:rFonts w:hint="eastAsia" w:ascii="宋体" w:hAnsi="宋体"/>
          <w:color w:val="auto"/>
          <w:szCs w:val="21"/>
          <w:highlight w:val="none"/>
        </w:rPr>
        <w:sectPr>
          <w:footerReference r:id="rId35" w:type="default"/>
          <w:pgSz w:w="11906" w:h="16838"/>
          <w:pgMar w:top="1440" w:right="1797" w:bottom="1440" w:left="1797" w:header="851" w:footer="851" w:gutter="0"/>
          <w:cols w:space="720" w:num="1"/>
          <w:docGrid w:linePitch="312" w:charSpace="0"/>
        </w:sectPr>
      </w:pPr>
    </w:p>
    <w:p w14:paraId="4852A4B2">
      <w:pPr>
        <w:pStyle w:val="2"/>
        <w:rPr>
          <w:b w:val="0"/>
          <w:color w:val="auto"/>
          <w:sz w:val="24"/>
          <w:szCs w:val="24"/>
          <w:highlight w:val="none"/>
        </w:rPr>
      </w:pPr>
      <w:bookmarkStart w:id="167" w:name="_Toc10142"/>
      <w:bookmarkStart w:id="168" w:name="_Toc7700"/>
      <w:bookmarkStart w:id="169" w:name="_Toc17854"/>
      <w:bookmarkStart w:id="170" w:name="_Toc183107228"/>
      <w:bookmarkStart w:id="171" w:name="_Toc12302"/>
      <w:bookmarkStart w:id="172" w:name="_Hlk164528783"/>
      <w:r>
        <w:rPr>
          <w:rFonts w:hint="eastAsia"/>
          <w:b w:val="0"/>
          <w:color w:val="auto"/>
          <w:sz w:val="24"/>
          <w:szCs w:val="24"/>
          <w:highlight w:val="none"/>
        </w:rPr>
        <w:t>附件A：评标详细程序</w:t>
      </w:r>
      <w:bookmarkEnd w:id="167"/>
      <w:bookmarkEnd w:id="168"/>
      <w:bookmarkEnd w:id="169"/>
      <w:bookmarkEnd w:id="170"/>
      <w:bookmarkEnd w:id="171"/>
    </w:p>
    <w:p w14:paraId="4FA0D9B1">
      <w:pPr>
        <w:jc w:val="center"/>
        <w:rPr>
          <w:rFonts w:ascii="黑体" w:eastAsia="黑体"/>
          <w:b/>
          <w:color w:val="auto"/>
          <w:sz w:val="28"/>
          <w:szCs w:val="28"/>
          <w:highlight w:val="none"/>
        </w:rPr>
      </w:pPr>
      <w:r>
        <w:rPr>
          <w:rFonts w:hint="eastAsia" w:ascii="黑体" w:eastAsia="黑体"/>
          <w:b/>
          <w:color w:val="auto"/>
          <w:sz w:val="28"/>
          <w:szCs w:val="28"/>
          <w:highlight w:val="none"/>
        </w:rPr>
        <w:t>评标详细程序</w:t>
      </w:r>
    </w:p>
    <w:p w14:paraId="6AB012F9">
      <w:pPr>
        <w:pStyle w:val="25"/>
        <w:rPr>
          <w:color w:val="auto"/>
          <w:highlight w:val="none"/>
        </w:rPr>
      </w:pPr>
      <w:bookmarkStart w:id="173" w:name="_Toc20006"/>
      <w:bookmarkStart w:id="174" w:name="_Toc166326929"/>
      <w:bookmarkStart w:id="175" w:name="_Toc12371"/>
      <w:bookmarkStart w:id="176" w:name="_Toc183107229"/>
      <w:bookmarkStart w:id="177" w:name="_Toc162103211"/>
      <w:bookmarkStart w:id="178" w:name="_Toc30739"/>
      <w:bookmarkStart w:id="179" w:name="_Toc150507309"/>
      <w:bookmarkStart w:id="180" w:name="_Toc6708"/>
      <w:bookmarkStart w:id="181" w:name="_Hlk174451732"/>
      <w:r>
        <w:rPr>
          <w:rFonts w:hint="eastAsia"/>
          <w:color w:val="auto"/>
          <w:highlight w:val="none"/>
        </w:rPr>
        <w:t>A0.总  则</w:t>
      </w:r>
      <w:bookmarkEnd w:id="173"/>
      <w:bookmarkEnd w:id="174"/>
      <w:bookmarkEnd w:id="175"/>
      <w:bookmarkEnd w:id="176"/>
      <w:bookmarkEnd w:id="177"/>
      <w:bookmarkEnd w:id="178"/>
      <w:bookmarkEnd w:id="179"/>
      <w:bookmarkEnd w:id="180"/>
    </w:p>
    <w:p w14:paraId="0B4BFFB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本附件是本章“评标办法”的组成部分，是对本章第3条所规定的评标程序的进一步细化，评标委员会应当按照本附件所</w:t>
      </w:r>
      <w:r>
        <w:rPr>
          <w:rFonts w:hint="eastAsia"/>
          <w:color w:val="auto"/>
          <w:highlight w:val="none"/>
        </w:rPr>
        <w:t>规定</w:t>
      </w:r>
      <w:r>
        <w:rPr>
          <w:rFonts w:hint="eastAsia" w:ascii="宋体" w:hAnsi="宋体"/>
          <w:color w:val="auto"/>
          <w:szCs w:val="21"/>
          <w:highlight w:val="none"/>
        </w:rPr>
        <w:t>的详细程序开展并完成评标工作。</w:t>
      </w:r>
    </w:p>
    <w:p w14:paraId="7190A001">
      <w:pPr>
        <w:pStyle w:val="25"/>
        <w:rPr>
          <w:color w:val="auto"/>
          <w:highlight w:val="none"/>
        </w:rPr>
      </w:pPr>
      <w:bookmarkStart w:id="182" w:name="_Toc15810"/>
      <w:bookmarkStart w:id="183" w:name="_Toc150507310"/>
      <w:bookmarkStart w:id="184" w:name="_Toc23990"/>
      <w:bookmarkStart w:id="185" w:name="_Toc166326930"/>
      <w:bookmarkStart w:id="186" w:name="_Toc162103212"/>
      <w:bookmarkStart w:id="187" w:name="_Toc1268"/>
      <w:bookmarkStart w:id="188" w:name="_Toc8573"/>
      <w:bookmarkStart w:id="189" w:name="_Toc183107230"/>
      <w:r>
        <w:rPr>
          <w:rFonts w:hint="eastAsia"/>
          <w:color w:val="auto"/>
          <w:highlight w:val="none"/>
        </w:rPr>
        <w:t>A1.基本程序</w:t>
      </w:r>
      <w:bookmarkEnd w:id="182"/>
      <w:bookmarkEnd w:id="183"/>
      <w:bookmarkEnd w:id="184"/>
      <w:bookmarkEnd w:id="185"/>
      <w:bookmarkEnd w:id="186"/>
      <w:bookmarkEnd w:id="187"/>
      <w:bookmarkEnd w:id="188"/>
      <w:bookmarkEnd w:id="189"/>
    </w:p>
    <w:p w14:paraId="78CCC70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评标活动将按以下五个步骤进行：</w:t>
      </w:r>
    </w:p>
    <w:p w14:paraId="0B561CF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（1）评标准备；</w:t>
      </w:r>
    </w:p>
    <w:p w14:paraId="71DCE76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（2）初步评审；</w:t>
      </w:r>
    </w:p>
    <w:p w14:paraId="320A9FC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（3）详细评审；</w:t>
      </w:r>
    </w:p>
    <w:p w14:paraId="441C087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（4）澄清、说明或</w:t>
      </w:r>
      <w:r>
        <w:rPr>
          <w:rFonts w:hint="eastAsia"/>
          <w:color w:val="auto"/>
          <w:highlight w:val="none"/>
        </w:rPr>
        <w:t>补正</w:t>
      </w:r>
      <w:r>
        <w:rPr>
          <w:rFonts w:hint="eastAsia" w:ascii="宋体" w:hAnsi="宋体"/>
          <w:color w:val="auto"/>
          <w:szCs w:val="21"/>
          <w:highlight w:val="none"/>
        </w:rPr>
        <w:t>；</w:t>
      </w:r>
    </w:p>
    <w:p w14:paraId="3A98A8E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（5）推荐中标候选人</w:t>
      </w:r>
      <w:r>
        <w:rPr>
          <w:rFonts w:hint="eastAsia"/>
          <w:color w:val="auto"/>
          <w:highlight w:val="none"/>
        </w:rPr>
        <w:t>或者</w:t>
      </w:r>
      <w:r>
        <w:rPr>
          <w:rFonts w:hint="eastAsia" w:ascii="宋体" w:hAnsi="宋体"/>
          <w:color w:val="auto"/>
          <w:szCs w:val="21"/>
          <w:highlight w:val="none"/>
        </w:rPr>
        <w:t>直接确定中标人及提交评标报告。</w:t>
      </w:r>
    </w:p>
    <w:p w14:paraId="47B747FD">
      <w:pPr>
        <w:pStyle w:val="25"/>
        <w:rPr>
          <w:color w:val="auto"/>
          <w:highlight w:val="none"/>
        </w:rPr>
      </w:pPr>
      <w:bookmarkStart w:id="190" w:name="_Toc150507311"/>
      <w:bookmarkStart w:id="191" w:name="_Toc4196"/>
      <w:bookmarkStart w:id="192" w:name="_Toc183107231"/>
      <w:bookmarkStart w:id="193" w:name="_Toc166326931"/>
      <w:bookmarkStart w:id="194" w:name="_Toc1330"/>
      <w:bookmarkStart w:id="195" w:name="_Toc25803"/>
      <w:bookmarkStart w:id="196" w:name="_Toc162103213"/>
      <w:bookmarkStart w:id="197" w:name="_Toc827"/>
      <w:r>
        <w:rPr>
          <w:rFonts w:hint="eastAsia"/>
          <w:color w:val="auto"/>
          <w:highlight w:val="none"/>
        </w:rPr>
        <w:t>A2.评标准备</w:t>
      </w:r>
      <w:bookmarkEnd w:id="190"/>
      <w:bookmarkEnd w:id="191"/>
      <w:bookmarkEnd w:id="192"/>
      <w:bookmarkEnd w:id="193"/>
      <w:bookmarkEnd w:id="194"/>
      <w:bookmarkEnd w:id="195"/>
      <w:bookmarkEnd w:id="196"/>
      <w:bookmarkEnd w:id="197"/>
    </w:p>
    <w:p w14:paraId="77F71DEE">
      <w:pPr>
        <w:pStyle w:val="25"/>
        <w:rPr>
          <w:rFonts w:hint="eastAsia" w:ascii="宋体" w:hAnsi="宋体"/>
          <w:bCs/>
          <w:color w:val="auto"/>
          <w:sz w:val="21"/>
          <w:szCs w:val="21"/>
          <w:highlight w:val="none"/>
        </w:rPr>
      </w:pPr>
      <w:bookmarkStart w:id="198" w:name="_Toc166326932"/>
      <w:bookmarkStart w:id="199" w:name="_Toc183107232"/>
      <w:bookmarkStart w:id="200" w:name="_Toc150507312"/>
      <w:bookmarkStart w:id="201" w:name="_Toc162103214"/>
      <w:bookmarkStart w:id="202" w:name="_Toc20978"/>
      <w:bookmarkStart w:id="203" w:name="_Toc5801"/>
      <w:bookmarkStart w:id="204" w:name="_Toc15630"/>
      <w:bookmarkStart w:id="205" w:name="_Toc4430"/>
      <w:r>
        <w:rPr>
          <w:rFonts w:hint="eastAsia"/>
          <w:bCs/>
          <w:color w:val="auto"/>
          <w:sz w:val="21"/>
          <w:szCs w:val="21"/>
          <w:highlight w:val="none"/>
        </w:rPr>
        <w:t>A2.1评标委员会成员签到</w:t>
      </w:r>
      <w:bookmarkEnd w:id="198"/>
      <w:bookmarkEnd w:id="199"/>
      <w:bookmarkEnd w:id="200"/>
      <w:bookmarkEnd w:id="201"/>
      <w:bookmarkEnd w:id="202"/>
      <w:bookmarkEnd w:id="203"/>
      <w:bookmarkEnd w:id="204"/>
      <w:bookmarkEnd w:id="205"/>
    </w:p>
    <w:p w14:paraId="5BF93AA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评标委员会成员到达评标现场时应在</w:t>
      </w:r>
      <w:r>
        <w:rPr>
          <w:rFonts w:hint="eastAsia"/>
          <w:color w:val="auto"/>
          <w:highlight w:val="none"/>
        </w:rPr>
        <w:t>签到</w:t>
      </w:r>
      <w:r>
        <w:rPr>
          <w:rFonts w:hint="eastAsia" w:ascii="宋体" w:hAnsi="宋体"/>
          <w:color w:val="auto"/>
          <w:szCs w:val="21"/>
          <w:highlight w:val="none"/>
        </w:rPr>
        <w:t>表上签到以证明其出席。评标委员会签到表见</w:t>
      </w:r>
      <w:r>
        <w:rPr>
          <w:rFonts w:hint="eastAsia" w:ascii="宋体" w:hAnsi="宋体"/>
          <w:b/>
          <w:color w:val="auto"/>
          <w:szCs w:val="21"/>
          <w:highlight w:val="none"/>
        </w:rPr>
        <w:t>附表A-1</w:t>
      </w:r>
      <w:r>
        <w:rPr>
          <w:rFonts w:hint="eastAsia" w:ascii="宋体" w:hAnsi="宋体"/>
          <w:color w:val="auto"/>
          <w:szCs w:val="21"/>
          <w:highlight w:val="none"/>
        </w:rPr>
        <w:t>。并按照要求阅读评标纪律。</w:t>
      </w:r>
    </w:p>
    <w:p w14:paraId="0580A3A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评标委员会成员在评标前，应当签订签署评标专家告知承诺函。评标专家告知承诺函见</w:t>
      </w:r>
      <w:r>
        <w:rPr>
          <w:rFonts w:hint="eastAsia" w:ascii="宋体" w:hAnsi="宋体"/>
          <w:b/>
          <w:color w:val="auto"/>
          <w:szCs w:val="21"/>
          <w:highlight w:val="none"/>
        </w:rPr>
        <w:t>附表A-2。</w:t>
      </w:r>
      <w:r>
        <w:rPr>
          <w:rFonts w:hint="eastAsia" w:ascii="宋体" w:hAnsi="宋体"/>
          <w:color w:val="auto"/>
          <w:szCs w:val="21"/>
          <w:highlight w:val="none"/>
        </w:rPr>
        <w:t>评标委员会成员对尽职、回避、保密、廉洁，不参与串通投标等进行承诺，承诺遵守有关评标管理规定以及评标纪律，客观、公正地进行评标，并接受招投标监管部门的监督。</w:t>
      </w:r>
    </w:p>
    <w:p w14:paraId="300BBA09">
      <w:pPr>
        <w:pStyle w:val="25"/>
        <w:rPr>
          <w:bCs/>
          <w:color w:val="auto"/>
          <w:sz w:val="21"/>
          <w:szCs w:val="21"/>
          <w:highlight w:val="none"/>
        </w:rPr>
      </w:pPr>
      <w:bookmarkStart w:id="206" w:name="_Toc19602"/>
      <w:bookmarkStart w:id="207" w:name="_Toc166326933"/>
      <w:bookmarkStart w:id="208" w:name="_Toc162103215"/>
      <w:bookmarkStart w:id="209" w:name="_Toc18275"/>
      <w:bookmarkStart w:id="210" w:name="_Toc23976"/>
      <w:bookmarkStart w:id="211" w:name="_Toc17902"/>
      <w:bookmarkStart w:id="212" w:name="_Toc183107233"/>
      <w:bookmarkStart w:id="213" w:name="_Toc150507313"/>
      <w:r>
        <w:rPr>
          <w:rFonts w:hint="eastAsia"/>
          <w:bCs/>
          <w:color w:val="auto"/>
          <w:sz w:val="21"/>
          <w:szCs w:val="21"/>
          <w:highlight w:val="none"/>
        </w:rPr>
        <w:t>A2.2评标委员会的分工</w:t>
      </w:r>
      <w:bookmarkEnd w:id="206"/>
      <w:bookmarkEnd w:id="207"/>
      <w:bookmarkEnd w:id="208"/>
      <w:bookmarkEnd w:id="209"/>
      <w:bookmarkEnd w:id="210"/>
      <w:bookmarkEnd w:id="211"/>
      <w:bookmarkEnd w:id="212"/>
      <w:bookmarkEnd w:id="213"/>
    </w:p>
    <w:p w14:paraId="66D876B1">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w:t>
      </w:r>
      <w:r>
        <w:rPr>
          <w:rFonts w:ascii="宋体" w:hAnsi="宋体"/>
          <w:color w:val="auto"/>
          <w:szCs w:val="21"/>
          <w:highlight w:val="none"/>
        </w:rPr>
        <w:t>1</w:t>
      </w:r>
      <w:r>
        <w:rPr>
          <w:rFonts w:hint="eastAsia" w:ascii="宋体" w:hAnsi="宋体"/>
          <w:color w:val="auto"/>
          <w:szCs w:val="21"/>
          <w:highlight w:val="none"/>
        </w:rPr>
        <w:t>评标委员会首先推选一名评标委员会主任。评标委员会主任负责评标活动的组织工作。</w:t>
      </w:r>
    </w:p>
    <w:p w14:paraId="4B89082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A2.2.2 评标委员会主任除履行自己作为评标委员会</w:t>
      </w:r>
      <w:r>
        <w:rPr>
          <w:rFonts w:hint="eastAsia"/>
          <w:color w:val="auto"/>
          <w:highlight w:val="none"/>
        </w:rPr>
        <w:t>成员</w:t>
      </w:r>
      <w:r>
        <w:rPr>
          <w:rFonts w:hint="eastAsia" w:ascii="宋体" w:hAnsi="宋体"/>
          <w:color w:val="auto"/>
          <w:szCs w:val="21"/>
          <w:highlight w:val="none"/>
        </w:rPr>
        <w:t>独立评标的职责外，主要负责以下工作：</w:t>
      </w:r>
    </w:p>
    <w:p w14:paraId="7F5BF85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（1）组织评标委员会成员学习</w:t>
      </w:r>
      <w:r>
        <w:rPr>
          <w:rFonts w:hint="eastAsia"/>
          <w:color w:val="auto"/>
          <w:highlight w:val="none"/>
        </w:rPr>
        <w:t>招标文件</w:t>
      </w:r>
      <w:r>
        <w:rPr>
          <w:rFonts w:hint="eastAsia" w:ascii="宋体" w:hAnsi="宋体"/>
          <w:color w:val="auto"/>
          <w:szCs w:val="21"/>
          <w:highlight w:val="none"/>
        </w:rPr>
        <w:t>中载明的评标标准和方法；</w:t>
      </w:r>
    </w:p>
    <w:p w14:paraId="5471E299">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（2）提醒招标人做好评标准备工作，包括提供所需的评标基础资料；</w:t>
      </w:r>
    </w:p>
    <w:p w14:paraId="1C33588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（3）汇总各评标委员会成员认为</w:t>
      </w:r>
      <w:r>
        <w:rPr>
          <w:rFonts w:hint="eastAsia"/>
          <w:color w:val="auto"/>
          <w:highlight w:val="none"/>
        </w:rPr>
        <w:t>需要</w:t>
      </w:r>
      <w:r>
        <w:rPr>
          <w:rFonts w:hint="eastAsia" w:ascii="宋体" w:hAnsi="宋体"/>
          <w:color w:val="auto"/>
          <w:szCs w:val="21"/>
          <w:highlight w:val="none"/>
        </w:rPr>
        <w:t>投标人澄清、说明或者补正的问题，组织评标委员会对投标人质询并对投标人的答复进行评审；</w:t>
      </w:r>
    </w:p>
    <w:p w14:paraId="55FCF80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（4）对出现较大争议的事项进行</w:t>
      </w:r>
      <w:r>
        <w:rPr>
          <w:rFonts w:hint="eastAsia"/>
          <w:color w:val="auto"/>
          <w:highlight w:val="none"/>
        </w:rPr>
        <w:t>书面</w:t>
      </w:r>
      <w:r>
        <w:rPr>
          <w:rFonts w:hint="eastAsia" w:ascii="宋体" w:hAnsi="宋体"/>
          <w:color w:val="auto"/>
          <w:szCs w:val="21"/>
          <w:highlight w:val="none"/>
        </w:rPr>
        <w:t>记录；</w:t>
      </w:r>
    </w:p>
    <w:p w14:paraId="2D29F2D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（5）查验评标用表格和评标记录的完整性及有效性；</w:t>
      </w:r>
    </w:p>
    <w:p w14:paraId="313E5AB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（6）组织对评标结论进行复核</w:t>
      </w:r>
      <w:r>
        <w:rPr>
          <w:rFonts w:hint="eastAsia"/>
          <w:color w:val="auto"/>
          <w:highlight w:val="none"/>
        </w:rPr>
        <w:t>确认</w:t>
      </w:r>
      <w:r>
        <w:rPr>
          <w:rFonts w:hint="eastAsia" w:ascii="宋体" w:hAnsi="宋体"/>
          <w:color w:val="auto"/>
          <w:szCs w:val="21"/>
          <w:highlight w:val="none"/>
        </w:rPr>
        <w:t>；</w:t>
      </w:r>
    </w:p>
    <w:p w14:paraId="6405D09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（7）组织编写评标报告，推荐中标候选人。</w:t>
      </w:r>
    </w:p>
    <w:p w14:paraId="2CB78C6D">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A2.2.3评标委员会主任在与其他评标委员会成员商议的基础上可以将评标委员会按照评标专家抽取专业划分为技术组和经济组。</w:t>
      </w:r>
    </w:p>
    <w:p w14:paraId="14B889F6">
      <w:pPr>
        <w:pStyle w:val="25"/>
        <w:rPr>
          <w:bCs/>
          <w:color w:val="auto"/>
          <w:sz w:val="21"/>
          <w:szCs w:val="21"/>
          <w:highlight w:val="none"/>
        </w:rPr>
      </w:pPr>
      <w:bookmarkStart w:id="214" w:name="_Toc211"/>
      <w:bookmarkStart w:id="215" w:name="_Toc162103216"/>
      <w:bookmarkStart w:id="216" w:name="_Toc10095"/>
      <w:bookmarkStart w:id="217" w:name="_Toc150507314"/>
      <w:bookmarkStart w:id="218" w:name="_Toc183107234"/>
      <w:bookmarkStart w:id="219" w:name="_Toc166326934"/>
      <w:bookmarkStart w:id="220" w:name="_Toc7212"/>
      <w:bookmarkStart w:id="221" w:name="_Toc5494"/>
      <w:r>
        <w:rPr>
          <w:rFonts w:hint="eastAsia"/>
          <w:bCs/>
          <w:color w:val="auto"/>
          <w:sz w:val="21"/>
          <w:szCs w:val="21"/>
          <w:highlight w:val="none"/>
        </w:rPr>
        <w:t>A2.3熟悉文件资料</w:t>
      </w:r>
      <w:bookmarkEnd w:id="214"/>
      <w:bookmarkEnd w:id="215"/>
      <w:bookmarkEnd w:id="216"/>
      <w:bookmarkEnd w:id="217"/>
      <w:bookmarkEnd w:id="218"/>
      <w:bookmarkEnd w:id="219"/>
      <w:bookmarkEnd w:id="220"/>
      <w:bookmarkEnd w:id="221"/>
    </w:p>
    <w:p w14:paraId="14A7046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14:paraId="5DCF4DBA">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A2.3.2招标人或招标代理机构应向评标委员会提供评标所需的信息和数据，包括：</w:t>
      </w:r>
    </w:p>
    <w:p w14:paraId="614BF87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（1）招标文件及其澄清、修改</w:t>
      </w:r>
      <w:r>
        <w:rPr>
          <w:rFonts w:hint="eastAsia"/>
          <w:color w:val="auto"/>
          <w:highlight w:val="none"/>
        </w:rPr>
        <w:t>文件</w:t>
      </w:r>
      <w:r>
        <w:rPr>
          <w:rFonts w:hint="eastAsia" w:ascii="宋体" w:hAnsi="宋体"/>
          <w:color w:val="auto"/>
          <w:szCs w:val="21"/>
          <w:highlight w:val="none"/>
        </w:rPr>
        <w:t>；</w:t>
      </w:r>
    </w:p>
    <w:p w14:paraId="622F54D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（2）投标人的投标文件；</w:t>
      </w:r>
    </w:p>
    <w:p w14:paraId="164DB95F">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（3）开标记录表以及二次刷卡、保证金缴纳等信息；</w:t>
      </w:r>
    </w:p>
    <w:p w14:paraId="22990BB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（4）最高投标限价；</w:t>
      </w:r>
    </w:p>
    <w:p w14:paraId="0291E30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（5）评标表格；</w:t>
      </w:r>
    </w:p>
    <w:p w14:paraId="67B73A9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（6）有关的法律、法规、规章、国家标准以及招标人或评标委员会认为必要的其他信息和数据。</w:t>
      </w:r>
    </w:p>
    <w:p w14:paraId="272FABAB">
      <w:pPr>
        <w:pStyle w:val="25"/>
        <w:rPr>
          <w:bCs/>
          <w:color w:val="auto"/>
          <w:sz w:val="21"/>
          <w:szCs w:val="21"/>
          <w:highlight w:val="none"/>
        </w:rPr>
      </w:pPr>
      <w:bookmarkStart w:id="222" w:name="_Toc150507315"/>
      <w:bookmarkStart w:id="223" w:name="_Toc23287"/>
      <w:bookmarkStart w:id="224" w:name="_Toc183107235"/>
      <w:bookmarkStart w:id="225" w:name="_Toc8169"/>
      <w:bookmarkStart w:id="226" w:name="_Toc162103217"/>
      <w:bookmarkStart w:id="227" w:name="_Toc12518"/>
      <w:bookmarkStart w:id="228" w:name="_Toc23753"/>
      <w:bookmarkStart w:id="229" w:name="_Toc166326935"/>
      <w:r>
        <w:rPr>
          <w:rFonts w:hint="eastAsia"/>
          <w:bCs/>
          <w:color w:val="auto"/>
          <w:sz w:val="21"/>
          <w:szCs w:val="21"/>
          <w:highlight w:val="none"/>
        </w:rPr>
        <w:t>A2.4暗标编号</w:t>
      </w:r>
      <w:bookmarkEnd w:id="222"/>
      <w:bookmarkEnd w:id="223"/>
      <w:bookmarkEnd w:id="224"/>
      <w:bookmarkEnd w:id="225"/>
      <w:bookmarkEnd w:id="226"/>
      <w:bookmarkEnd w:id="227"/>
      <w:bookmarkEnd w:id="228"/>
      <w:bookmarkEnd w:id="229"/>
    </w:p>
    <w:p w14:paraId="02BA5DD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第二章“投标人须知”前附表第3.7.4款要求对技术标采用“模块化暗标”评审方式且编制有</w:t>
      </w:r>
      <w:r>
        <w:rPr>
          <w:rFonts w:hint="eastAsia"/>
          <w:color w:val="auto"/>
          <w:highlight w:val="none"/>
        </w:rPr>
        <w:t>模块化</w:t>
      </w:r>
      <w:r>
        <w:rPr>
          <w:rFonts w:hint="eastAsia" w:ascii="宋体" w:hAnsi="宋体"/>
          <w:color w:val="auto"/>
          <w:szCs w:val="21"/>
          <w:highlight w:val="none"/>
        </w:rPr>
        <w:t>暗标要求的，则在评标工作开始前，就暗标模块编号与投标人的对应关系使用</w:t>
      </w:r>
      <w:r>
        <w:rPr>
          <w:rFonts w:ascii="宋体" w:hAnsi="宋体"/>
          <w:b/>
          <w:color w:val="auto"/>
          <w:szCs w:val="21"/>
          <w:highlight w:val="none"/>
        </w:rPr>
        <w:t>附表A-3</w:t>
      </w:r>
      <w:r>
        <w:rPr>
          <w:rFonts w:hint="eastAsia" w:ascii="宋体" w:hAnsi="宋体"/>
          <w:color w:val="auto"/>
          <w:szCs w:val="21"/>
          <w:highlight w:val="none"/>
        </w:rPr>
        <w:t>做好暗标编号记录，暗标模块编号按随机方式编排。在评标委员会技术标成员均完成暗标部分评审并对评审结果签字确认和汇总后，招标人方可向评标委员会公布暗标编号。</w:t>
      </w:r>
    </w:p>
    <w:p w14:paraId="18932D72">
      <w:pPr>
        <w:pStyle w:val="25"/>
        <w:rPr>
          <w:bCs/>
          <w:color w:val="auto"/>
          <w:sz w:val="21"/>
          <w:szCs w:val="21"/>
          <w:highlight w:val="none"/>
        </w:rPr>
      </w:pPr>
      <w:bookmarkStart w:id="230" w:name="_Toc183107236"/>
      <w:bookmarkStart w:id="231" w:name="_Toc166326936"/>
      <w:bookmarkStart w:id="232" w:name="_Toc162103218"/>
      <w:bookmarkStart w:id="233" w:name="_Toc25320"/>
      <w:bookmarkStart w:id="234" w:name="_Toc11815"/>
      <w:bookmarkStart w:id="235" w:name="_Toc26393"/>
      <w:bookmarkStart w:id="236" w:name="_Toc15682"/>
      <w:bookmarkStart w:id="237" w:name="_Toc150507316"/>
      <w:r>
        <w:rPr>
          <w:rFonts w:hint="eastAsia"/>
          <w:bCs/>
          <w:color w:val="auto"/>
          <w:sz w:val="21"/>
          <w:szCs w:val="21"/>
          <w:highlight w:val="none"/>
        </w:rPr>
        <w:t>A2.5对投标文件进行基础性数据分析和整理工作</w:t>
      </w:r>
      <w:bookmarkEnd w:id="230"/>
      <w:bookmarkEnd w:id="231"/>
      <w:bookmarkEnd w:id="232"/>
      <w:bookmarkEnd w:id="233"/>
      <w:bookmarkEnd w:id="234"/>
      <w:bookmarkEnd w:id="235"/>
      <w:bookmarkEnd w:id="236"/>
      <w:bookmarkEnd w:id="237"/>
    </w:p>
    <w:p w14:paraId="6806025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A2.5.1在不改变投标人投标文件实质性内容的前提下，评标委员会应当借助</w:t>
      </w:r>
      <w:r>
        <w:rPr>
          <w:rFonts w:ascii="宋体" w:hAnsi="宋体"/>
          <w:color w:val="auto"/>
          <w:szCs w:val="21"/>
          <w:highlight w:val="none"/>
        </w:rPr>
        <w:t>计算机辅助评标系统</w:t>
      </w:r>
      <w:r>
        <w:rPr>
          <w:rFonts w:hint="eastAsia" w:ascii="宋体" w:hAnsi="宋体"/>
          <w:color w:val="auto"/>
          <w:szCs w:val="21"/>
          <w:highlight w:val="none"/>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color w:val="auto"/>
          <w:szCs w:val="21"/>
          <w:highlight w:val="none"/>
        </w:rPr>
        <w:t>投标文件</w:t>
      </w:r>
      <w:r>
        <w:rPr>
          <w:rFonts w:hint="eastAsia" w:ascii="宋体" w:hAnsi="宋体"/>
          <w:color w:val="auto"/>
          <w:szCs w:val="21"/>
          <w:highlight w:val="none"/>
        </w:rPr>
        <w:t>澄清通知。《</w:t>
      </w:r>
      <w:r>
        <w:rPr>
          <w:rFonts w:ascii="宋体" w:hAnsi="宋体"/>
          <w:color w:val="auto"/>
          <w:szCs w:val="21"/>
          <w:highlight w:val="none"/>
        </w:rPr>
        <w:t>投标文件</w:t>
      </w:r>
      <w:r>
        <w:rPr>
          <w:rFonts w:hint="eastAsia" w:ascii="宋体" w:hAnsi="宋体"/>
          <w:color w:val="auto"/>
          <w:szCs w:val="21"/>
          <w:highlight w:val="none"/>
        </w:rPr>
        <w:t>问题澄清通知》采用投标人须知附表六所提供的格式。</w:t>
      </w:r>
    </w:p>
    <w:p w14:paraId="3401405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A2.5.2投标人接到评标委员会发出的</w:t>
      </w:r>
      <w:r>
        <w:rPr>
          <w:rFonts w:ascii="宋体" w:hAnsi="宋体"/>
          <w:color w:val="auto"/>
          <w:szCs w:val="21"/>
          <w:highlight w:val="none"/>
        </w:rPr>
        <w:t>投标文件</w:t>
      </w:r>
      <w:r>
        <w:rPr>
          <w:rFonts w:hint="eastAsia" w:ascii="宋体" w:hAnsi="宋体"/>
          <w:color w:val="auto"/>
          <w:szCs w:val="21"/>
          <w:highlight w:val="none"/>
        </w:rPr>
        <w:t>澄清</w:t>
      </w:r>
      <w:r>
        <w:rPr>
          <w:rFonts w:hint="eastAsia"/>
          <w:color w:val="auto"/>
          <w:highlight w:val="none"/>
        </w:rPr>
        <w:t>通知</w:t>
      </w:r>
      <w:r>
        <w:rPr>
          <w:rFonts w:hint="eastAsia" w:ascii="宋体" w:hAnsi="宋体"/>
          <w:color w:val="auto"/>
          <w:szCs w:val="21"/>
          <w:highlight w:val="none"/>
        </w:rPr>
        <w:t>后，</w:t>
      </w:r>
      <w:r>
        <w:rPr>
          <w:rFonts w:ascii="宋体" w:hAnsi="宋体"/>
          <w:color w:val="auto"/>
          <w:szCs w:val="21"/>
          <w:highlight w:val="none"/>
        </w:rPr>
        <w:t>应按评标委员会的要求在规定的时间</w:t>
      </w:r>
      <w:r>
        <w:rPr>
          <w:rFonts w:hint="eastAsia" w:ascii="宋体" w:hAnsi="宋体"/>
          <w:color w:val="auto"/>
          <w:szCs w:val="21"/>
          <w:highlight w:val="none"/>
        </w:rPr>
        <w:t>内，</w:t>
      </w:r>
      <w:r>
        <w:rPr>
          <w:rFonts w:ascii="宋体" w:hAnsi="宋体"/>
          <w:color w:val="auto"/>
          <w:szCs w:val="21"/>
          <w:highlight w:val="none"/>
        </w:rPr>
        <w:t>通过</w:t>
      </w:r>
      <w:r>
        <w:rPr>
          <w:rFonts w:hint="eastAsia" w:ascii="宋体" w:hAnsi="宋体"/>
          <w:color w:val="auto"/>
          <w:szCs w:val="21"/>
          <w:highlight w:val="none"/>
        </w:rPr>
        <w:t>电子招标投标系统（辽宁省工程建设项目数字化开标评标系统）提交</w:t>
      </w:r>
      <w:r>
        <w:rPr>
          <w:rFonts w:ascii="宋体" w:hAnsi="宋体"/>
          <w:color w:val="auto"/>
          <w:szCs w:val="21"/>
          <w:highlight w:val="none"/>
        </w:rPr>
        <w:t>投标文件</w:t>
      </w:r>
      <w:r>
        <w:rPr>
          <w:rFonts w:hint="eastAsia" w:ascii="宋体" w:hAnsi="宋体"/>
          <w:color w:val="auto"/>
          <w:szCs w:val="21"/>
          <w:highlight w:val="none"/>
        </w:rPr>
        <w:t>的</w:t>
      </w:r>
      <w:r>
        <w:rPr>
          <w:rFonts w:ascii="宋体" w:hAnsi="宋体"/>
          <w:color w:val="auto"/>
          <w:szCs w:val="21"/>
          <w:highlight w:val="none"/>
        </w:rPr>
        <w:t>澄清</w:t>
      </w:r>
      <w:r>
        <w:rPr>
          <w:rFonts w:hint="eastAsia" w:ascii="宋体" w:hAnsi="宋体"/>
          <w:color w:val="auto"/>
          <w:szCs w:val="21"/>
          <w:highlight w:val="none"/>
        </w:rPr>
        <w:t>和相关资料（如有）</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投标文件</w:t>
      </w:r>
      <w:r>
        <w:rPr>
          <w:rFonts w:hint="eastAsia" w:ascii="宋体" w:hAnsi="宋体"/>
          <w:color w:val="auto"/>
          <w:szCs w:val="21"/>
          <w:highlight w:val="none"/>
        </w:rPr>
        <w:t>问题的澄清》采用投标人须知附表七所提供的格式。</w:t>
      </w:r>
    </w:p>
    <w:p w14:paraId="35BD59FF">
      <w:pPr>
        <w:pStyle w:val="25"/>
        <w:rPr>
          <w:color w:val="auto"/>
          <w:highlight w:val="none"/>
        </w:rPr>
      </w:pPr>
      <w:bookmarkStart w:id="238" w:name="_Toc150507317"/>
      <w:bookmarkStart w:id="239" w:name="_Toc162103219"/>
      <w:bookmarkStart w:id="240" w:name="_Toc166326937"/>
      <w:bookmarkStart w:id="241" w:name="_Toc19219"/>
      <w:bookmarkStart w:id="242" w:name="_Toc26117"/>
      <w:bookmarkStart w:id="243" w:name="_Toc5252"/>
      <w:bookmarkStart w:id="244" w:name="_Toc20650"/>
      <w:bookmarkStart w:id="245" w:name="_Toc183107237"/>
      <w:r>
        <w:rPr>
          <w:rFonts w:hint="eastAsia"/>
          <w:color w:val="auto"/>
          <w:highlight w:val="none"/>
        </w:rPr>
        <w:t>A3</w:t>
      </w:r>
      <w:r>
        <w:rPr>
          <w:color w:val="auto"/>
          <w:highlight w:val="none"/>
        </w:rPr>
        <w:t>.</w:t>
      </w:r>
      <w:r>
        <w:rPr>
          <w:rFonts w:hint="eastAsia"/>
          <w:color w:val="auto"/>
          <w:highlight w:val="none"/>
        </w:rPr>
        <w:t>初步评审</w:t>
      </w:r>
      <w:bookmarkEnd w:id="238"/>
      <w:bookmarkEnd w:id="239"/>
      <w:bookmarkEnd w:id="240"/>
      <w:bookmarkEnd w:id="241"/>
      <w:bookmarkEnd w:id="242"/>
      <w:bookmarkEnd w:id="243"/>
      <w:bookmarkEnd w:id="244"/>
      <w:bookmarkEnd w:id="245"/>
    </w:p>
    <w:p w14:paraId="01A72DDC">
      <w:pPr>
        <w:pStyle w:val="25"/>
        <w:rPr>
          <w:bCs/>
          <w:color w:val="auto"/>
          <w:sz w:val="21"/>
          <w:szCs w:val="21"/>
          <w:highlight w:val="none"/>
        </w:rPr>
      </w:pPr>
      <w:bookmarkStart w:id="246" w:name="_Toc162103220"/>
      <w:bookmarkStart w:id="247" w:name="_Toc183107238"/>
      <w:bookmarkStart w:id="248" w:name="_Toc13964"/>
      <w:bookmarkStart w:id="249" w:name="_Toc18873"/>
      <w:bookmarkStart w:id="250" w:name="_Toc150507318"/>
      <w:bookmarkStart w:id="251" w:name="_Toc166326938"/>
      <w:bookmarkStart w:id="252" w:name="_Toc1247"/>
      <w:bookmarkStart w:id="253" w:name="_Toc588"/>
      <w:r>
        <w:rPr>
          <w:rFonts w:hint="eastAsia"/>
          <w:bCs/>
          <w:color w:val="auto"/>
          <w:sz w:val="21"/>
          <w:szCs w:val="21"/>
          <w:highlight w:val="none"/>
        </w:rPr>
        <w:t>A3.1形式评审</w:t>
      </w:r>
      <w:bookmarkEnd w:id="246"/>
      <w:bookmarkEnd w:id="247"/>
      <w:bookmarkEnd w:id="248"/>
      <w:bookmarkEnd w:id="249"/>
      <w:bookmarkEnd w:id="250"/>
      <w:bookmarkEnd w:id="251"/>
      <w:bookmarkEnd w:id="252"/>
      <w:bookmarkEnd w:id="253"/>
    </w:p>
    <w:p w14:paraId="7FEFAEE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评标委员会根据评标办法前附表中规定的评审因素和评审标准，对投标人的投标文件进行形式评审，并使用</w:t>
      </w:r>
      <w:r>
        <w:rPr>
          <w:rFonts w:hint="eastAsia" w:ascii="宋体" w:hAnsi="宋体"/>
          <w:b/>
          <w:color w:val="auto"/>
          <w:szCs w:val="21"/>
          <w:highlight w:val="none"/>
        </w:rPr>
        <w:t>附表A-4</w:t>
      </w:r>
      <w:r>
        <w:rPr>
          <w:rFonts w:hint="eastAsia" w:ascii="宋体" w:hAnsi="宋体"/>
          <w:color w:val="auto"/>
          <w:szCs w:val="21"/>
          <w:highlight w:val="none"/>
        </w:rPr>
        <w:t>记录评审结果。</w:t>
      </w:r>
    </w:p>
    <w:p w14:paraId="0131847A">
      <w:pPr>
        <w:pStyle w:val="25"/>
        <w:rPr>
          <w:bCs/>
          <w:color w:val="auto"/>
          <w:sz w:val="21"/>
          <w:szCs w:val="21"/>
          <w:highlight w:val="none"/>
        </w:rPr>
      </w:pPr>
      <w:bookmarkStart w:id="254" w:name="_Toc183107239"/>
      <w:bookmarkStart w:id="255" w:name="_Toc150507319"/>
      <w:bookmarkStart w:id="256" w:name="_Toc28196"/>
      <w:bookmarkStart w:id="257" w:name="_Toc6596"/>
      <w:bookmarkStart w:id="258" w:name="_Toc8675"/>
      <w:bookmarkStart w:id="259" w:name="_Toc166326939"/>
      <w:bookmarkStart w:id="260" w:name="_Toc162103221"/>
      <w:bookmarkStart w:id="261" w:name="_Toc28902"/>
      <w:r>
        <w:rPr>
          <w:rFonts w:hint="eastAsia"/>
          <w:bCs/>
          <w:color w:val="auto"/>
          <w:sz w:val="21"/>
          <w:szCs w:val="21"/>
          <w:highlight w:val="none"/>
        </w:rPr>
        <w:t>A3.2资格评审</w:t>
      </w:r>
      <w:bookmarkEnd w:id="254"/>
      <w:bookmarkEnd w:id="255"/>
      <w:bookmarkEnd w:id="256"/>
      <w:bookmarkEnd w:id="257"/>
      <w:bookmarkEnd w:id="258"/>
      <w:bookmarkEnd w:id="259"/>
      <w:bookmarkEnd w:id="260"/>
      <w:bookmarkEnd w:id="261"/>
    </w:p>
    <w:p w14:paraId="72485F3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评标委员会根据评标办法前附表中规定的评审因素和评审标准，对投标人的投标文件进行资格评审，并使用</w:t>
      </w:r>
      <w:r>
        <w:rPr>
          <w:rFonts w:hint="eastAsia" w:ascii="宋体" w:hAnsi="宋体"/>
          <w:b/>
          <w:color w:val="auto"/>
          <w:szCs w:val="21"/>
          <w:highlight w:val="none"/>
        </w:rPr>
        <w:t>附表A-5</w:t>
      </w:r>
      <w:r>
        <w:rPr>
          <w:rFonts w:hint="eastAsia" w:ascii="宋体" w:hAnsi="宋体"/>
          <w:color w:val="auto"/>
          <w:szCs w:val="21"/>
          <w:highlight w:val="none"/>
        </w:rPr>
        <w:t>记录评审结果。</w:t>
      </w:r>
    </w:p>
    <w:p w14:paraId="2ECB1749">
      <w:pPr>
        <w:pStyle w:val="25"/>
        <w:rPr>
          <w:bCs/>
          <w:color w:val="auto"/>
          <w:sz w:val="21"/>
          <w:szCs w:val="21"/>
          <w:highlight w:val="none"/>
        </w:rPr>
      </w:pPr>
      <w:bookmarkStart w:id="262" w:name="_Toc18828"/>
      <w:bookmarkStart w:id="263" w:name="_Toc166326940"/>
      <w:bookmarkStart w:id="264" w:name="_Toc32253"/>
      <w:bookmarkStart w:id="265" w:name="_Toc183107240"/>
      <w:bookmarkStart w:id="266" w:name="_Toc15985"/>
      <w:bookmarkStart w:id="267" w:name="_Toc16567"/>
      <w:bookmarkStart w:id="268" w:name="_Toc162103222"/>
      <w:bookmarkStart w:id="269" w:name="_Toc150507320"/>
      <w:r>
        <w:rPr>
          <w:rFonts w:hint="eastAsia"/>
          <w:bCs/>
          <w:color w:val="auto"/>
          <w:sz w:val="21"/>
          <w:szCs w:val="21"/>
          <w:highlight w:val="none"/>
        </w:rPr>
        <w:t>A3.3响应性评审</w:t>
      </w:r>
      <w:bookmarkEnd w:id="262"/>
      <w:bookmarkEnd w:id="263"/>
      <w:bookmarkEnd w:id="264"/>
      <w:bookmarkEnd w:id="265"/>
      <w:bookmarkEnd w:id="266"/>
      <w:bookmarkEnd w:id="267"/>
      <w:bookmarkEnd w:id="268"/>
      <w:bookmarkEnd w:id="269"/>
    </w:p>
    <w:p w14:paraId="607A735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A3.3.1评标委员会根据评标办法前附表中规定的评审因素和评审标准，对投标人的投标文件进行响应性评审，并使用</w:t>
      </w:r>
      <w:r>
        <w:rPr>
          <w:rFonts w:hint="eastAsia" w:ascii="宋体" w:hAnsi="宋体"/>
          <w:b/>
          <w:color w:val="auto"/>
          <w:szCs w:val="21"/>
          <w:highlight w:val="none"/>
        </w:rPr>
        <w:t>附表A-6</w:t>
      </w:r>
      <w:r>
        <w:rPr>
          <w:rFonts w:hint="eastAsia" w:ascii="宋体" w:hAnsi="宋体"/>
          <w:color w:val="auto"/>
          <w:szCs w:val="21"/>
          <w:highlight w:val="none"/>
        </w:rPr>
        <w:t>记录评审结果。</w:t>
      </w:r>
    </w:p>
    <w:p w14:paraId="0E0B434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14:paraId="10A0E5D0">
      <w:pPr>
        <w:pStyle w:val="25"/>
        <w:rPr>
          <w:bCs/>
          <w:color w:val="auto"/>
          <w:sz w:val="21"/>
          <w:szCs w:val="21"/>
          <w:highlight w:val="none"/>
        </w:rPr>
      </w:pPr>
      <w:bookmarkStart w:id="270" w:name="_Toc32412"/>
      <w:bookmarkStart w:id="271" w:name="_Toc31921"/>
      <w:bookmarkStart w:id="272" w:name="_Toc21523"/>
      <w:bookmarkStart w:id="273" w:name="_Toc29701"/>
      <w:bookmarkStart w:id="274" w:name="_Toc150507321"/>
      <w:bookmarkStart w:id="275" w:name="_Toc162103223"/>
      <w:bookmarkStart w:id="276" w:name="_Toc183107241"/>
      <w:bookmarkStart w:id="277" w:name="_Toc166326941"/>
      <w:r>
        <w:rPr>
          <w:rFonts w:hint="eastAsia"/>
          <w:bCs/>
          <w:color w:val="auto"/>
          <w:sz w:val="21"/>
          <w:szCs w:val="21"/>
          <w:highlight w:val="none"/>
        </w:rPr>
        <w:t>A3.</w:t>
      </w:r>
      <w:r>
        <w:rPr>
          <w:bCs/>
          <w:color w:val="auto"/>
          <w:sz w:val="21"/>
          <w:szCs w:val="21"/>
          <w:highlight w:val="none"/>
        </w:rPr>
        <w:t>4</w:t>
      </w:r>
      <w:r>
        <w:rPr>
          <w:rFonts w:hint="eastAsia"/>
          <w:bCs/>
          <w:color w:val="auto"/>
          <w:sz w:val="21"/>
          <w:szCs w:val="21"/>
          <w:highlight w:val="none"/>
        </w:rPr>
        <w:t>算术错误修正</w:t>
      </w:r>
      <w:bookmarkEnd w:id="270"/>
      <w:bookmarkEnd w:id="271"/>
      <w:bookmarkEnd w:id="272"/>
      <w:bookmarkEnd w:id="273"/>
      <w:bookmarkEnd w:id="274"/>
      <w:bookmarkEnd w:id="275"/>
      <w:bookmarkEnd w:id="276"/>
      <w:bookmarkEnd w:id="277"/>
    </w:p>
    <w:p w14:paraId="726BCED3">
      <w:pPr>
        <w:spacing w:line="400" w:lineRule="exact"/>
        <w:ind w:firstLine="420" w:firstLineChars="200"/>
        <w:rPr>
          <w:rFonts w:ascii="黑体" w:eastAsia="黑体"/>
          <w:color w:val="auto"/>
          <w:szCs w:val="21"/>
          <w:highlight w:val="none"/>
        </w:rPr>
      </w:pPr>
      <w:r>
        <w:rPr>
          <w:rFonts w:hint="eastAsia" w:ascii="宋体" w:hAnsi="宋体"/>
          <w:color w:val="auto"/>
          <w:szCs w:val="21"/>
          <w:highlight w:val="none"/>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14:paraId="7CB89B64">
      <w:pPr>
        <w:pStyle w:val="25"/>
        <w:rPr>
          <w:bCs/>
          <w:color w:val="auto"/>
          <w:sz w:val="21"/>
          <w:szCs w:val="21"/>
          <w:highlight w:val="none"/>
        </w:rPr>
      </w:pPr>
      <w:bookmarkStart w:id="278" w:name="_Toc5766"/>
      <w:bookmarkStart w:id="279" w:name="_Toc9529"/>
      <w:bookmarkStart w:id="280" w:name="_Toc162103224"/>
      <w:bookmarkStart w:id="281" w:name="_Toc183107242"/>
      <w:bookmarkStart w:id="282" w:name="_Toc166326942"/>
      <w:bookmarkStart w:id="283" w:name="_Toc150507322"/>
      <w:bookmarkStart w:id="284" w:name="_Toc28498"/>
      <w:bookmarkStart w:id="285" w:name="_Toc2592"/>
      <w:r>
        <w:rPr>
          <w:rFonts w:hint="eastAsia"/>
          <w:bCs/>
          <w:color w:val="auto"/>
          <w:sz w:val="21"/>
          <w:szCs w:val="21"/>
          <w:highlight w:val="none"/>
        </w:rPr>
        <w:t>A3.</w:t>
      </w:r>
      <w:r>
        <w:rPr>
          <w:bCs/>
          <w:color w:val="auto"/>
          <w:sz w:val="21"/>
          <w:szCs w:val="21"/>
          <w:highlight w:val="none"/>
        </w:rPr>
        <w:t>5</w:t>
      </w:r>
      <w:r>
        <w:rPr>
          <w:rFonts w:hint="eastAsia"/>
          <w:bCs/>
          <w:color w:val="auto"/>
          <w:sz w:val="21"/>
          <w:szCs w:val="21"/>
          <w:highlight w:val="none"/>
        </w:rPr>
        <w:t>判断投标报价是否低于成本</w:t>
      </w:r>
      <w:bookmarkEnd w:id="278"/>
      <w:bookmarkEnd w:id="279"/>
      <w:bookmarkEnd w:id="280"/>
      <w:bookmarkEnd w:id="281"/>
      <w:bookmarkEnd w:id="282"/>
      <w:bookmarkEnd w:id="283"/>
      <w:bookmarkEnd w:id="284"/>
      <w:bookmarkEnd w:id="285"/>
    </w:p>
    <w:p w14:paraId="7EB453E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根据本章第3.1.4项的规定，评标委员会根据评审程序、标准和方法，判断投标报价是否低于其成本。评标委员会认定投标人以低于成本竞标的，其投标应当被否决。并使用</w:t>
      </w:r>
      <w:r>
        <w:rPr>
          <w:rFonts w:hint="eastAsia" w:ascii="宋体" w:hAnsi="宋体"/>
          <w:b/>
          <w:color w:val="auto"/>
          <w:szCs w:val="21"/>
          <w:highlight w:val="none"/>
        </w:rPr>
        <w:t>附表</w:t>
      </w:r>
      <w:r>
        <w:rPr>
          <w:rFonts w:ascii="宋体" w:hAnsi="宋体"/>
          <w:b/>
          <w:color w:val="auto"/>
          <w:szCs w:val="21"/>
          <w:highlight w:val="none"/>
        </w:rPr>
        <w:t>C</w:t>
      </w:r>
      <w:r>
        <w:rPr>
          <w:rFonts w:hint="eastAsia" w:ascii="宋体" w:hAnsi="宋体"/>
          <w:b/>
          <w:color w:val="auto"/>
          <w:szCs w:val="21"/>
          <w:highlight w:val="none"/>
        </w:rPr>
        <w:t>-1</w:t>
      </w:r>
      <w:r>
        <w:rPr>
          <w:rFonts w:hint="eastAsia" w:ascii="宋体" w:hAnsi="宋体"/>
          <w:color w:val="auto"/>
          <w:szCs w:val="21"/>
          <w:highlight w:val="none"/>
        </w:rPr>
        <w:t>记录评审结果</w:t>
      </w:r>
    </w:p>
    <w:p w14:paraId="7F3782C8">
      <w:pPr>
        <w:pStyle w:val="25"/>
        <w:rPr>
          <w:bCs/>
          <w:color w:val="auto"/>
          <w:sz w:val="21"/>
          <w:szCs w:val="21"/>
          <w:highlight w:val="none"/>
        </w:rPr>
      </w:pPr>
      <w:bookmarkStart w:id="286" w:name="_Toc26359"/>
      <w:bookmarkStart w:id="287" w:name="_Toc166326943"/>
      <w:bookmarkStart w:id="288" w:name="_Toc19377"/>
      <w:bookmarkStart w:id="289" w:name="_Toc150507323"/>
      <w:bookmarkStart w:id="290" w:name="_Toc183107243"/>
      <w:bookmarkStart w:id="291" w:name="_Toc5102"/>
      <w:bookmarkStart w:id="292" w:name="_Toc162103225"/>
      <w:bookmarkStart w:id="293" w:name="_Toc9085"/>
      <w:r>
        <w:rPr>
          <w:rFonts w:hint="eastAsia"/>
          <w:bCs/>
          <w:color w:val="auto"/>
          <w:sz w:val="21"/>
          <w:szCs w:val="21"/>
          <w:highlight w:val="none"/>
        </w:rPr>
        <w:t>A3.</w:t>
      </w:r>
      <w:r>
        <w:rPr>
          <w:bCs/>
          <w:color w:val="auto"/>
          <w:sz w:val="21"/>
          <w:szCs w:val="21"/>
          <w:highlight w:val="none"/>
        </w:rPr>
        <w:t>6</w:t>
      </w:r>
      <w:r>
        <w:rPr>
          <w:rFonts w:hint="eastAsia"/>
          <w:bCs/>
          <w:color w:val="auto"/>
          <w:sz w:val="21"/>
          <w:szCs w:val="21"/>
          <w:highlight w:val="none"/>
        </w:rPr>
        <w:t xml:space="preserve"> 判断投标是否为应当被否决</w:t>
      </w:r>
      <w:bookmarkEnd w:id="286"/>
      <w:bookmarkEnd w:id="287"/>
      <w:bookmarkEnd w:id="288"/>
      <w:bookmarkEnd w:id="289"/>
      <w:bookmarkEnd w:id="290"/>
      <w:bookmarkEnd w:id="291"/>
      <w:bookmarkEnd w:id="292"/>
      <w:bookmarkEnd w:id="293"/>
    </w:p>
    <w:p w14:paraId="070914E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.1判断投标人的投标是否应当被</w:t>
      </w:r>
      <w:r>
        <w:rPr>
          <w:rFonts w:hint="eastAsia"/>
          <w:color w:val="auto"/>
          <w:highlight w:val="none"/>
        </w:rPr>
        <w:t>否决</w:t>
      </w:r>
      <w:r>
        <w:rPr>
          <w:rFonts w:hint="eastAsia" w:ascii="宋体" w:hAnsi="宋体"/>
          <w:color w:val="auto"/>
          <w:szCs w:val="21"/>
          <w:highlight w:val="none"/>
        </w:rPr>
        <w:t>的全部条件（包括本章第3.1.2项、第3.1.3项中规定的条件），在本章前附表中集中列示。并使用</w:t>
      </w:r>
      <w:r>
        <w:rPr>
          <w:rFonts w:hint="eastAsia" w:ascii="宋体" w:hAnsi="宋体"/>
          <w:b/>
          <w:color w:val="auto"/>
          <w:szCs w:val="21"/>
          <w:highlight w:val="none"/>
        </w:rPr>
        <w:t>附表A-9</w:t>
      </w:r>
      <w:r>
        <w:rPr>
          <w:rFonts w:hint="eastAsia" w:ascii="宋体" w:hAnsi="宋体"/>
          <w:color w:val="auto"/>
          <w:szCs w:val="21"/>
          <w:highlight w:val="none"/>
        </w:rPr>
        <w:t>记录评审结果。</w:t>
      </w:r>
    </w:p>
    <w:p w14:paraId="1A70603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.2本章</w:t>
      </w:r>
      <w:r>
        <w:rPr>
          <w:rFonts w:hint="eastAsia" w:ascii="宋体" w:hAnsi="宋体"/>
          <w:b/>
          <w:color w:val="auto"/>
          <w:szCs w:val="21"/>
          <w:highlight w:val="none"/>
        </w:rPr>
        <w:t>附件B</w:t>
      </w:r>
      <w:r>
        <w:rPr>
          <w:rFonts w:hint="eastAsia" w:ascii="宋体" w:hAnsi="宋体"/>
          <w:color w:val="auto"/>
          <w:szCs w:val="21"/>
          <w:highlight w:val="none"/>
        </w:rPr>
        <w:t>集中列示的否决投标的条件不应与第二章“投标人须知”和本章前附表和正文部分包括的否决投标的条件抵触，</w:t>
      </w:r>
      <w:r>
        <w:rPr>
          <w:rFonts w:hint="eastAsia"/>
          <w:color w:val="auto"/>
          <w:highlight w:val="none"/>
        </w:rPr>
        <w:t>如果</w:t>
      </w:r>
      <w:r>
        <w:rPr>
          <w:rFonts w:hint="eastAsia" w:ascii="宋体" w:hAnsi="宋体"/>
          <w:color w:val="auto"/>
          <w:szCs w:val="21"/>
          <w:highlight w:val="none"/>
        </w:rPr>
        <w:t>出现相互矛盾的情况，以本章前附表和正文部分的规定为准。</w:t>
      </w:r>
    </w:p>
    <w:p w14:paraId="727F1FF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.3评标委员会在评标（包括初步评审和详细评审）过程中，依据本章前附表和正文部分中规定的否决投标的条件判断投标人的投标是否为应当被否决。</w:t>
      </w:r>
    </w:p>
    <w:p w14:paraId="52CEA30F">
      <w:pPr>
        <w:pStyle w:val="25"/>
        <w:rPr>
          <w:bCs/>
          <w:color w:val="auto"/>
          <w:sz w:val="21"/>
          <w:szCs w:val="21"/>
          <w:highlight w:val="none"/>
        </w:rPr>
      </w:pPr>
      <w:bookmarkStart w:id="294" w:name="_Toc166326944"/>
      <w:bookmarkStart w:id="295" w:name="_Toc8283"/>
      <w:bookmarkStart w:id="296" w:name="_Toc162103226"/>
      <w:bookmarkStart w:id="297" w:name="_Toc183107244"/>
      <w:bookmarkStart w:id="298" w:name="_Toc3728"/>
      <w:bookmarkStart w:id="299" w:name="_Toc14216"/>
      <w:bookmarkStart w:id="300" w:name="_Toc150507324"/>
      <w:bookmarkStart w:id="301" w:name="_Toc44"/>
      <w:r>
        <w:rPr>
          <w:rFonts w:hint="eastAsia"/>
          <w:bCs/>
          <w:color w:val="auto"/>
          <w:sz w:val="21"/>
          <w:szCs w:val="21"/>
          <w:highlight w:val="none"/>
        </w:rPr>
        <w:t>A3.</w:t>
      </w:r>
      <w:r>
        <w:rPr>
          <w:bCs/>
          <w:color w:val="auto"/>
          <w:sz w:val="21"/>
          <w:szCs w:val="21"/>
          <w:highlight w:val="none"/>
        </w:rPr>
        <w:t>7</w:t>
      </w:r>
      <w:r>
        <w:rPr>
          <w:rFonts w:hint="eastAsia"/>
          <w:bCs/>
          <w:color w:val="auto"/>
          <w:sz w:val="21"/>
          <w:szCs w:val="21"/>
          <w:highlight w:val="none"/>
        </w:rPr>
        <w:t xml:space="preserve"> 澄清、说明或补正</w:t>
      </w:r>
      <w:bookmarkEnd w:id="294"/>
      <w:bookmarkEnd w:id="295"/>
      <w:bookmarkEnd w:id="296"/>
      <w:bookmarkEnd w:id="297"/>
      <w:bookmarkEnd w:id="298"/>
      <w:bookmarkEnd w:id="299"/>
      <w:bookmarkEnd w:id="300"/>
      <w:bookmarkEnd w:id="301"/>
    </w:p>
    <w:p w14:paraId="48E4F1E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在初步评审过程中，评标委员会应当就投标文件中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w:t>
      </w:r>
      <w:r>
        <w:rPr>
          <w:rFonts w:hint="eastAsia" w:ascii="宋体" w:hAnsi="宋体"/>
          <w:color w:val="auto"/>
          <w:szCs w:val="21"/>
          <w:highlight w:val="none"/>
        </w:rPr>
        <w:t>（辽宁省工程建设项目数字化开标评标系统）</w:t>
      </w:r>
      <w:r>
        <w:rPr>
          <w:rFonts w:hint="eastAsia"/>
          <w:color w:val="auto"/>
          <w:highlight w:val="none"/>
        </w:rPr>
        <w:t>以书面形式进行。</w:t>
      </w:r>
    </w:p>
    <w:p w14:paraId="54C166A9">
      <w:pPr>
        <w:pStyle w:val="25"/>
        <w:rPr>
          <w:color w:val="auto"/>
          <w:highlight w:val="none"/>
        </w:rPr>
      </w:pPr>
      <w:bookmarkStart w:id="302" w:name="_Toc166326945"/>
      <w:bookmarkStart w:id="303" w:name="_Toc183107245"/>
      <w:bookmarkStart w:id="304" w:name="_Toc162103227"/>
      <w:bookmarkStart w:id="305" w:name="_Toc2941"/>
      <w:bookmarkStart w:id="306" w:name="_Toc25331"/>
      <w:bookmarkStart w:id="307" w:name="_Toc23476"/>
      <w:bookmarkStart w:id="308" w:name="_Toc10063"/>
      <w:bookmarkStart w:id="309" w:name="_Toc150507325"/>
      <w:r>
        <w:rPr>
          <w:rFonts w:hint="eastAsia"/>
          <w:color w:val="auto"/>
          <w:highlight w:val="none"/>
        </w:rPr>
        <w:t>A4.详细评审</w:t>
      </w:r>
      <w:bookmarkEnd w:id="302"/>
      <w:bookmarkEnd w:id="303"/>
      <w:bookmarkEnd w:id="304"/>
      <w:bookmarkEnd w:id="305"/>
      <w:bookmarkEnd w:id="306"/>
      <w:bookmarkEnd w:id="307"/>
      <w:bookmarkEnd w:id="308"/>
      <w:bookmarkEnd w:id="309"/>
    </w:p>
    <w:p w14:paraId="36D6E7F8">
      <w:pPr>
        <w:spacing w:line="400" w:lineRule="exact"/>
        <w:ind w:firstLine="420" w:firstLineChars="200"/>
        <w:rPr>
          <w:rFonts w:hint="eastAsia" w:ascii="宋体" w:hAnsi="宋体"/>
          <w:color w:val="auto"/>
          <w:szCs w:val="21"/>
          <w:highlight w:val="none"/>
        </w:rPr>
      </w:pPr>
      <w:bookmarkStart w:id="310" w:name="_Toc150507326"/>
      <w:bookmarkStart w:id="311" w:name="_Toc162103228"/>
      <w:r>
        <w:rPr>
          <w:rFonts w:hint="eastAsia" w:ascii="宋体" w:hAnsi="宋体"/>
          <w:color w:val="auto"/>
          <w:szCs w:val="21"/>
          <w:highlight w:val="none"/>
        </w:rPr>
        <w:t>只有通过了初步评审、被判定为合格的投标方可进入详细评审。初步评审通过后，使用</w:t>
      </w:r>
      <w:r>
        <w:rPr>
          <w:rFonts w:hint="eastAsia" w:ascii="宋体" w:hAnsi="宋体"/>
          <w:b/>
          <w:color w:val="auto"/>
          <w:szCs w:val="21"/>
          <w:highlight w:val="none"/>
        </w:rPr>
        <w:t>附表A-</w:t>
      </w:r>
      <w:r>
        <w:rPr>
          <w:rFonts w:ascii="宋体" w:hAnsi="宋体"/>
          <w:b/>
          <w:color w:val="auto"/>
          <w:szCs w:val="21"/>
          <w:highlight w:val="none"/>
        </w:rPr>
        <w:t>8</w:t>
      </w:r>
      <w:r>
        <w:rPr>
          <w:rFonts w:hint="eastAsia" w:ascii="宋体" w:hAnsi="宋体"/>
          <w:color w:val="auto"/>
          <w:szCs w:val="21"/>
          <w:highlight w:val="none"/>
        </w:rPr>
        <w:t>记录初步评审结果</w:t>
      </w:r>
      <w:r>
        <w:rPr>
          <w:rFonts w:hint="eastAsia" w:ascii="黑体" w:hAnsi="宋体" w:eastAsia="黑体"/>
          <w:color w:val="auto"/>
          <w:szCs w:val="21"/>
          <w:highlight w:val="none"/>
        </w:rPr>
        <w:t>。</w:t>
      </w:r>
    </w:p>
    <w:p w14:paraId="3D88CF16">
      <w:pPr>
        <w:pStyle w:val="25"/>
        <w:rPr>
          <w:bCs/>
          <w:color w:val="auto"/>
          <w:sz w:val="21"/>
          <w:szCs w:val="21"/>
          <w:highlight w:val="none"/>
        </w:rPr>
      </w:pPr>
      <w:bookmarkStart w:id="312" w:name="_Toc183107246"/>
      <w:bookmarkStart w:id="313" w:name="_Toc8010"/>
      <w:bookmarkStart w:id="314" w:name="_Toc256000110"/>
      <w:bookmarkStart w:id="315" w:name="_Toc7081"/>
      <w:bookmarkStart w:id="316" w:name="_Toc21052"/>
      <w:bookmarkStart w:id="317" w:name="_Toc166326946"/>
      <w:bookmarkStart w:id="318" w:name="_Toc19545"/>
      <w:r>
        <w:rPr>
          <w:rFonts w:hint="eastAsia"/>
          <w:bCs/>
          <w:color w:val="auto"/>
          <w:sz w:val="21"/>
          <w:szCs w:val="21"/>
          <w:highlight w:val="none"/>
        </w:rPr>
        <w:t>A4.1详细评审的程序</w:t>
      </w:r>
      <w:bookmarkEnd w:id="310"/>
      <w:bookmarkEnd w:id="311"/>
      <w:bookmarkEnd w:id="312"/>
      <w:bookmarkEnd w:id="313"/>
      <w:bookmarkEnd w:id="314"/>
      <w:bookmarkEnd w:id="315"/>
      <w:bookmarkEnd w:id="316"/>
      <w:bookmarkEnd w:id="317"/>
      <w:bookmarkEnd w:id="318"/>
    </w:p>
    <w:p w14:paraId="1CA1187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评标委员会按照本章第3.2款中规定的程序进行详细评审：</w:t>
      </w:r>
    </w:p>
    <w:p w14:paraId="13EAFAE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（1）经济标评审和评分；</w:t>
      </w:r>
    </w:p>
    <w:p w14:paraId="00101B1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（2）技术标评审和评分； </w:t>
      </w:r>
    </w:p>
    <w:p w14:paraId="0EC0910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（3）资信标评审和评分；</w:t>
      </w:r>
    </w:p>
    <w:p w14:paraId="2EEE067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（4）其他因素评审和</w:t>
      </w:r>
      <w:r>
        <w:rPr>
          <w:rFonts w:hint="eastAsia"/>
          <w:color w:val="auto"/>
          <w:highlight w:val="none"/>
        </w:rPr>
        <w:t>评分</w:t>
      </w:r>
      <w:r>
        <w:rPr>
          <w:rFonts w:hint="eastAsia" w:ascii="宋体" w:hAnsi="宋体"/>
          <w:color w:val="auto"/>
          <w:szCs w:val="21"/>
          <w:highlight w:val="none"/>
        </w:rPr>
        <w:t>；</w:t>
      </w:r>
    </w:p>
    <w:p w14:paraId="6D256DB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（5）汇总评分结果。</w:t>
      </w:r>
    </w:p>
    <w:p w14:paraId="546DC8BF">
      <w:pPr>
        <w:pStyle w:val="25"/>
        <w:rPr>
          <w:bCs/>
          <w:color w:val="auto"/>
          <w:sz w:val="21"/>
          <w:szCs w:val="21"/>
          <w:highlight w:val="none"/>
        </w:rPr>
      </w:pPr>
      <w:bookmarkStart w:id="319" w:name="_Toc162103229"/>
      <w:bookmarkStart w:id="320" w:name="_Toc32198"/>
      <w:bookmarkStart w:id="321" w:name="_Toc150507327"/>
      <w:bookmarkStart w:id="322" w:name="_Toc30512"/>
      <w:bookmarkStart w:id="323" w:name="_Toc11775"/>
      <w:bookmarkStart w:id="324" w:name="_Toc166326947"/>
      <w:bookmarkStart w:id="325" w:name="_Toc256000111"/>
      <w:bookmarkStart w:id="326" w:name="_Toc18083"/>
      <w:bookmarkStart w:id="327" w:name="_Toc183107247"/>
      <w:r>
        <w:rPr>
          <w:rFonts w:hint="eastAsia"/>
          <w:bCs/>
          <w:color w:val="auto"/>
          <w:sz w:val="21"/>
          <w:szCs w:val="21"/>
          <w:highlight w:val="none"/>
        </w:rPr>
        <w:t>A4.2经济标评审和评分</w:t>
      </w:r>
      <w:bookmarkEnd w:id="319"/>
      <w:bookmarkEnd w:id="320"/>
      <w:bookmarkEnd w:id="321"/>
      <w:bookmarkEnd w:id="322"/>
      <w:bookmarkEnd w:id="323"/>
      <w:bookmarkEnd w:id="324"/>
      <w:bookmarkEnd w:id="325"/>
      <w:bookmarkEnd w:id="326"/>
      <w:bookmarkEnd w:id="327"/>
    </w:p>
    <w:p w14:paraId="28337A7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A4.2.1按照评标办法前附表中规定的方法计算各投标人的“评标价”。</w:t>
      </w:r>
    </w:p>
    <w:p w14:paraId="7AA01C5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A4.2.2按照评标办法前附表中</w:t>
      </w:r>
      <w:r>
        <w:rPr>
          <w:rFonts w:hint="eastAsia"/>
          <w:color w:val="auto"/>
          <w:highlight w:val="none"/>
        </w:rPr>
        <w:t>规定</w:t>
      </w:r>
      <w:r>
        <w:rPr>
          <w:rFonts w:hint="eastAsia" w:ascii="宋体" w:hAnsi="宋体"/>
          <w:color w:val="auto"/>
          <w:szCs w:val="21"/>
          <w:highlight w:val="none"/>
        </w:rPr>
        <w:t>的方法计算“评标基准价”。</w:t>
      </w:r>
    </w:p>
    <w:p w14:paraId="0DCC22C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3</w:t>
      </w:r>
      <w:r>
        <w:rPr>
          <w:rFonts w:hint="eastAsia" w:ascii="宋体" w:hAnsi="宋体"/>
          <w:color w:val="auto"/>
          <w:szCs w:val="21"/>
          <w:highlight w:val="none"/>
        </w:rPr>
        <w:t>按照评标办法前附表中</w:t>
      </w:r>
      <w:r>
        <w:rPr>
          <w:rFonts w:hint="eastAsia"/>
          <w:color w:val="auto"/>
          <w:highlight w:val="none"/>
        </w:rPr>
        <w:t>规定</w:t>
      </w:r>
      <w:r>
        <w:rPr>
          <w:rFonts w:hint="eastAsia" w:ascii="宋体" w:hAnsi="宋体"/>
          <w:color w:val="auto"/>
          <w:szCs w:val="21"/>
          <w:highlight w:val="none"/>
        </w:rPr>
        <w:t>的方法，计算各个已通过了初步评审的投标报价的“偏差率”。</w:t>
      </w:r>
    </w:p>
    <w:p w14:paraId="55A3950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4</w:t>
      </w:r>
      <w:r>
        <w:rPr>
          <w:rFonts w:hint="eastAsia" w:ascii="宋体" w:hAnsi="宋体"/>
          <w:color w:val="auto"/>
          <w:szCs w:val="21"/>
          <w:highlight w:val="none"/>
        </w:rPr>
        <w:t>按照评标办法前附表中规定的评分标准，对照投标报价的偏差率，分别对各个投标报价进行评分，使用</w:t>
      </w:r>
      <w:r>
        <w:rPr>
          <w:rFonts w:hint="eastAsia" w:ascii="宋体" w:hAnsi="宋体"/>
          <w:b/>
          <w:color w:val="auto"/>
          <w:szCs w:val="21"/>
          <w:highlight w:val="none"/>
        </w:rPr>
        <w:t>附表A-</w:t>
      </w:r>
      <w:r>
        <w:rPr>
          <w:rFonts w:ascii="宋体" w:hAnsi="宋体"/>
          <w:b/>
          <w:color w:val="auto"/>
          <w:szCs w:val="21"/>
          <w:highlight w:val="none"/>
        </w:rPr>
        <w:t>10</w:t>
      </w:r>
      <w:r>
        <w:rPr>
          <w:rFonts w:hint="eastAsia" w:ascii="宋体" w:hAnsi="宋体"/>
          <w:color w:val="auto"/>
          <w:szCs w:val="21"/>
          <w:highlight w:val="none"/>
        </w:rPr>
        <w:t>记录对经济标的评分结果，经济标的得分记录为</w:t>
      </w:r>
      <w:r>
        <w:rPr>
          <w:rFonts w:hint="eastAsia" w:ascii="宋体" w:hAnsi="宋体"/>
          <w:b/>
          <w:color w:val="auto"/>
          <w:szCs w:val="21"/>
          <w:highlight w:val="none"/>
        </w:rPr>
        <w:t>A</w:t>
      </w:r>
      <w:r>
        <w:rPr>
          <w:rFonts w:hint="eastAsia" w:ascii="宋体" w:hAnsi="宋体"/>
          <w:color w:val="auto"/>
          <w:szCs w:val="21"/>
          <w:highlight w:val="none"/>
        </w:rPr>
        <w:t>。</w:t>
      </w:r>
    </w:p>
    <w:p w14:paraId="1CAD2C99">
      <w:pPr>
        <w:pStyle w:val="25"/>
        <w:rPr>
          <w:bCs/>
          <w:color w:val="auto"/>
          <w:sz w:val="21"/>
          <w:szCs w:val="21"/>
          <w:highlight w:val="none"/>
        </w:rPr>
      </w:pPr>
      <w:bookmarkStart w:id="328" w:name="_Toc150507328"/>
      <w:bookmarkStart w:id="329" w:name="_Toc256000112"/>
      <w:bookmarkStart w:id="330" w:name="_Toc162103230"/>
      <w:bookmarkStart w:id="331" w:name="_Toc166326948"/>
      <w:bookmarkStart w:id="332" w:name="_Toc6554"/>
      <w:bookmarkStart w:id="333" w:name="_Toc26462"/>
      <w:bookmarkStart w:id="334" w:name="_Toc12616"/>
      <w:bookmarkStart w:id="335" w:name="_Toc183107248"/>
      <w:bookmarkStart w:id="336" w:name="_Toc2107"/>
      <w:r>
        <w:rPr>
          <w:rFonts w:hint="eastAsia"/>
          <w:bCs/>
          <w:color w:val="auto"/>
          <w:sz w:val="21"/>
          <w:szCs w:val="21"/>
          <w:highlight w:val="none"/>
        </w:rPr>
        <w:t>A4.3 技术标评审和评分</w:t>
      </w:r>
      <w:bookmarkEnd w:id="328"/>
      <w:bookmarkEnd w:id="329"/>
      <w:bookmarkEnd w:id="330"/>
      <w:bookmarkEnd w:id="331"/>
      <w:bookmarkEnd w:id="332"/>
      <w:bookmarkEnd w:id="333"/>
      <w:bookmarkEnd w:id="334"/>
      <w:bookmarkEnd w:id="335"/>
      <w:bookmarkEnd w:id="336"/>
    </w:p>
    <w:p w14:paraId="4884DA2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按照评标办法前附表中规定的分值设定、各项评分因素、评分标准，对施工组织设计进行评审和评分，并使用</w:t>
      </w:r>
      <w:r>
        <w:rPr>
          <w:rFonts w:hint="eastAsia" w:ascii="宋体" w:hAnsi="宋体"/>
          <w:b/>
          <w:color w:val="auto"/>
          <w:szCs w:val="21"/>
          <w:highlight w:val="none"/>
        </w:rPr>
        <w:t>附表A-</w:t>
      </w:r>
      <w:r>
        <w:rPr>
          <w:rFonts w:ascii="宋体" w:hAnsi="宋体"/>
          <w:b/>
          <w:color w:val="auto"/>
          <w:szCs w:val="21"/>
          <w:highlight w:val="none"/>
        </w:rPr>
        <w:t>11</w:t>
      </w:r>
      <w:r>
        <w:rPr>
          <w:rFonts w:hint="eastAsia" w:ascii="宋体" w:hAnsi="宋体"/>
          <w:color w:val="auto"/>
          <w:szCs w:val="21"/>
          <w:highlight w:val="none"/>
        </w:rPr>
        <w:t>记录对技术标的评分结果，技术标的得分记录为</w:t>
      </w:r>
      <w:r>
        <w:rPr>
          <w:rFonts w:hint="eastAsia" w:ascii="宋体" w:hAnsi="宋体"/>
          <w:b/>
          <w:color w:val="auto"/>
          <w:szCs w:val="21"/>
          <w:highlight w:val="none"/>
        </w:rPr>
        <w:t>B</w:t>
      </w:r>
      <w:r>
        <w:rPr>
          <w:rFonts w:hint="eastAsia" w:ascii="宋体" w:hAnsi="宋体"/>
          <w:color w:val="auto"/>
          <w:szCs w:val="21"/>
          <w:highlight w:val="none"/>
        </w:rPr>
        <w:t>。</w:t>
      </w:r>
    </w:p>
    <w:p w14:paraId="5BA537F4">
      <w:pPr>
        <w:pStyle w:val="25"/>
        <w:rPr>
          <w:bCs/>
          <w:color w:val="auto"/>
          <w:sz w:val="21"/>
          <w:szCs w:val="21"/>
          <w:highlight w:val="none"/>
        </w:rPr>
      </w:pPr>
      <w:bookmarkStart w:id="337" w:name="_Toc32582"/>
      <w:bookmarkStart w:id="338" w:name="_Toc383"/>
      <w:bookmarkStart w:id="339" w:name="_Toc27201"/>
      <w:bookmarkStart w:id="340" w:name="_Toc162103231"/>
      <w:bookmarkStart w:id="341" w:name="_Toc19341"/>
      <w:bookmarkStart w:id="342" w:name="_Toc183107249"/>
      <w:bookmarkStart w:id="343" w:name="_Toc150507329"/>
      <w:bookmarkStart w:id="344" w:name="_Toc166326949"/>
      <w:r>
        <w:rPr>
          <w:rFonts w:hint="eastAsia"/>
          <w:bCs/>
          <w:color w:val="auto"/>
          <w:sz w:val="21"/>
          <w:szCs w:val="21"/>
          <w:highlight w:val="none"/>
        </w:rPr>
        <w:t>A4.4</w:t>
      </w:r>
      <w:bookmarkStart w:id="345" w:name="_Hlk164534604"/>
      <w:r>
        <w:rPr>
          <w:rFonts w:hint="eastAsia"/>
          <w:bCs/>
          <w:color w:val="auto"/>
          <w:sz w:val="21"/>
          <w:szCs w:val="21"/>
          <w:highlight w:val="none"/>
        </w:rPr>
        <w:t>资信</w:t>
      </w:r>
      <w:bookmarkEnd w:id="345"/>
      <w:r>
        <w:rPr>
          <w:rFonts w:hint="eastAsia"/>
          <w:bCs/>
          <w:color w:val="auto"/>
          <w:sz w:val="21"/>
          <w:szCs w:val="21"/>
          <w:highlight w:val="none"/>
        </w:rPr>
        <w:t>标评审和评分</w:t>
      </w:r>
      <w:bookmarkEnd w:id="337"/>
      <w:bookmarkEnd w:id="338"/>
      <w:bookmarkEnd w:id="339"/>
      <w:bookmarkEnd w:id="340"/>
      <w:bookmarkEnd w:id="341"/>
      <w:bookmarkEnd w:id="342"/>
      <w:bookmarkEnd w:id="343"/>
      <w:bookmarkEnd w:id="344"/>
    </w:p>
    <w:p w14:paraId="7646FF5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按照评标办法前附表中规定的分值设定、各项评分因素、评分标准，对企业业绩、资信和项目管理机构等进行评审和评分，并使用</w:t>
      </w:r>
      <w:r>
        <w:rPr>
          <w:rFonts w:hint="eastAsia" w:ascii="宋体" w:hAnsi="宋体"/>
          <w:b/>
          <w:color w:val="auto"/>
          <w:szCs w:val="21"/>
          <w:highlight w:val="none"/>
        </w:rPr>
        <w:t>附表A-1</w:t>
      </w:r>
      <w:r>
        <w:rPr>
          <w:rFonts w:ascii="宋体" w:hAnsi="宋体"/>
          <w:b/>
          <w:color w:val="auto"/>
          <w:szCs w:val="21"/>
          <w:highlight w:val="none"/>
        </w:rPr>
        <w:t>3</w:t>
      </w:r>
      <w:r>
        <w:rPr>
          <w:rFonts w:hint="eastAsia" w:ascii="宋体" w:hAnsi="宋体"/>
          <w:color w:val="auto"/>
          <w:szCs w:val="21"/>
          <w:highlight w:val="none"/>
        </w:rPr>
        <w:t>记录对资信标的评分结果，资信标的得分记录为</w:t>
      </w:r>
      <w:r>
        <w:rPr>
          <w:rFonts w:hint="eastAsia" w:ascii="宋体" w:hAnsi="宋体"/>
          <w:b/>
          <w:color w:val="auto"/>
          <w:szCs w:val="21"/>
          <w:highlight w:val="none"/>
        </w:rPr>
        <w:t>C</w:t>
      </w:r>
      <w:r>
        <w:rPr>
          <w:rFonts w:hint="eastAsia" w:ascii="宋体" w:hAnsi="宋体"/>
          <w:color w:val="auto"/>
          <w:szCs w:val="21"/>
          <w:highlight w:val="none"/>
        </w:rPr>
        <w:t>。</w:t>
      </w:r>
    </w:p>
    <w:p w14:paraId="2E8F78B1">
      <w:pPr>
        <w:pStyle w:val="25"/>
        <w:rPr>
          <w:bCs/>
          <w:color w:val="auto"/>
          <w:sz w:val="21"/>
          <w:szCs w:val="21"/>
          <w:highlight w:val="none"/>
        </w:rPr>
      </w:pPr>
      <w:bookmarkStart w:id="346" w:name="_Toc162103232"/>
      <w:bookmarkStart w:id="347" w:name="_Toc166326950"/>
      <w:bookmarkStart w:id="348" w:name="_Toc150507330"/>
      <w:bookmarkStart w:id="349" w:name="_Toc1100"/>
      <w:bookmarkStart w:id="350" w:name="_Toc7222"/>
      <w:bookmarkStart w:id="351" w:name="_Toc256000114"/>
      <w:bookmarkStart w:id="352" w:name="_Toc5013"/>
      <w:bookmarkStart w:id="353" w:name="_Toc183107250"/>
      <w:bookmarkStart w:id="354" w:name="_Toc27631"/>
      <w:r>
        <w:rPr>
          <w:rFonts w:hint="eastAsia"/>
          <w:bCs/>
          <w:color w:val="auto"/>
          <w:sz w:val="21"/>
          <w:szCs w:val="21"/>
          <w:highlight w:val="none"/>
        </w:rPr>
        <w:t>A4.5 其他因素的评审和评分</w:t>
      </w:r>
      <w:bookmarkEnd w:id="346"/>
      <w:bookmarkEnd w:id="347"/>
      <w:bookmarkEnd w:id="348"/>
      <w:bookmarkEnd w:id="349"/>
      <w:bookmarkEnd w:id="350"/>
      <w:bookmarkEnd w:id="351"/>
      <w:bookmarkEnd w:id="352"/>
      <w:bookmarkEnd w:id="353"/>
      <w:bookmarkEnd w:id="354"/>
    </w:p>
    <w:p w14:paraId="795405D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根据评标办法前附表中规定的分值设定、各项评分因素和相应的评分标准，对其他因素（如果有）进行评审和评分，并使用</w:t>
      </w:r>
      <w:r>
        <w:rPr>
          <w:rFonts w:hint="eastAsia" w:ascii="宋体" w:hAnsi="宋体"/>
          <w:b/>
          <w:color w:val="auto"/>
          <w:szCs w:val="21"/>
          <w:highlight w:val="none"/>
        </w:rPr>
        <w:t>附表A-1</w:t>
      </w:r>
      <w:r>
        <w:rPr>
          <w:rFonts w:ascii="宋体" w:hAnsi="宋体"/>
          <w:b/>
          <w:color w:val="auto"/>
          <w:szCs w:val="21"/>
          <w:highlight w:val="none"/>
        </w:rPr>
        <w:t>4</w:t>
      </w:r>
      <w:r>
        <w:rPr>
          <w:rFonts w:hint="eastAsia" w:ascii="宋体" w:hAnsi="宋体"/>
          <w:color w:val="auto"/>
          <w:szCs w:val="21"/>
          <w:highlight w:val="none"/>
        </w:rPr>
        <w:t>记录对其他</w:t>
      </w:r>
      <w:r>
        <w:rPr>
          <w:rFonts w:hint="eastAsia"/>
          <w:color w:val="auto"/>
          <w:highlight w:val="none"/>
        </w:rPr>
        <w:t>因素</w:t>
      </w:r>
      <w:r>
        <w:rPr>
          <w:rFonts w:hint="eastAsia" w:ascii="宋体" w:hAnsi="宋体"/>
          <w:color w:val="auto"/>
          <w:szCs w:val="21"/>
          <w:highlight w:val="none"/>
        </w:rPr>
        <w:t>的评分结果，其他因素的得分记录为</w:t>
      </w:r>
      <w:r>
        <w:rPr>
          <w:rFonts w:hint="eastAsia" w:ascii="宋体" w:hAnsi="宋体"/>
          <w:b/>
          <w:color w:val="auto"/>
          <w:szCs w:val="21"/>
          <w:highlight w:val="none"/>
        </w:rPr>
        <w:t>D</w:t>
      </w:r>
      <w:r>
        <w:rPr>
          <w:rFonts w:hint="eastAsia" w:ascii="宋体" w:hAnsi="宋体"/>
          <w:color w:val="auto"/>
          <w:szCs w:val="21"/>
          <w:highlight w:val="none"/>
        </w:rPr>
        <w:t>。</w:t>
      </w:r>
    </w:p>
    <w:p w14:paraId="7014A81B">
      <w:pPr>
        <w:pStyle w:val="25"/>
        <w:rPr>
          <w:bCs/>
          <w:color w:val="auto"/>
          <w:sz w:val="21"/>
          <w:szCs w:val="21"/>
          <w:highlight w:val="none"/>
        </w:rPr>
      </w:pPr>
      <w:bookmarkStart w:id="355" w:name="_Toc6197"/>
      <w:bookmarkStart w:id="356" w:name="_Toc150507331"/>
      <w:bookmarkStart w:id="357" w:name="_Toc162103233"/>
      <w:bookmarkStart w:id="358" w:name="_Toc21073"/>
      <w:bookmarkStart w:id="359" w:name="_Toc183107251"/>
      <w:bookmarkStart w:id="360" w:name="_Toc256000115"/>
      <w:bookmarkStart w:id="361" w:name="_Toc166326951"/>
      <w:bookmarkStart w:id="362" w:name="_Toc18310"/>
      <w:bookmarkStart w:id="363" w:name="_Toc6774"/>
      <w:r>
        <w:rPr>
          <w:rFonts w:hint="eastAsia"/>
          <w:bCs/>
          <w:color w:val="auto"/>
          <w:sz w:val="21"/>
          <w:szCs w:val="21"/>
          <w:highlight w:val="none"/>
        </w:rPr>
        <w:t>A4.6 澄清、说明或补正</w:t>
      </w:r>
      <w:bookmarkEnd w:id="355"/>
      <w:bookmarkEnd w:id="356"/>
      <w:bookmarkEnd w:id="357"/>
      <w:bookmarkEnd w:id="358"/>
      <w:bookmarkEnd w:id="359"/>
      <w:bookmarkEnd w:id="360"/>
      <w:bookmarkEnd w:id="361"/>
      <w:bookmarkEnd w:id="362"/>
      <w:bookmarkEnd w:id="363"/>
    </w:p>
    <w:p w14:paraId="4AA7F8A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在详细评审过程中，评标委员会应当就投标文件中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通过电子招标投标系统（辽宁省工程建设项目数字化开标评标系统）以书面形式进行。</w:t>
      </w:r>
    </w:p>
    <w:p w14:paraId="149E1CAE">
      <w:pPr>
        <w:pStyle w:val="25"/>
        <w:rPr>
          <w:bCs/>
          <w:color w:val="auto"/>
          <w:sz w:val="21"/>
          <w:szCs w:val="21"/>
          <w:highlight w:val="none"/>
        </w:rPr>
      </w:pPr>
      <w:bookmarkStart w:id="364" w:name="_Toc183107252"/>
      <w:bookmarkStart w:id="365" w:name="_Toc21503"/>
      <w:bookmarkStart w:id="366" w:name="_Toc150507332"/>
      <w:bookmarkStart w:id="367" w:name="_Toc256000116"/>
      <w:bookmarkStart w:id="368" w:name="_Toc166326952"/>
      <w:bookmarkStart w:id="369" w:name="_Toc25486"/>
      <w:bookmarkStart w:id="370" w:name="_Toc4071"/>
      <w:bookmarkStart w:id="371" w:name="_Toc16148"/>
      <w:bookmarkStart w:id="372" w:name="_Toc162103234"/>
      <w:r>
        <w:rPr>
          <w:rFonts w:hint="eastAsia"/>
          <w:bCs/>
          <w:color w:val="auto"/>
          <w:sz w:val="21"/>
          <w:szCs w:val="21"/>
          <w:highlight w:val="none"/>
        </w:rPr>
        <w:t>A4.7汇总评分（评审）结果</w:t>
      </w:r>
      <w:bookmarkEnd w:id="364"/>
      <w:bookmarkEnd w:id="365"/>
      <w:bookmarkEnd w:id="366"/>
      <w:bookmarkEnd w:id="367"/>
      <w:bookmarkEnd w:id="368"/>
      <w:bookmarkEnd w:id="369"/>
      <w:bookmarkEnd w:id="370"/>
      <w:bookmarkEnd w:id="371"/>
      <w:bookmarkEnd w:id="372"/>
    </w:p>
    <w:p w14:paraId="4AAD2E7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评标委员会成员应按照</w:t>
      </w:r>
      <w:r>
        <w:rPr>
          <w:rFonts w:hint="eastAsia" w:ascii="宋体" w:hAnsi="宋体"/>
          <w:b/>
          <w:color w:val="auto"/>
          <w:szCs w:val="21"/>
          <w:highlight w:val="none"/>
        </w:rPr>
        <w:t>附表A-1</w:t>
      </w:r>
      <w:r>
        <w:rPr>
          <w:rFonts w:ascii="宋体" w:hAnsi="宋体"/>
          <w:b/>
          <w:color w:val="auto"/>
          <w:szCs w:val="21"/>
          <w:highlight w:val="none"/>
        </w:rPr>
        <w:t>5</w:t>
      </w:r>
      <w:r>
        <w:rPr>
          <w:rFonts w:hint="eastAsia" w:ascii="宋体" w:hAnsi="宋体"/>
          <w:color w:val="auto"/>
          <w:szCs w:val="21"/>
          <w:highlight w:val="none"/>
        </w:rPr>
        <w:t>的格式汇总各个评标委员会成员的详细评审评分结果，并按照详细评审最终得分由高至低的次序对投标人进行排序。</w:t>
      </w:r>
    </w:p>
    <w:p w14:paraId="4D868A1C">
      <w:pPr>
        <w:pStyle w:val="25"/>
        <w:rPr>
          <w:color w:val="auto"/>
          <w:highlight w:val="none"/>
        </w:rPr>
      </w:pPr>
      <w:bookmarkStart w:id="373" w:name="_Toc4962"/>
      <w:bookmarkStart w:id="374" w:name="_Toc166326953"/>
      <w:bookmarkStart w:id="375" w:name="_Toc1285"/>
      <w:bookmarkStart w:id="376" w:name="_Toc9399"/>
      <w:bookmarkStart w:id="377" w:name="_Toc150507333"/>
      <w:bookmarkStart w:id="378" w:name="_Toc28385"/>
      <w:bookmarkStart w:id="379" w:name="_Toc162103235"/>
      <w:bookmarkStart w:id="380" w:name="_Toc183107253"/>
      <w:bookmarkStart w:id="381" w:name="_Toc256000117"/>
      <w:r>
        <w:rPr>
          <w:rFonts w:hint="eastAsia"/>
          <w:color w:val="auto"/>
          <w:highlight w:val="none"/>
        </w:rPr>
        <w:t>A5</w:t>
      </w:r>
      <w:r>
        <w:rPr>
          <w:color w:val="auto"/>
          <w:highlight w:val="none"/>
        </w:rPr>
        <w:t>.</w:t>
      </w:r>
      <w:r>
        <w:rPr>
          <w:rFonts w:hint="eastAsia"/>
          <w:color w:val="auto"/>
          <w:highlight w:val="none"/>
        </w:rPr>
        <w:t>推荐中标候选人或者直接确定中标人</w:t>
      </w:r>
      <w:bookmarkEnd w:id="373"/>
      <w:bookmarkEnd w:id="374"/>
      <w:bookmarkEnd w:id="375"/>
      <w:bookmarkEnd w:id="376"/>
      <w:bookmarkEnd w:id="377"/>
      <w:bookmarkEnd w:id="378"/>
      <w:bookmarkEnd w:id="379"/>
      <w:bookmarkEnd w:id="380"/>
      <w:bookmarkEnd w:id="381"/>
    </w:p>
    <w:p w14:paraId="77D8CCC3">
      <w:pPr>
        <w:pStyle w:val="25"/>
        <w:rPr>
          <w:bCs/>
          <w:color w:val="auto"/>
          <w:sz w:val="21"/>
          <w:szCs w:val="21"/>
          <w:highlight w:val="none"/>
        </w:rPr>
      </w:pPr>
      <w:bookmarkStart w:id="382" w:name="_Toc166326954"/>
      <w:bookmarkStart w:id="383" w:name="_Toc17969"/>
      <w:bookmarkStart w:id="384" w:name="_Toc4621"/>
      <w:bookmarkStart w:id="385" w:name="_Toc162103236"/>
      <w:bookmarkStart w:id="386" w:name="_Toc256000118"/>
      <w:bookmarkStart w:id="387" w:name="_Toc3658"/>
      <w:bookmarkStart w:id="388" w:name="_Toc9330"/>
      <w:bookmarkStart w:id="389" w:name="_Toc183107254"/>
      <w:bookmarkStart w:id="390" w:name="_Toc150507334"/>
      <w:r>
        <w:rPr>
          <w:rFonts w:hint="eastAsia"/>
          <w:bCs/>
          <w:color w:val="auto"/>
          <w:sz w:val="21"/>
          <w:szCs w:val="21"/>
          <w:highlight w:val="none"/>
        </w:rPr>
        <w:t>A5.1推荐中标候选人</w:t>
      </w:r>
      <w:bookmarkEnd w:id="382"/>
      <w:bookmarkEnd w:id="383"/>
      <w:bookmarkEnd w:id="384"/>
      <w:bookmarkEnd w:id="385"/>
      <w:bookmarkEnd w:id="386"/>
      <w:bookmarkEnd w:id="387"/>
      <w:bookmarkEnd w:id="388"/>
      <w:bookmarkEnd w:id="389"/>
      <w:bookmarkEnd w:id="390"/>
    </w:p>
    <w:p w14:paraId="78743EF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A5.1.1</w:t>
      </w:r>
      <w:r>
        <w:rPr>
          <w:rFonts w:hint="eastAsia"/>
          <w:color w:val="auto"/>
          <w:highlight w:val="none"/>
        </w:rPr>
        <w:t>评标委员会按照本章评标办法前附表规定的推荐方法和第二章“投标人须知”前附表第7.1款推荐的中标候选人数量</w:t>
      </w:r>
      <w:r>
        <w:rPr>
          <w:rFonts w:hint="eastAsia" w:ascii="宋体" w:hAnsi="宋体"/>
          <w:color w:val="auto"/>
          <w:szCs w:val="21"/>
          <w:highlight w:val="none"/>
        </w:rPr>
        <w:t>，按照</w:t>
      </w:r>
      <w:r>
        <w:rPr>
          <w:rFonts w:hint="eastAsia" w:ascii="宋体" w:hAnsi="宋体"/>
          <w:b/>
          <w:color w:val="auto"/>
          <w:szCs w:val="21"/>
          <w:highlight w:val="none"/>
        </w:rPr>
        <w:t>附表A-1</w:t>
      </w:r>
      <w:r>
        <w:rPr>
          <w:rFonts w:ascii="宋体" w:hAnsi="宋体"/>
          <w:b/>
          <w:color w:val="auto"/>
          <w:szCs w:val="21"/>
          <w:highlight w:val="none"/>
        </w:rPr>
        <w:t>7</w:t>
      </w:r>
      <w:r>
        <w:rPr>
          <w:rFonts w:hint="eastAsia" w:ascii="宋体" w:hAnsi="宋体"/>
          <w:bCs/>
          <w:color w:val="auto"/>
          <w:szCs w:val="21"/>
          <w:highlight w:val="none"/>
        </w:rPr>
        <w:t>格式推荐中标候选人。</w:t>
      </w:r>
      <w:r>
        <w:rPr>
          <w:rFonts w:hint="eastAsia" w:ascii="宋体" w:hAnsi="宋体"/>
          <w:color w:val="auto"/>
          <w:szCs w:val="21"/>
          <w:highlight w:val="none"/>
        </w:rPr>
        <w:t>评标委员会在推荐中标候选人时，应遵照以下原则:</w:t>
      </w:r>
    </w:p>
    <w:p w14:paraId="7FE04EB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w:t>
      </w:r>
      <w:bookmarkStart w:id="391" w:name="_Hlk171344251"/>
      <w:r>
        <w:rPr>
          <w:rFonts w:hint="eastAsia"/>
          <w:color w:val="auto"/>
          <w:highlight w:val="none"/>
        </w:rPr>
        <w:t>本章评标办法前附表规定的</w:t>
      </w:r>
      <w:r>
        <w:rPr>
          <w:rFonts w:hint="eastAsia" w:ascii="宋体" w:hAnsi="宋体"/>
          <w:color w:val="auto"/>
          <w:szCs w:val="21"/>
          <w:highlight w:val="none"/>
        </w:rPr>
        <w:t>方法</w:t>
      </w:r>
      <w:bookmarkEnd w:id="391"/>
      <w:r>
        <w:rPr>
          <w:rFonts w:hint="eastAsia" w:ascii="宋体" w:hAnsi="宋体"/>
          <w:color w:val="auto"/>
          <w:szCs w:val="21"/>
          <w:highlight w:val="none"/>
        </w:rPr>
        <w:t>推荐中标候选人。</w:t>
      </w:r>
      <w:r>
        <w:rPr>
          <w:rFonts w:hint="eastAsia"/>
          <w:color w:val="auto"/>
          <w:highlight w:val="none"/>
        </w:rPr>
        <w:t>招标文件允许多标段投标、多标段中标的，各标段中标候选人的推荐按规定执行，对某些标段由此产生的空缺由排序在后的投标人依次替补。</w:t>
      </w:r>
    </w:p>
    <w:p w14:paraId="2070CCB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（2）如果评标委员会根据本章的规定否决有关投标后，有效投标不足三个，且少于第二章“投标人须知”前附表第7.1款规定的中标</w:t>
      </w:r>
      <w:r>
        <w:rPr>
          <w:rFonts w:hint="eastAsia"/>
          <w:color w:val="auto"/>
          <w:highlight w:val="none"/>
        </w:rPr>
        <w:t>候选人</w:t>
      </w:r>
      <w:r>
        <w:rPr>
          <w:rFonts w:hint="eastAsia" w:ascii="宋体" w:hAnsi="宋体"/>
          <w:color w:val="auto"/>
          <w:szCs w:val="21"/>
          <w:highlight w:val="none"/>
        </w:rPr>
        <w:t>数量的，</w:t>
      </w:r>
      <w:bookmarkStart w:id="392" w:name="_Hlk171344300"/>
      <w:r>
        <w:rPr>
          <w:rFonts w:hint="eastAsia" w:ascii="宋体" w:hAnsi="宋体"/>
          <w:color w:val="auto"/>
          <w:szCs w:val="21"/>
          <w:highlight w:val="none"/>
        </w:rPr>
        <w:t>则评标委员会可以将所有有效投标人作为中标候选人向招标人推荐。</w:t>
      </w:r>
      <w:bookmarkEnd w:id="392"/>
      <w:r>
        <w:rPr>
          <w:rFonts w:hint="eastAsia" w:ascii="宋体" w:hAnsi="宋体"/>
          <w:color w:val="auto"/>
          <w:szCs w:val="21"/>
          <w:highlight w:val="none"/>
        </w:rPr>
        <w:t>如果因有效投标不足三个使得投标明显缺乏竞争的，评标委员会可以否决所有投标，并建议招标人重新招标。</w:t>
      </w:r>
    </w:p>
    <w:p w14:paraId="25D3068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A5.1.2投标人数量少于三个或者所有投标被否决的，招标人应当依法重新招标。</w:t>
      </w:r>
    </w:p>
    <w:p w14:paraId="11E17F28">
      <w:pPr>
        <w:pStyle w:val="25"/>
        <w:rPr>
          <w:bCs/>
          <w:color w:val="auto"/>
          <w:sz w:val="21"/>
          <w:szCs w:val="21"/>
          <w:highlight w:val="none"/>
        </w:rPr>
      </w:pPr>
      <w:bookmarkStart w:id="393" w:name="_Toc256000119"/>
      <w:bookmarkStart w:id="394" w:name="_Toc166326955"/>
      <w:bookmarkStart w:id="395" w:name="_Toc32559"/>
      <w:bookmarkStart w:id="396" w:name="_Toc31755"/>
      <w:bookmarkStart w:id="397" w:name="_Toc162103237"/>
      <w:bookmarkStart w:id="398" w:name="_Toc24665"/>
      <w:bookmarkStart w:id="399" w:name="_Toc18007"/>
      <w:bookmarkStart w:id="400" w:name="_Toc150507335"/>
      <w:bookmarkStart w:id="401" w:name="_Toc183107255"/>
      <w:r>
        <w:rPr>
          <w:rFonts w:hint="eastAsia"/>
          <w:bCs/>
          <w:color w:val="auto"/>
          <w:sz w:val="21"/>
          <w:szCs w:val="21"/>
          <w:highlight w:val="none"/>
        </w:rPr>
        <w:t>A5.2直接确定中标人</w:t>
      </w:r>
      <w:bookmarkEnd w:id="393"/>
      <w:bookmarkEnd w:id="394"/>
      <w:bookmarkEnd w:id="395"/>
      <w:bookmarkEnd w:id="396"/>
      <w:bookmarkEnd w:id="397"/>
      <w:bookmarkEnd w:id="398"/>
      <w:bookmarkEnd w:id="399"/>
      <w:bookmarkEnd w:id="400"/>
      <w:bookmarkEnd w:id="401"/>
    </w:p>
    <w:p w14:paraId="5AA38F3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第二章“投标人须知”前附表授权评标委员会</w:t>
      </w:r>
      <w:r>
        <w:rPr>
          <w:rFonts w:hint="eastAsia"/>
          <w:color w:val="auto"/>
          <w:highlight w:val="none"/>
        </w:rPr>
        <w:t>直接</w:t>
      </w:r>
      <w:r>
        <w:rPr>
          <w:rFonts w:hint="eastAsia" w:ascii="宋体" w:hAnsi="宋体"/>
          <w:color w:val="auto"/>
          <w:szCs w:val="21"/>
          <w:highlight w:val="none"/>
        </w:rPr>
        <w:t>确定中标人的，评标委员会按照最终得分由高至低的次序排列。</w:t>
      </w:r>
    </w:p>
    <w:p w14:paraId="28142305">
      <w:pPr>
        <w:pStyle w:val="25"/>
        <w:rPr>
          <w:bCs/>
          <w:color w:val="auto"/>
          <w:sz w:val="21"/>
          <w:szCs w:val="21"/>
          <w:highlight w:val="none"/>
        </w:rPr>
      </w:pPr>
      <w:bookmarkStart w:id="402" w:name="_Toc256000120"/>
      <w:bookmarkStart w:id="403" w:name="_Toc162103238"/>
      <w:bookmarkStart w:id="404" w:name="_Toc3090"/>
      <w:bookmarkStart w:id="405" w:name="_Toc25561"/>
      <w:bookmarkStart w:id="406" w:name="_Toc5978"/>
      <w:bookmarkStart w:id="407" w:name="_Toc150507336"/>
      <w:bookmarkStart w:id="408" w:name="_Toc166326956"/>
      <w:bookmarkStart w:id="409" w:name="_Toc183107256"/>
      <w:bookmarkStart w:id="410" w:name="_Toc21564"/>
      <w:r>
        <w:rPr>
          <w:rFonts w:hint="eastAsia"/>
          <w:bCs/>
          <w:color w:val="auto"/>
          <w:sz w:val="21"/>
          <w:szCs w:val="21"/>
          <w:highlight w:val="none"/>
        </w:rPr>
        <w:t>A5.3编制评标报告</w:t>
      </w:r>
      <w:bookmarkEnd w:id="402"/>
      <w:bookmarkEnd w:id="403"/>
      <w:bookmarkEnd w:id="404"/>
      <w:bookmarkEnd w:id="405"/>
      <w:bookmarkEnd w:id="406"/>
      <w:bookmarkEnd w:id="407"/>
      <w:bookmarkEnd w:id="408"/>
      <w:bookmarkEnd w:id="409"/>
      <w:bookmarkEnd w:id="410"/>
    </w:p>
    <w:p w14:paraId="6240326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评标委员会根据本章第3.4.2项的规定向</w:t>
      </w:r>
      <w:r>
        <w:rPr>
          <w:rFonts w:hint="eastAsia"/>
          <w:color w:val="auto"/>
          <w:highlight w:val="none"/>
        </w:rPr>
        <w:t>招标</w:t>
      </w:r>
      <w:r>
        <w:rPr>
          <w:rFonts w:hint="eastAsia" w:ascii="宋体" w:hAnsi="宋体"/>
          <w:color w:val="auto"/>
          <w:szCs w:val="21"/>
          <w:highlight w:val="none"/>
        </w:rPr>
        <w:t>人提交评标报告。评标报告应当由全体评标委员会成员签字，并于评标结束时抄送有关行政监督部门。评标报告应当包括以下内容：</w:t>
      </w:r>
    </w:p>
    <w:p w14:paraId="3E0D482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（1）基本情况和数据表；</w:t>
      </w:r>
    </w:p>
    <w:p w14:paraId="6E7B998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（2）评标委员会成员名单；</w:t>
      </w:r>
    </w:p>
    <w:p w14:paraId="3E0760B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w:t>
      </w:r>
    </w:p>
    <w:p w14:paraId="38E7547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（4）通过初步评审的投标人一览表；</w:t>
      </w:r>
    </w:p>
    <w:p w14:paraId="55ED459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（5）被否决投标的情况说明；</w:t>
      </w:r>
    </w:p>
    <w:p w14:paraId="43607F0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（6）评标标准、评标方法或者评标</w:t>
      </w:r>
      <w:r>
        <w:rPr>
          <w:rFonts w:hint="eastAsia"/>
          <w:color w:val="auto"/>
          <w:highlight w:val="none"/>
        </w:rPr>
        <w:t>因素</w:t>
      </w:r>
      <w:r>
        <w:rPr>
          <w:rFonts w:hint="eastAsia" w:ascii="宋体" w:hAnsi="宋体"/>
          <w:color w:val="auto"/>
          <w:szCs w:val="21"/>
          <w:highlight w:val="none"/>
        </w:rPr>
        <w:t>一览表；</w:t>
      </w:r>
    </w:p>
    <w:p w14:paraId="4222EDC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（7）经评审的价格一览表（包括评标委员会在评标过程中所形成的所有记载评标结果、结论的表格、说明、记录等文件）；</w:t>
      </w:r>
    </w:p>
    <w:p w14:paraId="03798BC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（8）经评审的投标人排序；</w:t>
      </w:r>
    </w:p>
    <w:p w14:paraId="5A8766E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（9）推荐的中标候选人名单（</w:t>
      </w:r>
      <w:r>
        <w:rPr>
          <w:rFonts w:hint="eastAsia"/>
          <w:color w:val="auto"/>
          <w:highlight w:val="none"/>
        </w:rPr>
        <w:t>如果</w:t>
      </w:r>
      <w:r>
        <w:rPr>
          <w:rFonts w:hint="eastAsia" w:ascii="宋体" w:hAnsi="宋体"/>
          <w:color w:val="auto"/>
          <w:szCs w:val="21"/>
          <w:highlight w:val="none"/>
        </w:rPr>
        <w:t>第二章“投标人须知”前附表授权评标委员会直接确定中标人，则为“确定的中标人”）与签订合同前要</w:t>
      </w:r>
      <w:r>
        <w:rPr>
          <w:rFonts w:hint="eastAsia"/>
          <w:color w:val="auto"/>
          <w:highlight w:val="none"/>
        </w:rPr>
        <w:t>处理</w:t>
      </w:r>
      <w:r>
        <w:rPr>
          <w:rFonts w:hint="eastAsia" w:ascii="宋体" w:hAnsi="宋体"/>
          <w:color w:val="auto"/>
          <w:szCs w:val="21"/>
          <w:highlight w:val="none"/>
        </w:rPr>
        <w:t>的事宜；</w:t>
      </w:r>
    </w:p>
    <w:p w14:paraId="3850B43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（10）澄清、说明、补正事项纪要。</w:t>
      </w:r>
    </w:p>
    <w:p w14:paraId="4C54E006">
      <w:pPr>
        <w:pStyle w:val="25"/>
        <w:rPr>
          <w:color w:val="auto"/>
          <w:highlight w:val="none"/>
        </w:rPr>
      </w:pPr>
      <w:bookmarkStart w:id="411" w:name="_Toc150507337"/>
      <w:bookmarkStart w:id="412" w:name="_Toc183107257"/>
      <w:bookmarkStart w:id="413" w:name="_Toc166326957"/>
      <w:bookmarkStart w:id="414" w:name="_Toc162103239"/>
      <w:bookmarkStart w:id="415" w:name="_Toc256000121"/>
      <w:bookmarkStart w:id="416" w:name="_Toc24430"/>
      <w:bookmarkStart w:id="417" w:name="_Toc25003"/>
      <w:bookmarkStart w:id="418" w:name="_Toc22469"/>
      <w:bookmarkStart w:id="419" w:name="_Toc19632"/>
      <w:r>
        <w:rPr>
          <w:rFonts w:hint="eastAsia"/>
          <w:color w:val="auto"/>
          <w:highlight w:val="none"/>
        </w:rPr>
        <w:t>A6.特殊情况的处置程序</w:t>
      </w:r>
      <w:bookmarkEnd w:id="411"/>
      <w:bookmarkEnd w:id="412"/>
      <w:bookmarkEnd w:id="413"/>
      <w:bookmarkEnd w:id="414"/>
      <w:bookmarkEnd w:id="415"/>
      <w:bookmarkEnd w:id="416"/>
      <w:bookmarkEnd w:id="417"/>
      <w:bookmarkEnd w:id="418"/>
      <w:bookmarkEnd w:id="419"/>
    </w:p>
    <w:p w14:paraId="65F1AC08">
      <w:pPr>
        <w:pStyle w:val="25"/>
        <w:rPr>
          <w:bCs/>
          <w:color w:val="auto"/>
          <w:sz w:val="21"/>
          <w:szCs w:val="21"/>
          <w:highlight w:val="none"/>
        </w:rPr>
      </w:pPr>
      <w:bookmarkStart w:id="420" w:name="_Toc150507338"/>
      <w:bookmarkStart w:id="421" w:name="_Toc183107258"/>
      <w:bookmarkStart w:id="422" w:name="_Toc16311"/>
      <w:bookmarkStart w:id="423" w:name="_Toc162103240"/>
      <w:bookmarkStart w:id="424" w:name="_Toc166326958"/>
      <w:bookmarkStart w:id="425" w:name="_Toc256000122"/>
      <w:bookmarkStart w:id="426" w:name="_Toc1395"/>
      <w:bookmarkStart w:id="427" w:name="_Toc17581"/>
      <w:bookmarkStart w:id="428" w:name="_Toc789"/>
      <w:r>
        <w:rPr>
          <w:rFonts w:hint="eastAsia"/>
          <w:bCs/>
          <w:color w:val="auto"/>
          <w:sz w:val="21"/>
          <w:szCs w:val="21"/>
          <w:highlight w:val="none"/>
        </w:rPr>
        <w:t>A6.1暗标评审的评审程序规定（适用于对技术标进行暗标评审的）</w:t>
      </w:r>
      <w:bookmarkEnd w:id="420"/>
      <w:bookmarkEnd w:id="421"/>
      <w:bookmarkEnd w:id="422"/>
      <w:bookmarkEnd w:id="423"/>
      <w:bookmarkEnd w:id="424"/>
      <w:bookmarkEnd w:id="425"/>
      <w:bookmarkEnd w:id="426"/>
      <w:bookmarkEnd w:id="427"/>
      <w:bookmarkEnd w:id="428"/>
    </w:p>
    <w:p w14:paraId="7B27221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如果第二章“投标人须知”前附表第</w:t>
      </w:r>
      <w:r>
        <w:rPr>
          <w:rFonts w:hint="eastAsia"/>
          <w:color w:val="auto"/>
          <w:highlight w:val="none"/>
        </w:rPr>
        <w:t>3.7.4</w:t>
      </w:r>
      <w:r>
        <w:rPr>
          <w:rFonts w:hint="eastAsia" w:ascii="宋体" w:hAnsi="宋体"/>
          <w:color w:val="auto"/>
          <w:szCs w:val="21"/>
          <w:highlight w:val="none"/>
        </w:rPr>
        <w:t>项要求对技术标采用模块化暗标方式，如果技术标是详细评审阶段的评审内容的，则评标委员会需将技术标（暗标）的格式类评审在初步评审阶段完成，详细评审阶段发现某个模块存在</w:t>
      </w:r>
      <w:r>
        <w:rPr>
          <w:rFonts w:hint="eastAsia"/>
          <w:color w:val="auto"/>
          <w:szCs w:val="21"/>
          <w:highlight w:val="none"/>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color w:val="auto"/>
          <w:szCs w:val="21"/>
          <w:highlight w:val="none"/>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14:paraId="19F3C287">
      <w:pPr>
        <w:pStyle w:val="25"/>
        <w:rPr>
          <w:bCs/>
          <w:color w:val="auto"/>
          <w:sz w:val="21"/>
          <w:szCs w:val="21"/>
          <w:highlight w:val="none"/>
        </w:rPr>
      </w:pPr>
      <w:bookmarkStart w:id="429" w:name="_Toc183107259"/>
      <w:bookmarkStart w:id="430" w:name="_Toc150507339"/>
      <w:bookmarkStart w:id="431" w:name="_Toc1003"/>
      <w:bookmarkStart w:id="432" w:name="_Toc166326959"/>
      <w:bookmarkStart w:id="433" w:name="_Toc8272"/>
      <w:bookmarkStart w:id="434" w:name="_Toc11796"/>
      <w:bookmarkStart w:id="435" w:name="_Toc256000123"/>
      <w:bookmarkStart w:id="436" w:name="_Toc13806"/>
      <w:bookmarkStart w:id="437" w:name="_Toc162103241"/>
      <w:r>
        <w:rPr>
          <w:rFonts w:hint="eastAsia"/>
          <w:bCs/>
          <w:color w:val="auto"/>
          <w:sz w:val="21"/>
          <w:szCs w:val="21"/>
          <w:highlight w:val="none"/>
        </w:rPr>
        <w:t>A6.2关于评标活动暂停</w:t>
      </w:r>
      <w:bookmarkEnd w:id="429"/>
      <w:bookmarkEnd w:id="430"/>
      <w:bookmarkEnd w:id="431"/>
      <w:bookmarkEnd w:id="432"/>
      <w:bookmarkEnd w:id="433"/>
      <w:bookmarkEnd w:id="434"/>
      <w:bookmarkEnd w:id="435"/>
      <w:bookmarkEnd w:id="436"/>
      <w:bookmarkEnd w:id="437"/>
    </w:p>
    <w:p w14:paraId="0FE8CDA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A6.2.1评标委员会应当执行连续评标的原则，按评标办法中规定的程序、内容、方法、标准完成全部评标工作。只有发生不可抗力导致评标</w:t>
      </w:r>
      <w:r>
        <w:rPr>
          <w:rFonts w:hint="eastAsia"/>
          <w:color w:val="auto"/>
          <w:highlight w:val="none"/>
        </w:rPr>
        <w:t>工作</w:t>
      </w:r>
      <w:r>
        <w:rPr>
          <w:rFonts w:hint="eastAsia" w:ascii="宋体" w:hAnsi="宋体"/>
          <w:color w:val="auto"/>
          <w:szCs w:val="21"/>
          <w:highlight w:val="none"/>
        </w:rPr>
        <w:t>无法继续时，评标活动方可暂停。</w:t>
      </w:r>
    </w:p>
    <w:p w14:paraId="4B64889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A6.2.2发生评标暂停情况时，评标委员会应当封存全部投标文件和评标记录，待不可抗力的影响结束且具备继续评标的条件时，由原评标委员会继续评标。</w:t>
      </w:r>
    </w:p>
    <w:p w14:paraId="45484289">
      <w:pPr>
        <w:pStyle w:val="25"/>
        <w:rPr>
          <w:bCs/>
          <w:color w:val="auto"/>
          <w:sz w:val="21"/>
          <w:szCs w:val="21"/>
          <w:highlight w:val="none"/>
        </w:rPr>
      </w:pPr>
      <w:bookmarkStart w:id="438" w:name="_Toc183107260"/>
      <w:bookmarkStart w:id="439" w:name="_Toc256000124"/>
      <w:bookmarkStart w:id="440" w:name="_Toc166326960"/>
      <w:bookmarkStart w:id="441" w:name="_Toc150507340"/>
      <w:bookmarkStart w:id="442" w:name="_Toc162103242"/>
      <w:bookmarkStart w:id="443" w:name="_Toc30723"/>
      <w:bookmarkStart w:id="444" w:name="_Toc17156"/>
      <w:bookmarkStart w:id="445" w:name="_Toc25421"/>
      <w:bookmarkStart w:id="446" w:name="_Toc24000"/>
      <w:r>
        <w:rPr>
          <w:rFonts w:hint="eastAsia"/>
          <w:bCs/>
          <w:color w:val="auto"/>
          <w:sz w:val="21"/>
          <w:szCs w:val="21"/>
          <w:highlight w:val="none"/>
        </w:rPr>
        <w:t>A6.3关于评标中途更换评标委员会成员</w:t>
      </w:r>
      <w:bookmarkEnd w:id="438"/>
      <w:bookmarkEnd w:id="439"/>
      <w:bookmarkEnd w:id="440"/>
      <w:bookmarkEnd w:id="441"/>
      <w:bookmarkEnd w:id="442"/>
      <w:bookmarkEnd w:id="443"/>
      <w:bookmarkEnd w:id="444"/>
      <w:bookmarkEnd w:id="445"/>
      <w:bookmarkEnd w:id="446"/>
    </w:p>
    <w:p w14:paraId="732ABD8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A6.3.1除非发生下列情况之一，评标委员会成员</w:t>
      </w:r>
      <w:r>
        <w:rPr>
          <w:rFonts w:hint="eastAsia"/>
          <w:color w:val="auto"/>
          <w:highlight w:val="none"/>
        </w:rPr>
        <w:t>不得</w:t>
      </w:r>
      <w:r>
        <w:rPr>
          <w:rFonts w:hint="eastAsia" w:ascii="宋体" w:hAnsi="宋体"/>
          <w:color w:val="auto"/>
          <w:szCs w:val="21"/>
          <w:highlight w:val="none"/>
        </w:rPr>
        <w:t>在评标中途更换：</w:t>
      </w:r>
    </w:p>
    <w:p w14:paraId="31091F7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（1）因不可抗拒的客观原因，不能到场或需在评标</w:t>
      </w:r>
      <w:r>
        <w:rPr>
          <w:rFonts w:hint="eastAsia"/>
          <w:color w:val="auto"/>
          <w:highlight w:val="none"/>
        </w:rPr>
        <w:t>中途</w:t>
      </w:r>
      <w:r>
        <w:rPr>
          <w:rFonts w:hint="eastAsia" w:ascii="宋体" w:hAnsi="宋体"/>
          <w:color w:val="auto"/>
          <w:szCs w:val="21"/>
          <w:highlight w:val="none"/>
        </w:rPr>
        <w:t>退出评标活动。</w:t>
      </w:r>
    </w:p>
    <w:p w14:paraId="0BE3C01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（2）根据法律法规规定，某个或某几个评标委员会</w:t>
      </w:r>
      <w:r>
        <w:rPr>
          <w:rFonts w:hint="eastAsia"/>
          <w:color w:val="auto"/>
          <w:highlight w:val="none"/>
        </w:rPr>
        <w:t>成员</w:t>
      </w:r>
      <w:r>
        <w:rPr>
          <w:rFonts w:hint="eastAsia" w:ascii="宋体" w:hAnsi="宋体"/>
          <w:color w:val="auto"/>
          <w:szCs w:val="21"/>
          <w:highlight w:val="none"/>
        </w:rPr>
        <w:t>需要回避。</w:t>
      </w:r>
    </w:p>
    <w:p w14:paraId="4ECD5DA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A6.3.2退出评标的评标委员会成员，其已完成的</w:t>
      </w:r>
      <w:r>
        <w:rPr>
          <w:rFonts w:hint="eastAsia"/>
          <w:color w:val="auto"/>
          <w:highlight w:val="none"/>
        </w:rPr>
        <w:t>评标</w:t>
      </w:r>
      <w:r>
        <w:rPr>
          <w:rFonts w:hint="eastAsia" w:ascii="宋体" w:hAnsi="宋体"/>
          <w:color w:val="auto"/>
          <w:szCs w:val="21"/>
          <w:highlight w:val="none"/>
        </w:rPr>
        <w:t>行为无效。由招标人根据本招标文件规定的评标委员会成员生产方式另行确定替代者进行评标。</w:t>
      </w:r>
    </w:p>
    <w:p w14:paraId="2CF8F433">
      <w:pPr>
        <w:pStyle w:val="25"/>
        <w:rPr>
          <w:bCs/>
          <w:color w:val="auto"/>
          <w:sz w:val="21"/>
          <w:szCs w:val="21"/>
          <w:highlight w:val="none"/>
        </w:rPr>
      </w:pPr>
      <w:bookmarkStart w:id="447" w:name="_Toc183107261"/>
      <w:bookmarkStart w:id="448" w:name="_Toc162103243"/>
      <w:bookmarkStart w:id="449" w:name="_Toc11058"/>
      <w:bookmarkStart w:id="450" w:name="_Toc166326961"/>
      <w:bookmarkStart w:id="451" w:name="_Toc150507341"/>
      <w:bookmarkStart w:id="452" w:name="_Toc256000125"/>
      <w:bookmarkStart w:id="453" w:name="_Toc17861"/>
      <w:bookmarkStart w:id="454" w:name="_Toc11916"/>
      <w:bookmarkStart w:id="455" w:name="_Toc11529"/>
      <w:r>
        <w:rPr>
          <w:rFonts w:hint="eastAsia"/>
          <w:bCs/>
          <w:color w:val="auto"/>
          <w:sz w:val="21"/>
          <w:szCs w:val="21"/>
          <w:highlight w:val="none"/>
        </w:rPr>
        <w:t>A6.4 评标争议处理</w:t>
      </w:r>
      <w:bookmarkEnd w:id="447"/>
      <w:bookmarkEnd w:id="448"/>
      <w:bookmarkEnd w:id="449"/>
      <w:bookmarkEnd w:id="450"/>
      <w:bookmarkEnd w:id="451"/>
      <w:bookmarkEnd w:id="452"/>
      <w:bookmarkEnd w:id="453"/>
      <w:bookmarkEnd w:id="454"/>
      <w:bookmarkEnd w:id="455"/>
    </w:p>
    <w:p w14:paraId="752E25B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A6.4.1评标委员会全体成员应独立评审，对所</w:t>
      </w:r>
      <w:r>
        <w:rPr>
          <w:rFonts w:hint="eastAsia"/>
          <w:color w:val="auto"/>
          <w:highlight w:val="none"/>
        </w:rPr>
        <w:t>提出</w:t>
      </w:r>
      <w:r>
        <w:rPr>
          <w:rFonts w:hint="eastAsia" w:ascii="宋体" w:hAnsi="宋体"/>
          <w:color w:val="auto"/>
          <w:szCs w:val="21"/>
          <w:highlight w:val="none"/>
        </w:rPr>
        <w:t>的评审意见承担个人责任。</w:t>
      </w:r>
    </w:p>
    <w:p w14:paraId="473B3B7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A6.4.2在任何评标环节中，需评标委员会就某项</w:t>
      </w:r>
      <w:r>
        <w:rPr>
          <w:rFonts w:hint="eastAsia"/>
          <w:color w:val="auto"/>
          <w:highlight w:val="none"/>
        </w:rPr>
        <w:t>定性</w:t>
      </w:r>
      <w:r>
        <w:rPr>
          <w:rFonts w:hint="eastAsia" w:ascii="宋体" w:hAnsi="宋体"/>
          <w:color w:val="auto"/>
          <w:szCs w:val="21"/>
          <w:highlight w:val="none"/>
        </w:rPr>
        <w:t>的评审结论做出表决的，由评标委员会全体成员按照少数服从多数的原则，以记名投票方式表决。表决不得违背法律、法规、规章和招标文件的规定。</w:t>
      </w:r>
    </w:p>
    <w:p w14:paraId="517733E5">
      <w:pPr>
        <w:spacing w:line="400" w:lineRule="exact"/>
        <w:ind w:firstLine="420" w:firstLineChars="200"/>
        <w:rPr>
          <w:rFonts w:hint="eastAsia" w:ascii="宋体" w:hAnsi="宋体"/>
          <w:color w:val="auto"/>
          <w:szCs w:val="21"/>
          <w:highlight w:val="none"/>
          <w:bdr w:val="single" w:color="auto" w:sz="4" w:space="0"/>
        </w:rPr>
      </w:pPr>
      <w:r>
        <w:rPr>
          <w:rFonts w:hint="eastAsia" w:ascii="宋体" w:hAnsi="宋体"/>
          <w:color w:val="auto"/>
          <w:szCs w:val="21"/>
          <w:highlight w:val="none"/>
        </w:rPr>
        <w:t>A6.4.</w:t>
      </w:r>
      <w:r>
        <w:rPr>
          <w:rFonts w:ascii="宋体" w:hAnsi="宋体"/>
          <w:color w:val="auto"/>
          <w:szCs w:val="21"/>
          <w:highlight w:val="none"/>
        </w:rPr>
        <w:t>3</w:t>
      </w:r>
      <w:r>
        <w:rPr>
          <w:rFonts w:hint="eastAsia"/>
          <w:color w:val="auto"/>
          <w:highlight w:val="none"/>
        </w:rPr>
        <w:t>评标委员会成员对书面决议或评审结论持有异议的，</w:t>
      </w:r>
      <w:r>
        <w:rPr>
          <w:rFonts w:hint="eastAsia" w:ascii="宋体" w:hAnsi="宋体"/>
          <w:color w:val="auto"/>
          <w:highlight w:val="none"/>
        </w:rPr>
        <w:t>可以</w:t>
      </w:r>
      <w:r>
        <w:rPr>
          <w:rFonts w:hint="eastAsia"/>
          <w:color w:val="auto"/>
          <w:highlight w:val="none"/>
        </w:rPr>
        <w:t>书面阐述其不同意见和理由。拒绝在书面决议或评标报告上签名，且不陈述其不同意见和理由的，视为同意书面决议或评标结论，评标委员会应当</w:t>
      </w:r>
      <w:r>
        <w:rPr>
          <w:rFonts w:hint="eastAsia" w:ascii="宋体" w:hAnsi="宋体"/>
          <w:color w:val="auto"/>
          <w:highlight w:val="none"/>
        </w:rPr>
        <w:t>对此</w:t>
      </w:r>
      <w:r>
        <w:rPr>
          <w:rFonts w:hint="eastAsia"/>
          <w:color w:val="auto"/>
          <w:highlight w:val="none"/>
        </w:rPr>
        <w:t>在评标报告中做出书面说明。</w:t>
      </w:r>
    </w:p>
    <w:p w14:paraId="458529CE">
      <w:pPr>
        <w:pStyle w:val="25"/>
        <w:rPr>
          <w:color w:val="auto"/>
          <w:highlight w:val="none"/>
        </w:rPr>
      </w:pPr>
      <w:bookmarkStart w:id="456" w:name="_Toc162103244"/>
      <w:bookmarkStart w:id="457" w:name="_Toc256000126"/>
      <w:bookmarkStart w:id="458" w:name="_Toc23023"/>
      <w:bookmarkStart w:id="459" w:name="_Toc166326962"/>
      <w:bookmarkStart w:id="460" w:name="_Toc15449"/>
      <w:bookmarkStart w:id="461" w:name="_Toc8748"/>
      <w:bookmarkStart w:id="462" w:name="_Toc183107262"/>
      <w:bookmarkStart w:id="463" w:name="_Toc150507342"/>
      <w:bookmarkStart w:id="464" w:name="_Toc28527"/>
      <w:r>
        <w:rPr>
          <w:rFonts w:hint="eastAsia"/>
          <w:color w:val="auto"/>
          <w:highlight w:val="none"/>
        </w:rPr>
        <w:t>A7.补充条款</w:t>
      </w:r>
      <w:bookmarkEnd w:id="456"/>
      <w:bookmarkEnd w:id="457"/>
      <w:bookmarkEnd w:id="458"/>
      <w:bookmarkEnd w:id="459"/>
      <w:bookmarkEnd w:id="460"/>
      <w:bookmarkEnd w:id="461"/>
      <w:bookmarkEnd w:id="462"/>
      <w:bookmarkEnd w:id="463"/>
      <w:bookmarkEnd w:id="464"/>
    </w:p>
    <w:p w14:paraId="28AB2BAF">
      <w:pPr>
        <w:adjustRightInd w:val="0"/>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bookmarkEnd w:id="172"/>
    <w:bookmarkEnd w:id="181"/>
    <w:p w14:paraId="47240782">
      <w:pPr>
        <w:adjustRightInd w:val="0"/>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14:paraId="57C538E8">
      <w:pPr>
        <w:adjustRightInd w:val="0"/>
        <w:snapToGrid w:val="0"/>
        <w:spacing w:line="440" w:lineRule="exact"/>
        <w:ind w:firstLine="420" w:firstLineChars="200"/>
        <w:rPr>
          <w:rFonts w:hint="eastAsia" w:ascii="宋体" w:hAnsi="宋体"/>
          <w:color w:val="auto"/>
          <w:szCs w:val="21"/>
          <w:highlight w:val="none"/>
        </w:rPr>
        <w:sectPr>
          <w:type w:val="continuous"/>
          <w:pgSz w:w="11906" w:h="16838"/>
          <w:pgMar w:top="1440" w:right="1797" w:bottom="1440" w:left="1797" w:header="851" w:footer="851" w:gutter="0"/>
          <w:cols w:space="720" w:num="1"/>
          <w:docGrid w:linePitch="312" w:charSpace="0"/>
        </w:sectPr>
      </w:pPr>
    </w:p>
    <w:p w14:paraId="14C840DB">
      <w:pPr>
        <w:pStyle w:val="2"/>
        <w:rPr>
          <w:b w:val="0"/>
          <w:color w:val="auto"/>
          <w:sz w:val="24"/>
          <w:szCs w:val="24"/>
          <w:highlight w:val="none"/>
        </w:rPr>
      </w:pPr>
      <w:bookmarkStart w:id="465" w:name="_Toc608"/>
      <w:bookmarkStart w:id="466" w:name="_Toc14542"/>
      <w:bookmarkStart w:id="467" w:name="_Toc183107263"/>
      <w:bookmarkStart w:id="468" w:name="_Toc317"/>
      <w:bookmarkStart w:id="469" w:name="_Toc256000127"/>
      <w:bookmarkStart w:id="470" w:name="_Toc10455"/>
      <w:r>
        <w:rPr>
          <w:rFonts w:hint="eastAsia"/>
          <w:b w:val="0"/>
          <w:color w:val="auto"/>
          <w:sz w:val="24"/>
          <w:szCs w:val="24"/>
          <w:highlight w:val="none"/>
        </w:rPr>
        <w:t>附件B：否决投标的条件</w:t>
      </w:r>
      <w:bookmarkEnd w:id="465"/>
      <w:bookmarkEnd w:id="466"/>
      <w:bookmarkEnd w:id="467"/>
      <w:bookmarkEnd w:id="468"/>
      <w:bookmarkEnd w:id="469"/>
      <w:bookmarkEnd w:id="470"/>
    </w:p>
    <w:p w14:paraId="1FEA6D30">
      <w:pPr>
        <w:jc w:val="center"/>
        <w:rPr>
          <w:rFonts w:ascii="黑体" w:eastAsia="黑体"/>
          <w:b/>
          <w:color w:val="auto"/>
          <w:sz w:val="28"/>
          <w:szCs w:val="28"/>
          <w:highlight w:val="none"/>
        </w:rPr>
      </w:pPr>
      <w:r>
        <w:rPr>
          <w:rFonts w:hint="eastAsia" w:ascii="黑体" w:eastAsia="黑体"/>
          <w:b/>
          <w:color w:val="auto"/>
          <w:sz w:val="28"/>
          <w:szCs w:val="28"/>
          <w:highlight w:val="none"/>
        </w:rPr>
        <w:t>否决投标的条件</w:t>
      </w:r>
    </w:p>
    <w:p w14:paraId="2661D102">
      <w:pPr>
        <w:pStyle w:val="25"/>
        <w:rPr>
          <w:color w:val="auto"/>
          <w:highlight w:val="none"/>
        </w:rPr>
      </w:pPr>
      <w:bookmarkStart w:id="471" w:name="_Toc28826"/>
      <w:bookmarkStart w:id="472" w:name="_Toc166326964"/>
      <w:bookmarkStart w:id="473" w:name="_Toc256000128"/>
      <w:bookmarkStart w:id="474" w:name="_Toc183107264"/>
      <w:bookmarkStart w:id="475" w:name="_Toc20563"/>
      <w:bookmarkStart w:id="476" w:name="_Toc150507344"/>
      <w:bookmarkStart w:id="477" w:name="_Toc12856"/>
      <w:bookmarkStart w:id="478" w:name="_Toc20236"/>
      <w:r>
        <w:rPr>
          <w:rFonts w:hint="eastAsia"/>
          <w:color w:val="auto"/>
          <w:highlight w:val="none"/>
        </w:rPr>
        <w:t>B0.总  则</w:t>
      </w:r>
      <w:bookmarkEnd w:id="471"/>
      <w:bookmarkEnd w:id="472"/>
      <w:bookmarkEnd w:id="473"/>
      <w:bookmarkEnd w:id="474"/>
      <w:bookmarkEnd w:id="475"/>
      <w:bookmarkEnd w:id="476"/>
      <w:bookmarkEnd w:id="477"/>
      <w:bookmarkEnd w:id="478"/>
    </w:p>
    <w:p w14:paraId="00F121EA">
      <w:pPr>
        <w:spacing w:line="430" w:lineRule="exact"/>
        <w:ind w:firstLine="420" w:firstLineChars="200"/>
        <w:rPr>
          <w:rFonts w:hint="eastAsia" w:ascii="宋体" w:hAnsi="宋体"/>
          <w:color w:val="auto"/>
          <w:highlight w:val="none"/>
        </w:rPr>
      </w:pPr>
      <w:r>
        <w:rPr>
          <w:rFonts w:hint="eastAsia" w:ascii="宋体" w:hAnsi="宋体"/>
          <w:color w:val="auto"/>
          <w:highlight w:val="none"/>
        </w:rPr>
        <w:t>本附件所集中列示的否决投标的条件，是本章“评标办法”的组成部分，是对第二章“投标人须知”和本章正文部分所规定的否决投标的条件的总结和补充，如果出现不一致的情况，</w:t>
      </w:r>
      <w:r>
        <w:rPr>
          <w:rFonts w:hint="eastAsia"/>
          <w:color w:val="auto"/>
          <w:highlight w:val="none"/>
        </w:rPr>
        <w:t>以本章前附表和正文部分的规定为准。</w:t>
      </w:r>
    </w:p>
    <w:p w14:paraId="27653223">
      <w:pPr>
        <w:pStyle w:val="25"/>
        <w:rPr>
          <w:color w:val="auto"/>
          <w:highlight w:val="none"/>
        </w:rPr>
      </w:pPr>
      <w:bookmarkStart w:id="479" w:name="_Toc183107265"/>
      <w:bookmarkStart w:id="480" w:name="_Toc9459"/>
      <w:bookmarkStart w:id="481" w:name="_Toc256000129"/>
      <w:bookmarkStart w:id="482" w:name="_Toc166326965"/>
      <w:bookmarkStart w:id="483" w:name="_Toc17614"/>
      <w:bookmarkStart w:id="484" w:name="_Toc21146"/>
      <w:bookmarkStart w:id="485" w:name="_Toc9776"/>
      <w:bookmarkStart w:id="486" w:name="_Toc150507345"/>
      <w:r>
        <w:rPr>
          <w:rFonts w:hint="eastAsia"/>
          <w:color w:val="auto"/>
          <w:highlight w:val="none"/>
        </w:rPr>
        <w:t>B1</w:t>
      </w:r>
      <w:r>
        <w:rPr>
          <w:color w:val="auto"/>
          <w:highlight w:val="none"/>
        </w:rPr>
        <w:t>.</w:t>
      </w:r>
      <w:r>
        <w:rPr>
          <w:rFonts w:hint="eastAsia"/>
          <w:color w:val="auto"/>
          <w:highlight w:val="none"/>
        </w:rPr>
        <w:t>否决投标的条件</w:t>
      </w:r>
      <w:bookmarkEnd w:id="479"/>
      <w:bookmarkEnd w:id="480"/>
      <w:bookmarkEnd w:id="481"/>
      <w:bookmarkEnd w:id="482"/>
      <w:bookmarkEnd w:id="483"/>
      <w:bookmarkEnd w:id="484"/>
      <w:bookmarkEnd w:id="485"/>
      <w:bookmarkEnd w:id="486"/>
    </w:p>
    <w:p w14:paraId="178B7723">
      <w:pPr>
        <w:spacing w:line="430" w:lineRule="exact"/>
        <w:ind w:firstLine="420" w:firstLineChars="200"/>
        <w:rPr>
          <w:rFonts w:hint="eastAsia" w:ascii="宋体" w:hAnsi="宋体"/>
          <w:color w:val="auto"/>
          <w:highlight w:val="none"/>
        </w:rPr>
      </w:pPr>
      <w:r>
        <w:rPr>
          <w:rFonts w:hint="eastAsia" w:ascii="宋体" w:hAnsi="宋体"/>
          <w:color w:val="auto"/>
          <w:highlight w:val="none"/>
        </w:rPr>
        <w:t>投标人或其投标文件有下列情形之一的，</w:t>
      </w:r>
      <w:r>
        <w:rPr>
          <w:rFonts w:hint="eastAsia"/>
          <w:color w:val="auto"/>
          <w:highlight w:val="none"/>
        </w:rPr>
        <w:t>评标委员会应当否决其投标</w:t>
      </w:r>
      <w:r>
        <w:rPr>
          <w:rFonts w:hint="eastAsia" w:ascii="宋体" w:hAnsi="宋体"/>
          <w:color w:val="auto"/>
          <w:highlight w:val="none"/>
        </w:rPr>
        <w:t>：</w:t>
      </w:r>
    </w:p>
    <w:p w14:paraId="2F29670D">
      <w:pPr>
        <w:spacing w:line="430" w:lineRule="exact"/>
        <w:ind w:firstLine="420" w:firstLineChars="200"/>
        <w:rPr>
          <w:rFonts w:hint="eastAsia" w:ascii="宋体" w:hAnsi="宋体"/>
          <w:color w:val="auto"/>
          <w:highlight w:val="none"/>
        </w:rPr>
      </w:pPr>
      <w:r>
        <w:rPr>
          <w:rFonts w:hint="eastAsia" w:ascii="宋体" w:hAnsi="宋体"/>
          <w:color w:val="auto"/>
          <w:highlight w:val="none"/>
        </w:rPr>
        <w:t>B1.1在形式评审、资格评审、响应性评审中，评标委员会认定投标人的投标文件不符合评标办法前附表中规定的任何一项评审标准的。主要包括以下内容：</w:t>
      </w:r>
    </w:p>
    <w:p w14:paraId="5D16200F">
      <w:pPr>
        <w:spacing w:line="430" w:lineRule="exact"/>
        <w:ind w:firstLine="420" w:firstLineChars="200"/>
        <w:rPr>
          <w:color w:val="auto"/>
          <w:highlight w:val="none"/>
        </w:rPr>
      </w:pPr>
      <w:r>
        <w:rPr>
          <w:rFonts w:hint="eastAsia"/>
          <w:color w:val="auto"/>
          <w:highlight w:val="none"/>
        </w:rPr>
        <w:t>（1）</w:t>
      </w:r>
      <w:r>
        <w:rPr>
          <w:rFonts w:hint="eastAsia" w:ascii="宋体" w:hAnsi="宋体"/>
          <w:color w:val="auto"/>
          <w:highlight w:val="none"/>
        </w:rPr>
        <w:t>投标人名称与营业执照、资质证书、安全生产许可证不一致；或提供无效的营业执照、资质证书、安全生产许可证的；</w:t>
      </w:r>
    </w:p>
    <w:p w14:paraId="502FADBB">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ascii="宋体" w:hAnsi="宋体"/>
          <w:color w:val="auto"/>
          <w:highlight w:val="none"/>
        </w:rPr>
        <w:t>未按照</w:t>
      </w:r>
      <w:r>
        <w:rPr>
          <w:rFonts w:hint="eastAsia" w:ascii="宋体" w:hAnsi="宋体"/>
          <w:color w:val="auto"/>
          <w:szCs w:val="21"/>
          <w:highlight w:val="none"/>
        </w:rPr>
        <w:t>第二章“投标人须知”</w:t>
      </w:r>
      <w:r>
        <w:rPr>
          <w:rFonts w:hint="eastAsia"/>
          <w:color w:val="auto"/>
          <w:szCs w:val="21"/>
          <w:highlight w:val="none"/>
        </w:rPr>
        <w:t>第3.7.3（</w:t>
      </w:r>
      <w:r>
        <w:rPr>
          <w:color w:val="auto"/>
          <w:szCs w:val="21"/>
          <w:highlight w:val="none"/>
        </w:rPr>
        <w:t>4</w:t>
      </w:r>
      <w:r>
        <w:rPr>
          <w:rFonts w:hint="eastAsia"/>
          <w:color w:val="auto"/>
          <w:szCs w:val="21"/>
          <w:highlight w:val="none"/>
        </w:rPr>
        <w:t>）</w:t>
      </w:r>
      <w:r>
        <w:rPr>
          <w:rFonts w:hint="eastAsia" w:ascii="宋体" w:hAnsi="宋体"/>
          <w:color w:val="auto"/>
          <w:szCs w:val="21"/>
          <w:highlight w:val="none"/>
        </w:rPr>
        <w:t>目规定和第八章“投标文件格式”的要求进行电子签章的；</w:t>
      </w:r>
    </w:p>
    <w:p w14:paraId="090E8C43">
      <w:pPr>
        <w:spacing w:line="430" w:lineRule="exact"/>
        <w:ind w:firstLine="420" w:firstLineChars="200"/>
        <w:rPr>
          <w:rFonts w:hint="eastAsia" w:ascii="宋体" w:hAnsi="宋体"/>
          <w:color w:val="auto"/>
          <w:highlight w:val="none"/>
        </w:rPr>
      </w:pPr>
      <w:r>
        <w:rPr>
          <w:rFonts w:hint="eastAsia"/>
          <w:color w:val="auto"/>
          <w:highlight w:val="none"/>
        </w:rPr>
        <w:t>（3）</w:t>
      </w:r>
      <w:r>
        <w:rPr>
          <w:rFonts w:hint="eastAsia" w:ascii="宋体" w:hAnsi="宋体"/>
          <w:color w:val="auto"/>
          <w:highlight w:val="none"/>
        </w:rPr>
        <w:t>联合体投标没有提交共同投标协议或共同投标协议未按招标文件提供的格式签署、提交，未明确联合体牵头人和各方权利与义务，未承诺就中标项目向招标人承担连带责任的（如有）；</w:t>
      </w:r>
    </w:p>
    <w:p w14:paraId="6E051E89">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4）</w:t>
      </w:r>
      <w:r>
        <w:rPr>
          <w:rFonts w:hint="eastAsia" w:ascii="宋体" w:hAnsi="宋体"/>
          <w:color w:val="auto"/>
          <w:highlight w:val="none"/>
        </w:rPr>
        <w:t>同一投标人提交两个以上不同的投标文件或者投标报价的（但招标文件要求提交备选投标的除外）；</w:t>
      </w:r>
    </w:p>
    <w:p w14:paraId="6CC01943">
      <w:pPr>
        <w:spacing w:line="430" w:lineRule="exact"/>
        <w:ind w:firstLine="420" w:firstLineChars="200"/>
        <w:rPr>
          <w:rFonts w:hint="eastAsia" w:ascii="宋体" w:hAnsi="宋体"/>
          <w:color w:val="auto"/>
          <w:highlight w:val="none"/>
        </w:rPr>
      </w:pPr>
      <w:r>
        <w:rPr>
          <w:rFonts w:hint="eastAsia"/>
          <w:color w:val="auto"/>
          <w:highlight w:val="none"/>
        </w:rPr>
        <w:t>（5）</w:t>
      </w:r>
      <w:r>
        <w:rPr>
          <w:rFonts w:hint="eastAsia" w:ascii="宋体" w:hAnsi="宋体"/>
          <w:color w:val="auto"/>
          <w:highlight w:val="none"/>
        </w:rPr>
        <w:t>未按照招标文件的要求报送应有的投标报价表格的；</w:t>
      </w:r>
    </w:p>
    <w:p w14:paraId="2B1950D6">
      <w:pPr>
        <w:spacing w:line="430" w:lineRule="exact"/>
        <w:ind w:firstLine="420" w:firstLineChars="200"/>
        <w:rPr>
          <w:rFonts w:hint="eastAsia" w:ascii="宋体" w:hAnsi="宋体"/>
          <w:color w:val="auto"/>
          <w:highlight w:val="none"/>
        </w:rPr>
      </w:pPr>
      <w:r>
        <w:rPr>
          <w:rFonts w:hint="eastAsia"/>
          <w:color w:val="auto"/>
          <w:highlight w:val="none"/>
        </w:rPr>
        <w:t>（6）</w:t>
      </w:r>
      <w:r>
        <w:rPr>
          <w:rFonts w:hint="eastAsia" w:ascii="宋体" w:hAnsi="宋体"/>
          <w:color w:val="auto"/>
          <w:highlight w:val="none"/>
        </w:rPr>
        <w:t>项目经理二次刷卡实名认证未通过的；</w:t>
      </w:r>
    </w:p>
    <w:p w14:paraId="2E331491">
      <w:pPr>
        <w:spacing w:line="430" w:lineRule="exact"/>
        <w:ind w:firstLine="420" w:firstLineChars="200"/>
        <w:rPr>
          <w:rFonts w:hint="eastAsia" w:ascii="宋体" w:hAnsi="宋体"/>
          <w:color w:val="auto"/>
          <w:szCs w:val="21"/>
          <w:highlight w:val="none"/>
        </w:rPr>
      </w:pPr>
      <w:r>
        <w:rPr>
          <w:rFonts w:hint="eastAsia"/>
          <w:color w:val="auto"/>
          <w:highlight w:val="none"/>
        </w:rPr>
        <w:t>（7）</w:t>
      </w:r>
      <w:r>
        <w:rPr>
          <w:rFonts w:hint="eastAsia" w:ascii="宋体" w:hAnsi="宋体"/>
          <w:color w:val="auto"/>
          <w:highlight w:val="none"/>
        </w:rPr>
        <w:t>法定</w:t>
      </w:r>
      <w:r>
        <w:rPr>
          <w:rFonts w:hint="eastAsia" w:ascii="宋体" w:hAnsi="宋体"/>
          <w:color w:val="auto"/>
          <w:szCs w:val="21"/>
          <w:highlight w:val="none"/>
        </w:rPr>
        <w:t>代表人或授权委托人未完成实名认证的；</w:t>
      </w:r>
    </w:p>
    <w:p w14:paraId="33EE5D5E">
      <w:pPr>
        <w:spacing w:line="430" w:lineRule="exact"/>
        <w:ind w:firstLine="420" w:firstLineChars="200"/>
        <w:rPr>
          <w:rFonts w:hint="eastAsia" w:ascii="宋体" w:hAnsi="宋体"/>
          <w:color w:val="auto"/>
          <w:highlight w:val="none"/>
        </w:rPr>
      </w:pPr>
      <w:r>
        <w:rPr>
          <w:rFonts w:hint="eastAsia"/>
          <w:color w:val="auto"/>
          <w:highlight w:val="none"/>
        </w:rPr>
        <w:t>（8）</w:t>
      </w:r>
      <w:r>
        <w:rPr>
          <w:rFonts w:hint="eastAsia" w:ascii="宋体" w:hAnsi="宋体"/>
          <w:color w:val="auto"/>
          <w:highlight w:val="none"/>
        </w:rPr>
        <w:t>未按招标文件要求编制技术标（暗标）投标文件的；</w:t>
      </w:r>
    </w:p>
    <w:p w14:paraId="2D4FC437">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9</w:t>
      </w:r>
      <w:r>
        <w:rPr>
          <w:rFonts w:hint="eastAsia"/>
          <w:color w:val="auto"/>
          <w:highlight w:val="none"/>
        </w:rPr>
        <w:t>）</w:t>
      </w:r>
      <w:r>
        <w:rPr>
          <w:rFonts w:hint="eastAsia" w:ascii="宋体" w:hAnsi="宋体"/>
          <w:color w:val="auto"/>
          <w:highlight w:val="none"/>
        </w:rPr>
        <w:t>投标人资质条件不符合国家规定和招标文件要求的；</w:t>
      </w:r>
    </w:p>
    <w:p w14:paraId="0A810B91">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10</w:t>
      </w:r>
      <w:r>
        <w:rPr>
          <w:rFonts w:hint="eastAsia" w:ascii="宋体" w:hAnsi="宋体"/>
          <w:color w:val="auto"/>
          <w:highlight w:val="none"/>
        </w:rPr>
        <w:t>）项目负责人资格不符合招标文件规定的专业等级要求，或已在其他在建工程担任项目经理（同一工程相邻分段发包或者分期施工的除外）；</w:t>
      </w:r>
    </w:p>
    <w:p w14:paraId="3C4413A3">
      <w:pPr>
        <w:spacing w:line="430" w:lineRule="exact"/>
        <w:ind w:firstLine="420" w:firstLineChars="200"/>
        <w:rPr>
          <w:rFonts w:hint="eastAsia" w:ascii="宋体" w:hAnsi="宋体"/>
          <w:color w:val="auto"/>
          <w:highlight w:val="none"/>
        </w:rPr>
      </w:pPr>
      <w:r>
        <w:rPr>
          <w:rFonts w:hint="eastAsia"/>
          <w:color w:val="auto"/>
          <w:highlight w:val="none"/>
        </w:rPr>
        <w:t>（1</w:t>
      </w:r>
      <w:r>
        <w:rPr>
          <w:color w:val="auto"/>
          <w:highlight w:val="none"/>
        </w:rPr>
        <w:t>1</w:t>
      </w:r>
      <w:r>
        <w:rPr>
          <w:rFonts w:hint="eastAsia" w:ascii="宋体" w:hAnsi="宋体"/>
          <w:color w:val="auto"/>
          <w:highlight w:val="none"/>
        </w:rPr>
        <w:t>）</w:t>
      </w:r>
      <w:r>
        <w:rPr>
          <w:rFonts w:hint="eastAsia"/>
          <w:color w:val="auto"/>
          <w:highlight w:val="none"/>
        </w:rPr>
        <w:t>具有投标人须知第1.4.3（10）至（17）条目规定的情形；</w:t>
      </w:r>
    </w:p>
    <w:p w14:paraId="7D785D87">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12</w:t>
      </w:r>
      <w:r>
        <w:rPr>
          <w:rFonts w:hint="eastAsia"/>
          <w:color w:val="auto"/>
          <w:highlight w:val="none"/>
        </w:rPr>
        <w:t>）</w:t>
      </w:r>
      <w:r>
        <w:rPr>
          <w:rFonts w:hint="eastAsia" w:ascii="宋体" w:hAnsi="宋体"/>
          <w:color w:val="auto"/>
          <w:highlight w:val="none"/>
        </w:rPr>
        <w:t>未按招标文件要求提交投标保证金的；</w:t>
      </w:r>
    </w:p>
    <w:p w14:paraId="31C9D65F">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13</w:t>
      </w:r>
      <w:r>
        <w:rPr>
          <w:rFonts w:hint="eastAsia" w:ascii="宋体" w:hAnsi="宋体"/>
          <w:color w:val="auto"/>
          <w:highlight w:val="none"/>
        </w:rPr>
        <w:t>）投标人填写的清单编码、清单名称、项目特征、计量单位、工程量与招标文件给定的工程量清单不一致的；</w:t>
      </w:r>
    </w:p>
    <w:p w14:paraId="64B557EE">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14</w:t>
      </w:r>
      <w:r>
        <w:rPr>
          <w:rFonts w:hint="eastAsia" w:ascii="宋体" w:hAnsi="宋体"/>
          <w:color w:val="auto"/>
          <w:highlight w:val="none"/>
        </w:rPr>
        <w:t>）投标人修改招标文件给定的工程量清单中所列价格（包括暂列金额、材料暂估价、专业工程暂估价等）的；</w:t>
      </w:r>
    </w:p>
    <w:p w14:paraId="41BD85EA">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5</w:t>
      </w:r>
      <w:r>
        <w:rPr>
          <w:rFonts w:hint="eastAsia" w:ascii="宋体" w:hAnsi="宋体"/>
          <w:color w:val="auto"/>
          <w:highlight w:val="none"/>
        </w:rPr>
        <w:t>）工期未响应招标文件规定的；</w:t>
      </w:r>
    </w:p>
    <w:p w14:paraId="530CD20C">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6</w:t>
      </w:r>
      <w:r>
        <w:rPr>
          <w:rFonts w:hint="eastAsia" w:ascii="宋体" w:hAnsi="宋体"/>
          <w:color w:val="auto"/>
          <w:highlight w:val="none"/>
        </w:rPr>
        <w:t>）投标人不接受算术错误修正后的报价；</w:t>
      </w:r>
    </w:p>
    <w:p w14:paraId="06349645">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7</w:t>
      </w:r>
      <w:r>
        <w:rPr>
          <w:rFonts w:hint="eastAsia" w:ascii="宋体" w:hAnsi="宋体"/>
          <w:color w:val="auto"/>
          <w:highlight w:val="none"/>
        </w:rPr>
        <w:t>）投标报价（含修正后）高于招标文件设定的最高投标限价的；</w:t>
      </w:r>
    </w:p>
    <w:p w14:paraId="35A44300">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8</w:t>
      </w:r>
      <w:r>
        <w:rPr>
          <w:rFonts w:hint="eastAsia" w:ascii="宋体" w:hAnsi="宋体"/>
          <w:color w:val="auto"/>
          <w:highlight w:val="none"/>
        </w:rPr>
        <w:t>）质量不满足招标文件规定的；</w:t>
      </w:r>
    </w:p>
    <w:p w14:paraId="38F154D8">
      <w:pPr>
        <w:spacing w:line="430" w:lineRule="exact"/>
        <w:ind w:firstLine="420" w:firstLineChars="200"/>
        <w:rPr>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9</w:t>
      </w:r>
      <w:r>
        <w:rPr>
          <w:rFonts w:hint="eastAsia"/>
          <w:color w:val="auto"/>
          <w:highlight w:val="none"/>
        </w:rPr>
        <w:t>）投标有效期不符合招标文件规定的；</w:t>
      </w:r>
    </w:p>
    <w:p w14:paraId="2774159E">
      <w:pPr>
        <w:spacing w:line="430" w:lineRule="exact"/>
        <w:ind w:firstLine="420" w:firstLineChars="200"/>
        <w:rPr>
          <w:color w:val="auto"/>
          <w:highlight w:val="none"/>
        </w:rPr>
      </w:pPr>
      <w:r>
        <w:rPr>
          <w:rFonts w:hint="eastAsia"/>
          <w:color w:val="auto"/>
          <w:highlight w:val="none"/>
        </w:rPr>
        <w:t>（</w:t>
      </w:r>
      <w:r>
        <w:rPr>
          <w:color w:val="auto"/>
          <w:highlight w:val="none"/>
        </w:rPr>
        <w:t>20</w:t>
      </w:r>
      <w:r>
        <w:rPr>
          <w:rFonts w:hint="eastAsia"/>
          <w:color w:val="auto"/>
          <w:highlight w:val="none"/>
        </w:rPr>
        <w:t>）权利义务承诺不符合或低于招标文件规定的；</w:t>
      </w:r>
    </w:p>
    <w:p w14:paraId="2DD70738">
      <w:pPr>
        <w:spacing w:line="430" w:lineRule="exact"/>
        <w:ind w:firstLine="420" w:firstLineChars="200"/>
        <w:rPr>
          <w:color w:val="auto"/>
          <w:highlight w:val="none"/>
        </w:rPr>
      </w:pPr>
      <w:r>
        <w:rPr>
          <w:rFonts w:hint="eastAsia"/>
          <w:color w:val="auto"/>
          <w:highlight w:val="none"/>
        </w:rPr>
        <w:t>（2</w:t>
      </w:r>
      <w:r>
        <w:rPr>
          <w:color w:val="auto"/>
          <w:highlight w:val="none"/>
        </w:rPr>
        <w:t>1</w:t>
      </w:r>
      <w:r>
        <w:rPr>
          <w:rFonts w:hint="eastAsia"/>
          <w:color w:val="auto"/>
          <w:highlight w:val="none"/>
        </w:rPr>
        <w:t>）技术标准和要求不符合招标文件规定的；</w:t>
      </w:r>
    </w:p>
    <w:p w14:paraId="43FD0F90">
      <w:pPr>
        <w:spacing w:line="430" w:lineRule="exact"/>
        <w:ind w:firstLine="420" w:firstLineChars="200"/>
        <w:rPr>
          <w:rFonts w:hint="eastAsia" w:ascii="宋体" w:hAnsi="宋体"/>
          <w:color w:val="auto"/>
          <w:highlight w:val="none"/>
        </w:rPr>
      </w:pPr>
      <w:r>
        <w:rPr>
          <w:rFonts w:hint="eastAsia"/>
          <w:color w:val="auto"/>
          <w:highlight w:val="none"/>
        </w:rPr>
        <w:t>（2</w:t>
      </w:r>
      <w:r>
        <w:rPr>
          <w:color w:val="auto"/>
          <w:highlight w:val="none"/>
        </w:rPr>
        <w:t>2</w:t>
      </w:r>
      <w:r>
        <w:rPr>
          <w:rFonts w:hint="eastAsia" w:ascii="宋体" w:hAnsi="宋体"/>
          <w:color w:val="auto"/>
          <w:highlight w:val="none"/>
        </w:rPr>
        <w:t>）分包计划不符合招标文件规定的。</w:t>
      </w:r>
    </w:p>
    <w:p w14:paraId="47FB7E04">
      <w:pPr>
        <w:spacing w:line="430" w:lineRule="exact"/>
        <w:ind w:firstLine="420" w:firstLineChars="200"/>
        <w:rPr>
          <w:rFonts w:hint="eastAsia" w:ascii="宋体" w:hAnsi="宋体"/>
          <w:color w:val="auto"/>
          <w:highlight w:val="none"/>
        </w:rPr>
      </w:pPr>
      <w:r>
        <w:rPr>
          <w:rFonts w:hint="eastAsia" w:ascii="宋体" w:hAnsi="宋体"/>
          <w:color w:val="auto"/>
          <w:highlight w:val="none"/>
        </w:rPr>
        <w:t>B1.2不按评标委员会要求澄清、说明或补正的。</w:t>
      </w:r>
    </w:p>
    <w:p w14:paraId="7B75DC35">
      <w:pPr>
        <w:spacing w:line="430" w:lineRule="exact"/>
        <w:ind w:firstLine="420" w:firstLineChars="200"/>
        <w:rPr>
          <w:rFonts w:hint="eastAsia" w:ascii="宋体" w:hAnsi="宋体"/>
          <w:color w:val="auto"/>
          <w:highlight w:val="none"/>
        </w:rPr>
      </w:pPr>
      <w:r>
        <w:rPr>
          <w:rFonts w:hint="eastAsia" w:ascii="宋体" w:hAnsi="宋体"/>
          <w:color w:val="auto"/>
          <w:highlight w:val="none"/>
        </w:rPr>
        <w:t>B1.3有串通投标、弄虚作假</w:t>
      </w:r>
      <w:r>
        <w:rPr>
          <w:rFonts w:hint="eastAsia"/>
          <w:color w:val="auto"/>
          <w:highlight w:val="none"/>
        </w:rPr>
        <w:t>或</w:t>
      </w:r>
      <w:r>
        <w:rPr>
          <w:rFonts w:hint="eastAsia" w:ascii="宋体" w:hAnsi="宋体"/>
          <w:color w:val="auto"/>
          <w:highlight w:val="none"/>
        </w:rPr>
        <w:t>有其他违法行为的。包括以下内容：</w:t>
      </w:r>
    </w:p>
    <w:p w14:paraId="27AFC75C">
      <w:pPr>
        <w:spacing w:line="380" w:lineRule="exact"/>
        <w:ind w:firstLine="420" w:firstLineChars="200"/>
        <w:rPr>
          <w:color w:val="auto"/>
          <w:highlight w:val="none"/>
        </w:rPr>
      </w:pPr>
      <w:r>
        <w:rPr>
          <w:rFonts w:hint="eastAsia"/>
          <w:color w:val="auto"/>
          <w:highlight w:val="none"/>
        </w:rPr>
        <w:t>（1）有下列情形之一的，视为投标人相互串通投标：</w:t>
      </w:r>
    </w:p>
    <w:p w14:paraId="59784BFE">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14:paraId="35A5A8A2">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14:paraId="609B9177">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14:paraId="45104632">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14:paraId="1C4D5296">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14:paraId="1E793D02">
      <w:pPr>
        <w:spacing w:line="380" w:lineRule="exact"/>
        <w:ind w:firstLine="420" w:firstLineChars="200"/>
        <w:rPr>
          <w:color w:val="auto"/>
          <w:highlight w:val="none"/>
        </w:rPr>
      </w:pPr>
      <w:r>
        <w:rPr>
          <w:rFonts w:hint="eastAsia"/>
          <w:color w:val="auto"/>
          <w:highlight w:val="none"/>
        </w:rPr>
        <w:t>⑥ 不同投标人的投标文件相互混装；</w:t>
      </w:r>
    </w:p>
    <w:p w14:paraId="1A9FE8CE">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14:paraId="3D5CF6BB">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14:paraId="5D3602CD">
      <w:pPr>
        <w:spacing w:line="380" w:lineRule="exact"/>
        <w:ind w:firstLine="420" w:firstLineChars="200"/>
        <w:rPr>
          <w:color w:val="auto"/>
          <w:highlight w:val="none"/>
        </w:rPr>
      </w:pPr>
      <w:r>
        <w:rPr>
          <w:rFonts w:hint="eastAsia"/>
          <w:color w:val="auto"/>
          <w:highlight w:val="none"/>
        </w:rPr>
        <w:t>（2）有下列情形之一的，属于弄虚作假行为：</w:t>
      </w:r>
    </w:p>
    <w:p w14:paraId="1CEFD9BB">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14:paraId="60032FF5">
      <w:pPr>
        <w:spacing w:line="380" w:lineRule="exact"/>
        <w:ind w:firstLine="420" w:firstLineChars="200"/>
        <w:rPr>
          <w:color w:val="auto"/>
          <w:highlight w:val="none"/>
        </w:rPr>
      </w:pPr>
      <w:r>
        <w:rPr>
          <w:rFonts w:hint="eastAsia"/>
          <w:color w:val="auto"/>
          <w:highlight w:val="none"/>
        </w:rPr>
        <w:t>② 使用伪造、变造的许可证件；</w:t>
      </w:r>
    </w:p>
    <w:p w14:paraId="0D48814D">
      <w:pPr>
        <w:spacing w:line="380" w:lineRule="exact"/>
        <w:ind w:firstLine="420" w:firstLineChars="200"/>
        <w:rPr>
          <w:color w:val="auto"/>
          <w:highlight w:val="none"/>
        </w:rPr>
      </w:pPr>
      <w:r>
        <w:rPr>
          <w:rFonts w:hint="eastAsia"/>
          <w:color w:val="auto"/>
          <w:highlight w:val="none"/>
        </w:rPr>
        <w:t>③ 提供虚假的财务状况或者业绩；</w:t>
      </w:r>
    </w:p>
    <w:p w14:paraId="25679F5A">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14:paraId="7CE28647">
      <w:pPr>
        <w:spacing w:line="380" w:lineRule="exact"/>
        <w:ind w:firstLine="420" w:firstLineChars="200"/>
        <w:rPr>
          <w:color w:val="auto"/>
          <w:highlight w:val="none"/>
        </w:rPr>
      </w:pPr>
      <w:r>
        <w:rPr>
          <w:rFonts w:hint="eastAsia"/>
          <w:color w:val="auto"/>
          <w:highlight w:val="none"/>
        </w:rPr>
        <w:t>⑤ 提供虚假的信用状况；</w:t>
      </w:r>
    </w:p>
    <w:p w14:paraId="0B717D67">
      <w:pPr>
        <w:spacing w:line="380" w:lineRule="exact"/>
        <w:ind w:firstLine="420" w:firstLineChars="200"/>
        <w:rPr>
          <w:rFonts w:hint="eastAsia" w:ascii="宋体" w:hAnsi="宋体"/>
          <w:color w:val="auto"/>
          <w:highlight w:val="none"/>
        </w:rPr>
      </w:pPr>
      <w:r>
        <w:rPr>
          <w:rFonts w:hint="eastAsia"/>
          <w:color w:val="auto"/>
          <w:highlight w:val="none"/>
        </w:rPr>
        <w:t>⑥ 其他弄虚作假的行为。</w:t>
      </w:r>
    </w:p>
    <w:p w14:paraId="508A1EF7">
      <w:pPr>
        <w:spacing w:line="430" w:lineRule="exact"/>
        <w:ind w:firstLine="420" w:firstLineChars="200"/>
        <w:rPr>
          <w:rFonts w:hint="eastAsia" w:ascii="宋体" w:hAnsi="宋体"/>
          <w:color w:val="auto"/>
          <w:highlight w:val="none"/>
        </w:rPr>
      </w:pPr>
      <w:r>
        <w:rPr>
          <w:rFonts w:hint="eastAsia" w:ascii="宋体" w:hAnsi="宋体"/>
          <w:color w:val="auto"/>
          <w:highlight w:val="none"/>
        </w:rPr>
        <w:t>B1.4有第二章“投标人须知”第1.4.3项规定的任何一种情形。包括以下内容：</w:t>
      </w:r>
    </w:p>
    <w:p w14:paraId="27116197">
      <w:pPr>
        <w:spacing w:line="360" w:lineRule="exact"/>
        <w:ind w:firstLine="420" w:firstLineChars="200"/>
        <w:rPr>
          <w:color w:val="auto"/>
          <w:highlight w:val="none"/>
        </w:rPr>
      </w:pPr>
      <w:r>
        <w:rPr>
          <w:rFonts w:hint="eastAsia"/>
          <w:color w:val="auto"/>
          <w:highlight w:val="none"/>
        </w:rPr>
        <w:t>（1）为招标人不具有独立法人资格的附属机构（单位）；</w:t>
      </w:r>
    </w:p>
    <w:p w14:paraId="1CCB0C02">
      <w:pPr>
        <w:spacing w:line="360" w:lineRule="exact"/>
        <w:ind w:firstLine="420" w:firstLineChars="200"/>
        <w:rPr>
          <w:color w:val="auto"/>
          <w:highlight w:val="none"/>
        </w:rPr>
      </w:pPr>
      <w:r>
        <w:rPr>
          <w:rFonts w:hint="eastAsia"/>
          <w:color w:val="auto"/>
          <w:highlight w:val="none"/>
        </w:rPr>
        <w:t xml:space="preserve">（2）为本标段前期准备提供设计或咨询服务的，但设计施工总承包的除外； </w:t>
      </w:r>
    </w:p>
    <w:p w14:paraId="0DD45C9A">
      <w:pPr>
        <w:spacing w:line="360" w:lineRule="exact"/>
        <w:ind w:firstLine="420" w:firstLineChars="200"/>
        <w:rPr>
          <w:color w:val="auto"/>
          <w:highlight w:val="none"/>
        </w:rPr>
      </w:pPr>
      <w:r>
        <w:rPr>
          <w:rFonts w:hint="eastAsia"/>
          <w:color w:val="auto"/>
          <w:highlight w:val="none"/>
        </w:rPr>
        <w:t>（3）为本标段的监理人；</w:t>
      </w:r>
    </w:p>
    <w:p w14:paraId="73724012">
      <w:pPr>
        <w:spacing w:line="360" w:lineRule="exact"/>
        <w:ind w:firstLine="420" w:firstLineChars="200"/>
        <w:rPr>
          <w:color w:val="auto"/>
          <w:highlight w:val="none"/>
        </w:rPr>
      </w:pPr>
      <w:r>
        <w:rPr>
          <w:rFonts w:hint="eastAsia"/>
          <w:color w:val="auto"/>
          <w:highlight w:val="none"/>
        </w:rPr>
        <w:t>（4）为本标段的代建人；</w:t>
      </w:r>
    </w:p>
    <w:p w14:paraId="29AC9779">
      <w:pPr>
        <w:spacing w:line="360" w:lineRule="exact"/>
        <w:ind w:firstLine="420" w:firstLineChars="200"/>
        <w:rPr>
          <w:color w:val="auto"/>
          <w:highlight w:val="none"/>
        </w:rPr>
      </w:pPr>
      <w:r>
        <w:rPr>
          <w:rFonts w:hint="eastAsia"/>
          <w:color w:val="auto"/>
          <w:highlight w:val="none"/>
        </w:rPr>
        <w:t>（5）为本标段提供招标代理服务；</w:t>
      </w:r>
    </w:p>
    <w:p w14:paraId="3341A790">
      <w:pPr>
        <w:spacing w:line="360" w:lineRule="exact"/>
        <w:ind w:firstLine="420" w:firstLineChars="200"/>
        <w:rPr>
          <w:color w:val="auto"/>
          <w:highlight w:val="none"/>
        </w:rPr>
      </w:pPr>
      <w:r>
        <w:rPr>
          <w:rFonts w:hint="eastAsia"/>
          <w:color w:val="auto"/>
          <w:highlight w:val="none"/>
        </w:rPr>
        <w:t xml:space="preserve">（6）与本标段的监理人或代建人或招标代理机构同为一个法定代表人或单位负责人； </w:t>
      </w:r>
    </w:p>
    <w:p w14:paraId="64A973C8">
      <w:pPr>
        <w:spacing w:line="360" w:lineRule="exact"/>
        <w:ind w:firstLine="420" w:firstLineChars="200"/>
        <w:rPr>
          <w:color w:val="auto"/>
          <w:highlight w:val="none"/>
        </w:rPr>
      </w:pPr>
      <w:r>
        <w:rPr>
          <w:rFonts w:hint="eastAsia"/>
          <w:color w:val="auto"/>
          <w:highlight w:val="none"/>
        </w:rPr>
        <w:t>（7）与本标段的监理人或代建人或招标代理机构相互控股或参股；</w:t>
      </w:r>
    </w:p>
    <w:p w14:paraId="39543DA5">
      <w:pPr>
        <w:spacing w:line="360" w:lineRule="exact"/>
        <w:ind w:firstLine="420" w:firstLineChars="200"/>
        <w:rPr>
          <w:color w:val="auto"/>
          <w:highlight w:val="none"/>
        </w:rPr>
      </w:pPr>
      <w:r>
        <w:rPr>
          <w:rFonts w:hint="eastAsia"/>
          <w:color w:val="auto"/>
          <w:highlight w:val="none"/>
        </w:rPr>
        <w:t>（8）与本标段的监理人或代建人或招标代理机构的法定代表人或单位负责人相互任职或工作；</w:t>
      </w:r>
    </w:p>
    <w:p w14:paraId="33C94BF7">
      <w:pPr>
        <w:spacing w:line="360" w:lineRule="exact"/>
        <w:ind w:firstLine="420" w:firstLineChars="200"/>
        <w:rPr>
          <w:color w:val="auto"/>
          <w:highlight w:val="none"/>
        </w:rPr>
      </w:pPr>
      <w:r>
        <w:rPr>
          <w:rFonts w:hint="eastAsia"/>
          <w:color w:val="auto"/>
          <w:highlight w:val="none"/>
        </w:rPr>
        <w:t>（9）单位负责人为同一人或者存在控股、管理关系的不同单位，同时参加本标段投标的；</w:t>
      </w:r>
    </w:p>
    <w:p w14:paraId="41D69EAC">
      <w:pPr>
        <w:spacing w:line="360" w:lineRule="exact"/>
        <w:ind w:firstLine="420" w:firstLineChars="200"/>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14:paraId="7004A317">
      <w:pPr>
        <w:spacing w:line="360" w:lineRule="exact"/>
        <w:ind w:firstLine="420" w:firstLineChars="200"/>
        <w:rPr>
          <w:color w:val="auto"/>
          <w:highlight w:val="none"/>
        </w:rPr>
      </w:pPr>
      <w:r>
        <w:rPr>
          <w:rFonts w:hint="eastAsia"/>
          <w:color w:val="auto"/>
          <w:highlight w:val="none"/>
        </w:rPr>
        <w:t xml:space="preserve">（11）被责令停产停业、暂扣或者吊销许可证、暂扣或者吊销执照； </w:t>
      </w:r>
    </w:p>
    <w:p w14:paraId="550DBBAE">
      <w:pPr>
        <w:spacing w:line="360" w:lineRule="exact"/>
        <w:ind w:firstLine="420" w:firstLineChars="200"/>
        <w:rPr>
          <w:color w:val="auto"/>
          <w:highlight w:val="none"/>
        </w:rPr>
      </w:pPr>
      <w:r>
        <w:rPr>
          <w:rFonts w:hint="eastAsia"/>
          <w:color w:val="auto"/>
          <w:highlight w:val="none"/>
        </w:rPr>
        <w:t>（12）进入清算程序，或被宣告破产，或其他丧失履约能力的情形；</w:t>
      </w:r>
    </w:p>
    <w:p w14:paraId="30C544AC">
      <w:pPr>
        <w:spacing w:line="360" w:lineRule="exact"/>
        <w:ind w:firstLine="420" w:firstLineChars="200"/>
        <w:rPr>
          <w:color w:val="auto"/>
          <w:highlight w:val="none"/>
        </w:rPr>
      </w:pPr>
      <w:r>
        <w:rPr>
          <w:rFonts w:hint="eastAsia"/>
          <w:color w:val="auto"/>
          <w:highlight w:val="none"/>
        </w:rPr>
        <w:t>（13）在最近三年内有骗取中标或严重违约或重大工程质量问题的 （以相关行业主 管部门的行政处罚决定或司法机关出具的有关法律文书为准）；</w:t>
      </w:r>
    </w:p>
    <w:p w14:paraId="4ABA949A">
      <w:pPr>
        <w:spacing w:line="360" w:lineRule="exact"/>
        <w:ind w:firstLine="420" w:firstLineChars="200"/>
        <w:rPr>
          <w:color w:val="auto"/>
          <w:highlight w:val="none"/>
        </w:rPr>
      </w:pPr>
      <w:r>
        <w:rPr>
          <w:rFonts w:hint="eastAsia"/>
          <w:color w:val="auto"/>
          <w:highlight w:val="none"/>
        </w:rPr>
        <w:t>（14）在“国家企业信用信息公示系统”（www.gsxt.gov.cn）中被列入严重违法失 信企业名单；</w:t>
      </w:r>
    </w:p>
    <w:p w14:paraId="04CFD987">
      <w:pPr>
        <w:spacing w:line="360" w:lineRule="exact"/>
        <w:ind w:firstLine="420" w:firstLineChars="200"/>
        <w:rPr>
          <w:color w:val="auto"/>
          <w:highlight w:val="none"/>
        </w:rPr>
      </w:pPr>
      <w:r>
        <w:rPr>
          <w:rFonts w:hint="eastAsia"/>
          <w:color w:val="auto"/>
          <w:highlight w:val="none"/>
        </w:rPr>
        <w:t>（15）在“信用中国”网站（www.creditchina.gov.cn）或“中国执行信息公开网” （http://zxgk.court.gov.cn/shixin/） 被列入失信被执行人名单；</w:t>
      </w:r>
    </w:p>
    <w:p w14:paraId="70327949">
      <w:pPr>
        <w:spacing w:line="360" w:lineRule="exact"/>
        <w:ind w:firstLine="420" w:firstLineChars="200"/>
        <w:rPr>
          <w:color w:val="auto"/>
          <w:highlight w:val="none"/>
        </w:rPr>
      </w:pPr>
      <w:r>
        <w:rPr>
          <w:rFonts w:hint="eastAsia"/>
          <w:color w:val="auto"/>
          <w:highlight w:val="none"/>
        </w:rPr>
        <w:t>（16）在辽宁省建设工程招投标监督平台-辽宁建设工程信息网上被列入不良行为记录且在公布期内的；</w:t>
      </w:r>
    </w:p>
    <w:p w14:paraId="1072584E">
      <w:pPr>
        <w:spacing w:line="360" w:lineRule="exact"/>
        <w:ind w:firstLine="420" w:firstLineChars="200"/>
        <w:rPr>
          <w:color w:val="auto"/>
          <w:highlight w:val="none"/>
        </w:rPr>
      </w:pPr>
      <w:r>
        <w:rPr>
          <w:rFonts w:hint="eastAsia"/>
          <w:color w:val="auto"/>
          <w:highlight w:val="none"/>
        </w:rPr>
        <w:t>（17）法律法规规定的其他情形。</w:t>
      </w:r>
    </w:p>
    <w:p w14:paraId="39C3AB82">
      <w:pPr>
        <w:spacing w:line="360" w:lineRule="exact"/>
        <w:ind w:firstLine="420" w:firstLineChars="200"/>
        <w:rPr>
          <w:rFonts w:hint="eastAsia" w:ascii="宋体" w:hAnsi="宋体"/>
          <w:color w:val="auto"/>
          <w:highlight w:val="none"/>
        </w:rPr>
      </w:pPr>
      <w:bookmarkStart w:id="487" w:name="_Hlk165125038"/>
      <w:r>
        <w:rPr>
          <w:rFonts w:hint="eastAsia" w:ascii="宋体" w:hAnsi="宋体"/>
          <w:color w:val="auto"/>
          <w:highlight w:val="none"/>
        </w:rPr>
        <w:t>B1.5</w:t>
      </w:r>
      <w:r>
        <w:rPr>
          <w:rFonts w:hint="eastAsia"/>
          <w:color w:val="auto"/>
          <w:highlight w:val="none"/>
        </w:rPr>
        <w:t>未如实填写近年发生的诉讼及仲裁情况，隐瞒真实情况的。</w:t>
      </w:r>
    </w:p>
    <w:bookmarkEnd w:id="487"/>
    <w:p w14:paraId="5DC8C57E">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B1.6未按招标文件要求进行实名身份认证的或同一标段实名身份认证中存在不同投标人之间身份证识别器码一致的。</w:t>
      </w:r>
    </w:p>
    <w:p w14:paraId="5C9BE13B">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B1.7投标报价明显低于企业成本可能影响履约的。</w:t>
      </w:r>
    </w:p>
    <w:p w14:paraId="5D5A133A">
      <w:pPr>
        <w:spacing w:line="430" w:lineRule="exact"/>
        <w:ind w:firstLine="420" w:firstLineChars="200"/>
        <w:rPr>
          <w:rFonts w:hint="eastAsia" w:ascii="宋体" w:hAnsi="宋体"/>
          <w:color w:val="auto"/>
          <w:highlight w:val="none"/>
        </w:rPr>
      </w:pPr>
      <w:r>
        <w:rPr>
          <w:rFonts w:hint="eastAsia" w:ascii="宋体" w:hAnsi="宋体"/>
          <w:color w:val="auto"/>
          <w:highlight w:val="none"/>
        </w:rPr>
        <w:t>B1.</w:t>
      </w:r>
      <w:bookmarkStart w:id="488" w:name="_Hlk150329794"/>
      <w:r>
        <w:rPr>
          <w:rFonts w:hint="eastAsia" w:ascii="宋体" w:hAnsi="宋体"/>
          <w:color w:val="auto"/>
          <w:highlight w:val="none"/>
        </w:rPr>
        <w:t>8未按招标文件要求采用建筑信息模型技术的（如有）。</w:t>
      </w:r>
      <w:bookmarkEnd w:id="488"/>
    </w:p>
    <w:p w14:paraId="7676B2CA">
      <w:pPr>
        <w:spacing w:line="430" w:lineRule="exact"/>
        <w:ind w:firstLine="420" w:firstLineChars="200"/>
        <w:rPr>
          <w:rFonts w:hint="eastAsia" w:ascii="宋体" w:hAnsi="宋体"/>
          <w:color w:val="auto"/>
          <w:szCs w:val="21"/>
          <w:highlight w:val="none"/>
        </w:rPr>
      </w:pPr>
      <w:bookmarkStart w:id="489" w:name="_Hlk176003224"/>
      <w:bookmarkStart w:id="490" w:name="_Hlk176002496"/>
      <w:r>
        <w:rPr>
          <w:rFonts w:hint="eastAsia" w:ascii="宋体" w:hAnsi="宋体"/>
          <w:color w:val="auto"/>
          <w:highlight w:val="none"/>
        </w:rPr>
        <w:t>B1.9技术标不同模块赋分点之间多个模块固定位置存在内容表述非必要性雷同的。</w:t>
      </w:r>
      <w:bookmarkEnd w:id="489"/>
    </w:p>
    <w:bookmarkEnd w:id="490"/>
    <w:p w14:paraId="0A3AC2A9">
      <w:pPr>
        <w:spacing w:line="430" w:lineRule="exact"/>
        <w:ind w:firstLine="420" w:firstLineChars="200"/>
        <w:rPr>
          <w:rFonts w:ascii="仿宋_GB2312" w:eastAsia="仿宋_GB2312"/>
          <w:color w:val="auto"/>
          <w:highlight w:val="none"/>
        </w:rPr>
      </w:pPr>
      <w:r>
        <w:rPr>
          <w:rFonts w:hint="eastAsia" w:ascii="仿宋_GB2312" w:eastAsia="仿宋_GB2312"/>
          <w:color w:val="auto"/>
          <w:highlight w:val="none"/>
        </w:rPr>
        <w:t>……</w:t>
      </w:r>
    </w:p>
    <w:p w14:paraId="37CB6DDD">
      <w:pPr>
        <w:spacing w:line="430" w:lineRule="exact"/>
        <w:ind w:firstLine="420" w:firstLineChars="200"/>
        <w:rPr>
          <w:rFonts w:hint="eastAsia"/>
          <w:color w:val="auto"/>
          <w:highlight w:val="none"/>
        </w:rPr>
        <w:sectPr>
          <w:headerReference r:id="rId36" w:type="default"/>
          <w:footerReference r:id="rId37" w:type="default"/>
          <w:pgSz w:w="11906" w:h="16838"/>
          <w:pgMar w:top="1440" w:right="1797" w:bottom="1440" w:left="1797" w:header="851" w:footer="851" w:gutter="0"/>
          <w:pgNumType w:fmt="decimal"/>
          <w:cols w:space="720" w:num="1"/>
          <w:docGrid w:linePitch="312" w:charSpace="0"/>
        </w:sectPr>
      </w:pPr>
    </w:p>
    <w:p w14:paraId="1AEDF3D4">
      <w:pPr>
        <w:pStyle w:val="25"/>
        <w:rPr>
          <w:color w:val="auto"/>
          <w:highlight w:val="none"/>
        </w:rPr>
      </w:pPr>
      <w:bookmarkStart w:id="491" w:name="_Toc17940"/>
      <w:bookmarkStart w:id="492" w:name="_Toc8514"/>
      <w:bookmarkStart w:id="493" w:name="_Toc3110"/>
      <w:bookmarkStart w:id="494" w:name="_Toc165804447"/>
      <w:bookmarkStart w:id="495" w:name="_Toc1483"/>
      <w:bookmarkStart w:id="496" w:name="_Toc256000130"/>
      <w:r>
        <w:rPr>
          <w:rFonts w:hint="eastAsia"/>
          <w:color w:val="auto"/>
          <w:highlight w:val="none"/>
        </w:rPr>
        <w:t>附表A-1：评标委员会签到表</w:t>
      </w:r>
      <w:bookmarkEnd w:id="491"/>
      <w:bookmarkEnd w:id="492"/>
      <w:bookmarkEnd w:id="493"/>
      <w:bookmarkEnd w:id="494"/>
      <w:bookmarkEnd w:id="495"/>
      <w:bookmarkEnd w:id="496"/>
    </w:p>
    <w:p w14:paraId="387810FC">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评标委员会签到表</w:t>
      </w:r>
    </w:p>
    <w:p w14:paraId="458AB84E">
      <w:pPr>
        <w:rPr>
          <w:color w:val="auto"/>
          <w:szCs w:val="44"/>
          <w:highlight w:val="none"/>
        </w:rPr>
      </w:pPr>
      <w:r>
        <w:rPr>
          <w:rFonts w:hint="eastAsia"/>
          <w:color w:val="auto"/>
          <w:szCs w:val="44"/>
          <w:highlight w:val="none"/>
        </w:rPr>
        <w:t>标段名称：</w:t>
      </w:r>
    </w:p>
    <w:p w14:paraId="1B5A90B2">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评标时间：         年    月    日</w:t>
      </w:r>
    </w:p>
    <w:tbl>
      <w:tblPr>
        <w:tblStyle w:val="12"/>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14:paraId="4090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35BA8C16">
            <w:pPr>
              <w:spacing w:line="420" w:lineRule="exact"/>
              <w:jc w:val="center"/>
              <w:rPr>
                <w:rFonts w:ascii="宋体" w:hAnsi="宋体"/>
                <w:b/>
                <w:bCs/>
                <w:color w:val="auto"/>
                <w:szCs w:val="21"/>
                <w:highlight w:val="none"/>
              </w:rPr>
            </w:pPr>
            <w:bookmarkStart w:id="497" w:name="_Hlk165801998"/>
            <w:r>
              <w:rPr>
                <w:rFonts w:hint="eastAsia" w:ascii="宋体" w:hAnsi="宋体"/>
                <w:b/>
                <w:bCs/>
                <w:color w:val="auto"/>
                <w:szCs w:val="21"/>
                <w:highlight w:val="none"/>
              </w:rPr>
              <w:t>序号</w:t>
            </w:r>
          </w:p>
        </w:tc>
        <w:tc>
          <w:tcPr>
            <w:tcW w:w="1169" w:type="dxa"/>
            <w:vAlign w:val="center"/>
          </w:tcPr>
          <w:p w14:paraId="54C9E3BF">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姓名</w:t>
            </w:r>
          </w:p>
        </w:tc>
        <w:tc>
          <w:tcPr>
            <w:tcW w:w="1797" w:type="dxa"/>
            <w:vAlign w:val="center"/>
          </w:tcPr>
          <w:p w14:paraId="49EFE308">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所在单位</w:t>
            </w:r>
          </w:p>
        </w:tc>
        <w:tc>
          <w:tcPr>
            <w:tcW w:w="1930" w:type="dxa"/>
            <w:vAlign w:val="center"/>
          </w:tcPr>
          <w:p w14:paraId="368AD932">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身份证号</w:t>
            </w:r>
          </w:p>
        </w:tc>
        <w:tc>
          <w:tcPr>
            <w:tcW w:w="1793" w:type="dxa"/>
            <w:vAlign w:val="center"/>
          </w:tcPr>
          <w:p w14:paraId="41A93EBE">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联系方式</w:t>
            </w:r>
          </w:p>
        </w:tc>
        <w:tc>
          <w:tcPr>
            <w:tcW w:w="1431" w:type="dxa"/>
            <w:vAlign w:val="center"/>
          </w:tcPr>
          <w:p w14:paraId="30C3DEA6">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评审内容</w:t>
            </w:r>
          </w:p>
        </w:tc>
        <w:tc>
          <w:tcPr>
            <w:tcW w:w="1520" w:type="dxa"/>
            <w:vAlign w:val="center"/>
          </w:tcPr>
          <w:p w14:paraId="7550FF5E">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评审角色</w:t>
            </w:r>
          </w:p>
        </w:tc>
        <w:tc>
          <w:tcPr>
            <w:tcW w:w="1706" w:type="dxa"/>
            <w:vAlign w:val="center"/>
          </w:tcPr>
          <w:p w14:paraId="1E5561B3">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评标签到时间</w:t>
            </w:r>
          </w:p>
        </w:tc>
        <w:tc>
          <w:tcPr>
            <w:tcW w:w="1697" w:type="dxa"/>
            <w:vAlign w:val="center"/>
          </w:tcPr>
          <w:p w14:paraId="504891DD">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签名</w:t>
            </w:r>
          </w:p>
        </w:tc>
      </w:tr>
      <w:tr w14:paraId="3FD5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640A7E9E">
            <w:pPr>
              <w:spacing w:line="420" w:lineRule="exact"/>
              <w:jc w:val="center"/>
              <w:rPr>
                <w:rFonts w:ascii="宋体" w:hAnsi="宋体"/>
                <w:color w:val="auto"/>
                <w:szCs w:val="21"/>
                <w:highlight w:val="none"/>
              </w:rPr>
            </w:pPr>
            <w:r>
              <w:rPr>
                <w:rFonts w:hint="eastAsia" w:ascii="宋体" w:hAnsi="宋体"/>
                <w:color w:val="auto"/>
                <w:szCs w:val="21"/>
                <w:highlight w:val="none"/>
              </w:rPr>
              <w:t>1</w:t>
            </w:r>
          </w:p>
        </w:tc>
        <w:tc>
          <w:tcPr>
            <w:tcW w:w="1169" w:type="dxa"/>
            <w:vAlign w:val="center"/>
          </w:tcPr>
          <w:p w14:paraId="463DB031">
            <w:pPr>
              <w:spacing w:line="420" w:lineRule="exact"/>
              <w:jc w:val="center"/>
              <w:rPr>
                <w:rFonts w:ascii="宋体" w:hAnsi="宋体"/>
                <w:color w:val="auto"/>
                <w:szCs w:val="21"/>
                <w:highlight w:val="none"/>
              </w:rPr>
            </w:pPr>
          </w:p>
        </w:tc>
        <w:tc>
          <w:tcPr>
            <w:tcW w:w="1797" w:type="dxa"/>
            <w:vAlign w:val="center"/>
          </w:tcPr>
          <w:p w14:paraId="50422E7E">
            <w:pPr>
              <w:spacing w:line="420" w:lineRule="exact"/>
              <w:jc w:val="center"/>
              <w:rPr>
                <w:rFonts w:ascii="宋体" w:hAnsi="宋体"/>
                <w:color w:val="auto"/>
                <w:szCs w:val="21"/>
                <w:highlight w:val="none"/>
              </w:rPr>
            </w:pPr>
          </w:p>
        </w:tc>
        <w:tc>
          <w:tcPr>
            <w:tcW w:w="1930" w:type="dxa"/>
            <w:vAlign w:val="center"/>
          </w:tcPr>
          <w:p w14:paraId="19AEDF1A">
            <w:pPr>
              <w:spacing w:line="420" w:lineRule="exact"/>
              <w:jc w:val="center"/>
              <w:rPr>
                <w:rFonts w:ascii="宋体" w:hAnsi="宋体"/>
                <w:color w:val="auto"/>
                <w:szCs w:val="21"/>
                <w:highlight w:val="none"/>
              </w:rPr>
            </w:pPr>
          </w:p>
        </w:tc>
        <w:tc>
          <w:tcPr>
            <w:tcW w:w="1793" w:type="dxa"/>
            <w:vAlign w:val="center"/>
          </w:tcPr>
          <w:p w14:paraId="04A6CAAB">
            <w:pPr>
              <w:spacing w:line="420" w:lineRule="exact"/>
              <w:jc w:val="center"/>
              <w:rPr>
                <w:rFonts w:ascii="宋体" w:hAnsi="宋体"/>
                <w:color w:val="auto"/>
                <w:szCs w:val="21"/>
                <w:highlight w:val="none"/>
              </w:rPr>
            </w:pPr>
          </w:p>
        </w:tc>
        <w:tc>
          <w:tcPr>
            <w:tcW w:w="1431" w:type="dxa"/>
            <w:vAlign w:val="center"/>
          </w:tcPr>
          <w:p w14:paraId="479FC0C7">
            <w:pPr>
              <w:spacing w:line="420" w:lineRule="exact"/>
              <w:jc w:val="center"/>
              <w:rPr>
                <w:rFonts w:ascii="宋体" w:hAnsi="宋体"/>
                <w:color w:val="auto"/>
                <w:szCs w:val="21"/>
                <w:highlight w:val="none"/>
              </w:rPr>
            </w:pPr>
          </w:p>
        </w:tc>
        <w:tc>
          <w:tcPr>
            <w:tcW w:w="1520" w:type="dxa"/>
            <w:vAlign w:val="center"/>
          </w:tcPr>
          <w:p w14:paraId="0689793A">
            <w:pPr>
              <w:spacing w:line="420" w:lineRule="exact"/>
              <w:jc w:val="center"/>
              <w:rPr>
                <w:rFonts w:ascii="宋体" w:hAnsi="宋体"/>
                <w:color w:val="auto"/>
                <w:szCs w:val="21"/>
                <w:highlight w:val="none"/>
              </w:rPr>
            </w:pPr>
          </w:p>
        </w:tc>
        <w:tc>
          <w:tcPr>
            <w:tcW w:w="1706" w:type="dxa"/>
            <w:vAlign w:val="center"/>
          </w:tcPr>
          <w:p w14:paraId="2E2B2FD0">
            <w:pPr>
              <w:spacing w:line="420" w:lineRule="exact"/>
              <w:jc w:val="center"/>
              <w:rPr>
                <w:rFonts w:ascii="宋体" w:hAnsi="宋体"/>
                <w:color w:val="auto"/>
                <w:szCs w:val="21"/>
                <w:highlight w:val="none"/>
              </w:rPr>
            </w:pPr>
          </w:p>
        </w:tc>
        <w:tc>
          <w:tcPr>
            <w:tcW w:w="1697" w:type="dxa"/>
          </w:tcPr>
          <w:p w14:paraId="72D3FCDF">
            <w:pPr>
              <w:spacing w:line="420" w:lineRule="exact"/>
              <w:jc w:val="center"/>
              <w:rPr>
                <w:rFonts w:ascii="宋体" w:hAnsi="宋体"/>
                <w:color w:val="auto"/>
                <w:szCs w:val="21"/>
                <w:highlight w:val="none"/>
              </w:rPr>
            </w:pPr>
          </w:p>
        </w:tc>
      </w:tr>
      <w:tr w14:paraId="660B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68063CCC">
            <w:pPr>
              <w:spacing w:line="420" w:lineRule="exact"/>
              <w:jc w:val="center"/>
              <w:rPr>
                <w:rFonts w:ascii="宋体" w:hAnsi="宋体"/>
                <w:color w:val="auto"/>
                <w:szCs w:val="21"/>
                <w:highlight w:val="none"/>
              </w:rPr>
            </w:pPr>
            <w:r>
              <w:rPr>
                <w:rFonts w:hint="eastAsia" w:ascii="宋体" w:hAnsi="宋体"/>
                <w:color w:val="auto"/>
                <w:szCs w:val="21"/>
                <w:highlight w:val="none"/>
              </w:rPr>
              <w:t>2</w:t>
            </w:r>
          </w:p>
        </w:tc>
        <w:tc>
          <w:tcPr>
            <w:tcW w:w="1169" w:type="dxa"/>
            <w:vAlign w:val="center"/>
          </w:tcPr>
          <w:p w14:paraId="5893F601">
            <w:pPr>
              <w:spacing w:line="420" w:lineRule="exact"/>
              <w:jc w:val="center"/>
              <w:rPr>
                <w:rFonts w:ascii="宋体" w:hAnsi="宋体"/>
                <w:color w:val="auto"/>
                <w:szCs w:val="21"/>
                <w:highlight w:val="none"/>
              </w:rPr>
            </w:pPr>
          </w:p>
        </w:tc>
        <w:tc>
          <w:tcPr>
            <w:tcW w:w="1797" w:type="dxa"/>
            <w:vAlign w:val="center"/>
          </w:tcPr>
          <w:p w14:paraId="3FA1E86B">
            <w:pPr>
              <w:spacing w:line="420" w:lineRule="exact"/>
              <w:jc w:val="center"/>
              <w:rPr>
                <w:rFonts w:ascii="宋体" w:hAnsi="宋体"/>
                <w:color w:val="auto"/>
                <w:szCs w:val="21"/>
                <w:highlight w:val="none"/>
              </w:rPr>
            </w:pPr>
          </w:p>
        </w:tc>
        <w:tc>
          <w:tcPr>
            <w:tcW w:w="1930" w:type="dxa"/>
            <w:vAlign w:val="center"/>
          </w:tcPr>
          <w:p w14:paraId="753CA250">
            <w:pPr>
              <w:spacing w:line="420" w:lineRule="exact"/>
              <w:jc w:val="center"/>
              <w:rPr>
                <w:rFonts w:ascii="宋体" w:hAnsi="宋体"/>
                <w:color w:val="auto"/>
                <w:szCs w:val="21"/>
                <w:highlight w:val="none"/>
              </w:rPr>
            </w:pPr>
          </w:p>
        </w:tc>
        <w:tc>
          <w:tcPr>
            <w:tcW w:w="1793" w:type="dxa"/>
            <w:vAlign w:val="center"/>
          </w:tcPr>
          <w:p w14:paraId="0BF1B755">
            <w:pPr>
              <w:spacing w:line="420" w:lineRule="exact"/>
              <w:jc w:val="center"/>
              <w:rPr>
                <w:rFonts w:ascii="宋体" w:hAnsi="宋体"/>
                <w:color w:val="auto"/>
                <w:szCs w:val="21"/>
                <w:highlight w:val="none"/>
              </w:rPr>
            </w:pPr>
          </w:p>
        </w:tc>
        <w:tc>
          <w:tcPr>
            <w:tcW w:w="1431" w:type="dxa"/>
            <w:vAlign w:val="center"/>
          </w:tcPr>
          <w:p w14:paraId="301A2A18">
            <w:pPr>
              <w:spacing w:line="420" w:lineRule="exact"/>
              <w:jc w:val="center"/>
              <w:rPr>
                <w:rFonts w:ascii="宋体" w:hAnsi="宋体"/>
                <w:color w:val="auto"/>
                <w:szCs w:val="21"/>
                <w:highlight w:val="none"/>
              </w:rPr>
            </w:pPr>
          </w:p>
        </w:tc>
        <w:tc>
          <w:tcPr>
            <w:tcW w:w="1520" w:type="dxa"/>
            <w:vAlign w:val="center"/>
          </w:tcPr>
          <w:p w14:paraId="15BF843E">
            <w:pPr>
              <w:spacing w:line="420" w:lineRule="exact"/>
              <w:jc w:val="center"/>
              <w:rPr>
                <w:rFonts w:ascii="宋体" w:hAnsi="宋体"/>
                <w:color w:val="auto"/>
                <w:szCs w:val="21"/>
                <w:highlight w:val="none"/>
              </w:rPr>
            </w:pPr>
          </w:p>
        </w:tc>
        <w:tc>
          <w:tcPr>
            <w:tcW w:w="1706" w:type="dxa"/>
            <w:vAlign w:val="center"/>
          </w:tcPr>
          <w:p w14:paraId="2905FC5E">
            <w:pPr>
              <w:spacing w:line="420" w:lineRule="exact"/>
              <w:jc w:val="center"/>
              <w:rPr>
                <w:rFonts w:ascii="宋体" w:hAnsi="宋体"/>
                <w:color w:val="auto"/>
                <w:szCs w:val="21"/>
                <w:highlight w:val="none"/>
              </w:rPr>
            </w:pPr>
          </w:p>
        </w:tc>
        <w:tc>
          <w:tcPr>
            <w:tcW w:w="1697" w:type="dxa"/>
          </w:tcPr>
          <w:p w14:paraId="0103208D">
            <w:pPr>
              <w:spacing w:line="420" w:lineRule="exact"/>
              <w:jc w:val="center"/>
              <w:rPr>
                <w:rFonts w:ascii="宋体" w:hAnsi="宋体"/>
                <w:color w:val="auto"/>
                <w:szCs w:val="21"/>
                <w:highlight w:val="none"/>
              </w:rPr>
            </w:pPr>
          </w:p>
        </w:tc>
      </w:tr>
      <w:tr w14:paraId="559C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00F17F46">
            <w:pPr>
              <w:spacing w:line="420" w:lineRule="exact"/>
              <w:jc w:val="center"/>
              <w:rPr>
                <w:rFonts w:ascii="宋体" w:hAnsi="宋体"/>
                <w:color w:val="auto"/>
                <w:szCs w:val="21"/>
                <w:highlight w:val="none"/>
              </w:rPr>
            </w:pPr>
            <w:r>
              <w:rPr>
                <w:rFonts w:hint="eastAsia" w:ascii="宋体" w:hAnsi="宋体"/>
                <w:color w:val="auto"/>
                <w:szCs w:val="21"/>
                <w:highlight w:val="none"/>
              </w:rPr>
              <w:t>3</w:t>
            </w:r>
          </w:p>
        </w:tc>
        <w:tc>
          <w:tcPr>
            <w:tcW w:w="1169" w:type="dxa"/>
            <w:vAlign w:val="center"/>
          </w:tcPr>
          <w:p w14:paraId="1C3F8B0F">
            <w:pPr>
              <w:spacing w:line="420" w:lineRule="exact"/>
              <w:jc w:val="center"/>
              <w:rPr>
                <w:rFonts w:ascii="宋体" w:hAnsi="宋体"/>
                <w:color w:val="auto"/>
                <w:szCs w:val="21"/>
                <w:highlight w:val="none"/>
              </w:rPr>
            </w:pPr>
          </w:p>
        </w:tc>
        <w:tc>
          <w:tcPr>
            <w:tcW w:w="1797" w:type="dxa"/>
            <w:vAlign w:val="center"/>
          </w:tcPr>
          <w:p w14:paraId="5AECD34A">
            <w:pPr>
              <w:spacing w:line="420" w:lineRule="exact"/>
              <w:jc w:val="center"/>
              <w:rPr>
                <w:rFonts w:ascii="宋体" w:hAnsi="宋体"/>
                <w:color w:val="auto"/>
                <w:szCs w:val="21"/>
                <w:highlight w:val="none"/>
              </w:rPr>
            </w:pPr>
          </w:p>
        </w:tc>
        <w:tc>
          <w:tcPr>
            <w:tcW w:w="1930" w:type="dxa"/>
            <w:vAlign w:val="center"/>
          </w:tcPr>
          <w:p w14:paraId="0FF441D9">
            <w:pPr>
              <w:spacing w:line="420" w:lineRule="exact"/>
              <w:jc w:val="center"/>
              <w:rPr>
                <w:rFonts w:ascii="宋体" w:hAnsi="宋体"/>
                <w:color w:val="auto"/>
                <w:szCs w:val="21"/>
                <w:highlight w:val="none"/>
              </w:rPr>
            </w:pPr>
          </w:p>
        </w:tc>
        <w:tc>
          <w:tcPr>
            <w:tcW w:w="1793" w:type="dxa"/>
            <w:vAlign w:val="center"/>
          </w:tcPr>
          <w:p w14:paraId="43F475C3">
            <w:pPr>
              <w:spacing w:line="420" w:lineRule="exact"/>
              <w:jc w:val="center"/>
              <w:rPr>
                <w:rFonts w:ascii="宋体" w:hAnsi="宋体"/>
                <w:color w:val="auto"/>
                <w:szCs w:val="21"/>
                <w:highlight w:val="none"/>
              </w:rPr>
            </w:pPr>
          </w:p>
        </w:tc>
        <w:tc>
          <w:tcPr>
            <w:tcW w:w="1431" w:type="dxa"/>
            <w:vAlign w:val="center"/>
          </w:tcPr>
          <w:p w14:paraId="577AC8C8">
            <w:pPr>
              <w:spacing w:line="420" w:lineRule="exact"/>
              <w:jc w:val="center"/>
              <w:rPr>
                <w:rFonts w:ascii="宋体" w:hAnsi="宋体"/>
                <w:color w:val="auto"/>
                <w:szCs w:val="21"/>
                <w:highlight w:val="none"/>
              </w:rPr>
            </w:pPr>
          </w:p>
        </w:tc>
        <w:tc>
          <w:tcPr>
            <w:tcW w:w="1520" w:type="dxa"/>
            <w:vAlign w:val="center"/>
          </w:tcPr>
          <w:p w14:paraId="3B146A87">
            <w:pPr>
              <w:spacing w:line="420" w:lineRule="exact"/>
              <w:jc w:val="center"/>
              <w:rPr>
                <w:rFonts w:ascii="宋体" w:hAnsi="宋体"/>
                <w:color w:val="auto"/>
                <w:szCs w:val="21"/>
                <w:highlight w:val="none"/>
              </w:rPr>
            </w:pPr>
          </w:p>
        </w:tc>
        <w:tc>
          <w:tcPr>
            <w:tcW w:w="1706" w:type="dxa"/>
            <w:vAlign w:val="center"/>
          </w:tcPr>
          <w:p w14:paraId="09C3C5D1">
            <w:pPr>
              <w:spacing w:line="420" w:lineRule="exact"/>
              <w:jc w:val="center"/>
              <w:rPr>
                <w:rFonts w:ascii="宋体" w:hAnsi="宋体"/>
                <w:color w:val="auto"/>
                <w:szCs w:val="21"/>
                <w:highlight w:val="none"/>
              </w:rPr>
            </w:pPr>
          </w:p>
        </w:tc>
        <w:tc>
          <w:tcPr>
            <w:tcW w:w="1697" w:type="dxa"/>
          </w:tcPr>
          <w:p w14:paraId="64B48E22">
            <w:pPr>
              <w:spacing w:line="420" w:lineRule="exact"/>
              <w:jc w:val="center"/>
              <w:rPr>
                <w:rFonts w:ascii="宋体" w:hAnsi="宋体"/>
                <w:color w:val="auto"/>
                <w:szCs w:val="21"/>
                <w:highlight w:val="none"/>
              </w:rPr>
            </w:pPr>
          </w:p>
        </w:tc>
      </w:tr>
      <w:tr w14:paraId="3D19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272672E0">
            <w:pPr>
              <w:spacing w:line="420" w:lineRule="exact"/>
              <w:jc w:val="center"/>
              <w:rPr>
                <w:rFonts w:ascii="宋体" w:hAnsi="宋体"/>
                <w:color w:val="auto"/>
                <w:szCs w:val="21"/>
                <w:highlight w:val="none"/>
              </w:rPr>
            </w:pPr>
            <w:r>
              <w:rPr>
                <w:rFonts w:hint="eastAsia" w:ascii="宋体" w:hAnsi="宋体"/>
                <w:color w:val="auto"/>
                <w:szCs w:val="21"/>
                <w:highlight w:val="none"/>
              </w:rPr>
              <w:t>4</w:t>
            </w:r>
          </w:p>
        </w:tc>
        <w:tc>
          <w:tcPr>
            <w:tcW w:w="1169" w:type="dxa"/>
            <w:vAlign w:val="center"/>
          </w:tcPr>
          <w:p w14:paraId="22C06E31">
            <w:pPr>
              <w:spacing w:line="420" w:lineRule="exact"/>
              <w:jc w:val="center"/>
              <w:rPr>
                <w:rFonts w:ascii="宋体" w:hAnsi="宋体"/>
                <w:color w:val="auto"/>
                <w:szCs w:val="21"/>
                <w:highlight w:val="none"/>
              </w:rPr>
            </w:pPr>
          </w:p>
        </w:tc>
        <w:tc>
          <w:tcPr>
            <w:tcW w:w="1797" w:type="dxa"/>
            <w:vAlign w:val="center"/>
          </w:tcPr>
          <w:p w14:paraId="4190918A">
            <w:pPr>
              <w:spacing w:line="420" w:lineRule="exact"/>
              <w:jc w:val="center"/>
              <w:rPr>
                <w:rFonts w:ascii="宋体" w:hAnsi="宋体"/>
                <w:color w:val="auto"/>
                <w:szCs w:val="21"/>
                <w:highlight w:val="none"/>
              </w:rPr>
            </w:pPr>
          </w:p>
        </w:tc>
        <w:tc>
          <w:tcPr>
            <w:tcW w:w="1930" w:type="dxa"/>
            <w:vAlign w:val="center"/>
          </w:tcPr>
          <w:p w14:paraId="4A267582">
            <w:pPr>
              <w:spacing w:line="420" w:lineRule="exact"/>
              <w:jc w:val="center"/>
              <w:rPr>
                <w:rFonts w:ascii="宋体" w:hAnsi="宋体"/>
                <w:color w:val="auto"/>
                <w:szCs w:val="21"/>
                <w:highlight w:val="none"/>
              </w:rPr>
            </w:pPr>
          </w:p>
        </w:tc>
        <w:tc>
          <w:tcPr>
            <w:tcW w:w="1793" w:type="dxa"/>
            <w:vAlign w:val="center"/>
          </w:tcPr>
          <w:p w14:paraId="1CF4EF92">
            <w:pPr>
              <w:spacing w:line="420" w:lineRule="exact"/>
              <w:jc w:val="center"/>
              <w:rPr>
                <w:rFonts w:ascii="宋体" w:hAnsi="宋体"/>
                <w:color w:val="auto"/>
                <w:szCs w:val="21"/>
                <w:highlight w:val="none"/>
              </w:rPr>
            </w:pPr>
          </w:p>
        </w:tc>
        <w:tc>
          <w:tcPr>
            <w:tcW w:w="1431" w:type="dxa"/>
            <w:vAlign w:val="center"/>
          </w:tcPr>
          <w:p w14:paraId="6CCE3A4D">
            <w:pPr>
              <w:spacing w:line="420" w:lineRule="exact"/>
              <w:jc w:val="center"/>
              <w:rPr>
                <w:rFonts w:ascii="宋体" w:hAnsi="宋体"/>
                <w:color w:val="auto"/>
                <w:szCs w:val="21"/>
                <w:highlight w:val="none"/>
              </w:rPr>
            </w:pPr>
          </w:p>
        </w:tc>
        <w:tc>
          <w:tcPr>
            <w:tcW w:w="1520" w:type="dxa"/>
            <w:vAlign w:val="center"/>
          </w:tcPr>
          <w:p w14:paraId="35BAC39D">
            <w:pPr>
              <w:spacing w:line="420" w:lineRule="exact"/>
              <w:jc w:val="center"/>
              <w:rPr>
                <w:rFonts w:ascii="宋体" w:hAnsi="宋体"/>
                <w:color w:val="auto"/>
                <w:szCs w:val="21"/>
                <w:highlight w:val="none"/>
              </w:rPr>
            </w:pPr>
          </w:p>
        </w:tc>
        <w:tc>
          <w:tcPr>
            <w:tcW w:w="1706" w:type="dxa"/>
            <w:vAlign w:val="center"/>
          </w:tcPr>
          <w:p w14:paraId="28BE3ED0">
            <w:pPr>
              <w:spacing w:line="420" w:lineRule="exact"/>
              <w:jc w:val="center"/>
              <w:rPr>
                <w:rFonts w:ascii="宋体" w:hAnsi="宋体"/>
                <w:color w:val="auto"/>
                <w:szCs w:val="21"/>
                <w:highlight w:val="none"/>
              </w:rPr>
            </w:pPr>
          </w:p>
        </w:tc>
        <w:tc>
          <w:tcPr>
            <w:tcW w:w="1697" w:type="dxa"/>
          </w:tcPr>
          <w:p w14:paraId="26F6DAA3">
            <w:pPr>
              <w:spacing w:line="420" w:lineRule="exact"/>
              <w:jc w:val="center"/>
              <w:rPr>
                <w:rFonts w:ascii="宋体" w:hAnsi="宋体"/>
                <w:color w:val="auto"/>
                <w:szCs w:val="21"/>
                <w:highlight w:val="none"/>
              </w:rPr>
            </w:pPr>
          </w:p>
        </w:tc>
      </w:tr>
      <w:tr w14:paraId="5D64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17094DA6">
            <w:pPr>
              <w:spacing w:line="420" w:lineRule="exact"/>
              <w:jc w:val="center"/>
              <w:rPr>
                <w:rFonts w:ascii="宋体" w:hAnsi="宋体"/>
                <w:color w:val="auto"/>
                <w:szCs w:val="21"/>
                <w:highlight w:val="none"/>
              </w:rPr>
            </w:pPr>
            <w:r>
              <w:rPr>
                <w:rFonts w:hint="eastAsia" w:ascii="宋体" w:hAnsi="宋体"/>
                <w:color w:val="auto"/>
                <w:szCs w:val="21"/>
                <w:highlight w:val="none"/>
              </w:rPr>
              <w:t>5</w:t>
            </w:r>
          </w:p>
        </w:tc>
        <w:tc>
          <w:tcPr>
            <w:tcW w:w="1169" w:type="dxa"/>
            <w:vAlign w:val="center"/>
          </w:tcPr>
          <w:p w14:paraId="77F5257E">
            <w:pPr>
              <w:spacing w:line="420" w:lineRule="exact"/>
              <w:jc w:val="center"/>
              <w:rPr>
                <w:rFonts w:ascii="宋体" w:hAnsi="宋体"/>
                <w:color w:val="auto"/>
                <w:szCs w:val="21"/>
                <w:highlight w:val="none"/>
              </w:rPr>
            </w:pPr>
          </w:p>
        </w:tc>
        <w:tc>
          <w:tcPr>
            <w:tcW w:w="1797" w:type="dxa"/>
            <w:vAlign w:val="center"/>
          </w:tcPr>
          <w:p w14:paraId="600791BA">
            <w:pPr>
              <w:spacing w:line="420" w:lineRule="exact"/>
              <w:jc w:val="center"/>
              <w:rPr>
                <w:rFonts w:ascii="宋体" w:hAnsi="宋体"/>
                <w:color w:val="auto"/>
                <w:szCs w:val="21"/>
                <w:highlight w:val="none"/>
              </w:rPr>
            </w:pPr>
          </w:p>
        </w:tc>
        <w:tc>
          <w:tcPr>
            <w:tcW w:w="1930" w:type="dxa"/>
            <w:vAlign w:val="center"/>
          </w:tcPr>
          <w:p w14:paraId="5E26CAA0">
            <w:pPr>
              <w:spacing w:line="420" w:lineRule="exact"/>
              <w:jc w:val="center"/>
              <w:rPr>
                <w:rFonts w:ascii="宋体" w:hAnsi="宋体"/>
                <w:color w:val="auto"/>
                <w:szCs w:val="21"/>
                <w:highlight w:val="none"/>
              </w:rPr>
            </w:pPr>
          </w:p>
        </w:tc>
        <w:tc>
          <w:tcPr>
            <w:tcW w:w="1793" w:type="dxa"/>
            <w:vAlign w:val="center"/>
          </w:tcPr>
          <w:p w14:paraId="4933C07E">
            <w:pPr>
              <w:spacing w:line="420" w:lineRule="exact"/>
              <w:jc w:val="center"/>
              <w:rPr>
                <w:rFonts w:ascii="宋体" w:hAnsi="宋体"/>
                <w:color w:val="auto"/>
                <w:szCs w:val="21"/>
                <w:highlight w:val="none"/>
              </w:rPr>
            </w:pPr>
          </w:p>
        </w:tc>
        <w:tc>
          <w:tcPr>
            <w:tcW w:w="1431" w:type="dxa"/>
            <w:vAlign w:val="center"/>
          </w:tcPr>
          <w:p w14:paraId="6000F445">
            <w:pPr>
              <w:spacing w:line="420" w:lineRule="exact"/>
              <w:jc w:val="center"/>
              <w:rPr>
                <w:rFonts w:ascii="宋体" w:hAnsi="宋体"/>
                <w:color w:val="auto"/>
                <w:szCs w:val="21"/>
                <w:highlight w:val="none"/>
              </w:rPr>
            </w:pPr>
          </w:p>
        </w:tc>
        <w:tc>
          <w:tcPr>
            <w:tcW w:w="1520" w:type="dxa"/>
            <w:vAlign w:val="center"/>
          </w:tcPr>
          <w:p w14:paraId="60D4E5F9">
            <w:pPr>
              <w:spacing w:line="420" w:lineRule="exact"/>
              <w:jc w:val="center"/>
              <w:rPr>
                <w:rFonts w:ascii="宋体" w:hAnsi="宋体"/>
                <w:color w:val="auto"/>
                <w:szCs w:val="21"/>
                <w:highlight w:val="none"/>
              </w:rPr>
            </w:pPr>
          </w:p>
        </w:tc>
        <w:tc>
          <w:tcPr>
            <w:tcW w:w="1706" w:type="dxa"/>
            <w:vAlign w:val="center"/>
          </w:tcPr>
          <w:p w14:paraId="21BA4925">
            <w:pPr>
              <w:spacing w:line="420" w:lineRule="exact"/>
              <w:jc w:val="center"/>
              <w:rPr>
                <w:rFonts w:ascii="宋体" w:hAnsi="宋体"/>
                <w:color w:val="auto"/>
                <w:szCs w:val="21"/>
                <w:highlight w:val="none"/>
              </w:rPr>
            </w:pPr>
          </w:p>
        </w:tc>
        <w:tc>
          <w:tcPr>
            <w:tcW w:w="1697" w:type="dxa"/>
          </w:tcPr>
          <w:p w14:paraId="33AC87C3">
            <w:pPr>
              <w:spacing w:line="420" w:lineRule="exact"/>
              <w:jc w:val="center"/>
              <w:rPr>
                <w:rFonts w:ascii="宋体" w:hAnsi="宋体"/>
                <w:color w:val="auto"/>
                <w:szCs w:val="21"/>
                <w:highlight w:val="none"/>
              </w:rPr>
            </w:pPr>
          </w:p>
        </w:tc>
      </w:tr>
      <w:tr w14:paraId="4AF7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0E632FC6">
            <w:pPr>
              <w:spacing w:line="420" w:lineRule="exact"/>
              <w:jc w:val="center"/>
              <w:rPr>
                <w:rFonts w:ascii="宋体" w:hAnsi="宋体"/>
                <w:color w:val="auto"/>
                <w:szCs w:val="21"/>
                <w:highlight w:val="none"/>
              </w:rPr>
            </w:pPr>
            <w:r>
              <w:rPr>
                <w:rFonts w:hint="eastAsia" w:ascii="宋体" w:hAnsi="宋体"/>
                <w:color w:val="auto"/>
                <w:szCs w:val="21"/>
                <w:highlight w:val="none"/>
              </w:rPr>
              <w:t>6</w:t>
            </w:r>
          </w:p>
        </w:tc>
        <w:tc>
          <w:tcPr>
            <w:tcW w:w="1169" w:type="dxa"/>
            <w:vAlign w:val="center"/>
          </w:tcPr>
          <w:p w14:paraId="2FA1DE82">
            <w:pPr>
              <w:spacing w:line="420" w:lineRule="exact"/>
              <w:jc w:val="center"/>
              <w:rPr>
                <w:rFonts w:ascii="宋体" w:hAnsi="宋体"/>
                <w:color w:val="auto"/>
                <w:szCs w:val="21"/>
                <w:highlight w:val="none"/>
              </w:rPr>
            </w:pPr>
          </w:p>
        </w:tc>
        <w:tc>
          <w:tcPr>
            <w:tcW w:w="1797" w:type="dxa"/>
            <w:vAlign w:val="center"/>
          </w:tcPr>
          <w:p w14:paraId="2BF3273A">
            <w:pPr>
              <w:spacing w:line="420" w:lineRule="exact"/>
              <w:jc w:val="center"/>
              <w:rPr>
                <w:rFonts w:ascii="宋体" w:hAnsi="宋体"/>
                <w:color w:val="auto"/>
                <w:szCs w:val="21"/>
                <w:highlight w:val="none"/>
              </w:rPr>
            </w:pPr>
          </w:p>
        </w:tc>
        <w:tc>
          <w:tcPr>
            <w:tcW w:w="1930" w:type="dxa"/>
            <w:vAlign w:val="center"/>
          </w:tcPr>
          <w:p w14:paraId="3E159FC2">
            <w:pPr>
              <w:spacing w:line="420" w:lineRule="exact"/>
              <w:jc w:val="center"/>
              <w:rPr>
                <w:rFonts w:ascii="宋体" w:hAnsi="宋体"/>
                <w:color w:val="auto"/>
                <w:szCs w:val="21"/>
                <w:highlight w:val="none"/>
              </w:rPr>
            </w:pPr>
          </w:p>
        </w:tc>
        <w:tc>
          <w:tcPr>
            <w:tcW w:w="1793" w:type="dxa"/>
            <w:vAlign w:val="center"/>
          </w:tcPr>
          <w:p w14:paraId="3FC1A895">
            <w:pPr>
              <w:spacing w:line="420" w:lineRule="exact"/>
              <w:jc w:val="center"/>
              <w:rPr>
                <w:rFonts w:ascii="宋体" w:hAnsi="宋体"/>
                <w:color w:val="auto"/>
                <w:szCs w:val="21"/>
                <w:highlight w:val="none"/>
              </w:rPr>
            </w:pPr>
          </w:p>
        </w:tc>
        <w:tc>
          <w:tcPr>
            <w:tcW w:w="1431" w:type="dxa"/>
            <w:vAlign w:val="center"/>
          </w:tcPr>
          <w:p w14:paraId="67AB820C">
            <w:pPr>
              <w:spacing w:line="420" w:lineRule="exact"/>
              <w:jc w:val="center"/>
              <w:rPr>
                <w:rFonts w:ascii="宋体" w:hAnsi="宋体"/>
                <w:color w:val="auto"/>
                <w:szCs w:val="21"/>
                <w:highlight w:val="none"/>
              </w:rPr>
            </w:pPr>
          </w:p>
        </w:tc>
        <w:tc>
          <w:tcPr>
            <w:tcW w:w="1520" w:type="dxa"/>
            <w:vAlign w:val="center"/>
          </w:tcPr>
          <w:p w14:paraId="2926B51E">
            <w:pPr>
              <w:spacing w:line="420" w:lineRule="exact"/>
              <w:jc w:val="center"/>
              <w:rPr>
                <w:rFonts w:ascii="宋体" w:hAnsi="宋体"/>
                <w:color w:val="auto"/>
                <w:szCs w:val="21"/>
                <w:highlight w:val="none"/>
              </w:rPr>
            </w:pPr>
          </w:p>
        </w:tc>
        <w:tc>
          <w:tcPr>
            <w:tcW w:w="1706" w:type="dxa"/>
            <w:vAlign w:val="center"/>
          </w:tcPr>
          <w:p w14:paraId="5DD4F58D">
            <w:pPr>
              <w:spacing w:line="420" w:lineRule="exact"/>
              <w:jc w:val="center"/>
              <w:rPr>
                <w:rFonts w:ascii="宋体" w:hAnsi="宋体"/>
                <w:color w:val="auto"/>
                <w:szCs w:val="21"/>
                <w:highlight w:val="none"/>
              </w:rPr>
            </w:pPr>
          </w:p>
        </w:tc>
        <w:tc>
          <w:tcPr>
            <w:tcW w:w="1697" w:type="dxa"/>
          </w:tcPr>
          <w:p w14:paraId="51E83091">
            <w:pPr>
              <w:spacing w:line="420" w:lineRule="exact"/>
              <w:jc w:val="center"/>
              <w:rPr>
                <w:rFonts w:ascii="宋体" w:hAnsi="宋体"/>
                <w:color w:val="auto"/>
                <w:szCs w:val="21"/>
                <w:highlight w:val="none"/>
              </w:rPr>
            </w:pPr>
          </w:p>
        </w:tc>
      </w:tr>
      <w:tr w14:paraId="7977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14:paraId="16159931">
            <w:pPr>
              <w:spacing w:line="420" w:lineRule="exact"/>
              <w:jc w:val="center"/>
              <w:rPr>
                <w:rFonts w:ascii="宋体" w:hAnsi="宋体"/>
                <w:color w:val="auto"/>
                <w:szCs w:val="21"/>
                <w:highlight w:val="none"/>
              </w:rPr>
            </w:pPr>
            <w:r>
              <w:rPr>
                <w:rFonts w:hint="eastAsia" w:ascii="宋体" w:hAnsi="宋体"/>
                <w:color w:val="auto"/>
                <w:szCs w:val="21"/>
                <w:highlight w:val="none"/>
              </w:rPr>
              <w:t>7</w:t>
            </w:r>
          </w:p>
        </w:tc>
        <w:tc>
          <w:tcPr>
            <w:tcW w:w="1169" w:type="dxa"/>
            <w:vAlign w:val="center"/>
          </w:tcPr>
          <w:p w14:paraId="01A06423">
            <w:pPr>
              <w:spacing w:line="420" w:lineRule="exact"/>
              <w:jc w:val="center"/>
              <w:rPr>
                <w:rFonts w:ascii="宋体" w:hAnsi="宋体"/>
                <w:color w:val="auto"/>
                <w:szCs w:val="21"/>
                <w:highlight w:val="none"/>
              </w:rPr>
            </w:pPr>
          </w:p>
        </w:tc>
        <w:tc>
          <w:tcPr>
            <w:tcW w:w="1797" w:type="dxa"/>
            <w:vAlign w:val="center"/>
          </w:tcPr>
          <w:p w14:paraId="26D33A69">
            <w:pPr>
              <w:spacing w:line="420" w:lineRule="exact"/>
              <w:jc w:val="center"/>
              <w:rPr>
                <w:rFonts w:ascii="宋体" w:hAnsi="宋体"/>
                <w:color w:val="auto"/>
                <w:szCs w:val="21"/>
                <w:highlight w:val="none"/>
              </w:rPr>
            </w:pPr>
          </w:p>
        </w:tc>
        <w:tc>
          <w:tcPr>
            <w:tcW w:w="1930" w:type="dxa"/>
            <w:vAlign w:val="center"/>
          </w:tcPr>
          <w:p w14:paraId="081EC2EB">
            <w:pPr>
              <w:spacing w:line="420" w:lineRule="exact"/>
              <w:jc w:val="center"/>
              <w:rPr>
                <w:rFonts w:ascii="宋体" w:hAnsi="宋体"/>
                <w:color w:val="auto"/>
                <w:szCs w:val="21"/>
                <w:highlight w:val="none"/>
              </w:rPr>
            </w:pPr>
          </w:p>
        </w:tc>
        <w:tc>
          <w:tcPr>
            <w:tcW w:w="1793" w:type="dxa"/>
            <w:vAlign w:val="center"/>
          </w:tcPr>
          <w:p w14:paraId="51E47102">
            <w:pPr>
              <w:spacing w:line="420" w:lineRule="exact"/>
              <w:jc w:val="center"/>
              <w:rPr>
                <w:rFonts w:ascii="宋体" w:hAnsi="宋体"/>
                <w:color w:val="auto"/>
                <w:szCs w:val="21"/>
                <w:highlight w:val="none"/>
              </w:rPr>
            </w:pPr>
          </w:p>
        </w:tc>
        <w:tc>
          <w:tcPr>
            <w:tcW w:w="1431" w:type="dxa"/>
            <w:vAlign w:val="center"/>
          </w:tcPr>
          <w:p w14:paraId="38834C5D">
            <w:pPr>
              <w:spacing w:line="420" w:lineRule="exact"/>
              <w:jc w:val="center"/>
              <w:rPr>
                <w:rFonts w:ascii="宋体" w:hAnsi="宋体"/>
                <w:color w:val="auto"/>
                <w:szCs w:val="21"/>
                <w:highlight w:val="none"/>
              </w:rPr>
            </w:pPr>
          </w:p>
        </w:tc>
        <w:tc>
          <w:tcPr>
            <w:tcW w:w="1520" w:type="dxa"/>
            <w:vAlign w:val="center"/>
          </w:tcPr>
          <w:p w14:paraId="5960FD92">
            <w:pPr>
              <w:spacing w:line="420" w:lineRule="exact"/>
              <w:jc w:val="center"/>
              <w:rPr>
                <w:rFonts w:ascii="宋体" w:hAnsi="宋体"/>
                <w:color w:val="auto"/>
                <w:szCs w:val="21"/>
                <w:highlight w:val="none"/>
              </w:rPr>
            </w:pPr>
          </w:p>
        </w:tc>
        <w:tc>
          <w:tcPr>
            <w:tcW w:w="1706" w:type="dxa"/>
            <w:vAlign w:val="center"/>
          </w:tcPr>
          <w:p w14:paraId="40058F86">
            <w:pPr>
              <w:spacing w:line="420" w:lineRule="exact"/>
              <w:jc w:val="center"/>
              <w:rPr>
                <w:rFonts w:ascii="宋体" w:hAnsi="宋体"/>
                <w:color w:val="auto"/>
                <w:szCs w:val="21"/>
                <w:highlight w:val="none"/>
              </w:rPr>
            </w:pPr>
          </w:p>
        </w:tc>
        <w:tc>
          <w:tcPr>
            <w:tcW w:w="1697" w:type="dxa"/>
          </w:tcPr>
          <w:p w14:paraId="0B3C1FA8">
            <w:pPr>
              <w:spacing w:line="420" w:lineRule="exact"/>
              <w:jc w:val="center"/>
              <w:rPr>
                <w:rFonts w:ascii="宋体" w:hAnsi="宋体"/>
                <w:color w:val="auto"/>
                <w:szCs w:val="21"/>
                <w:highlight w:val="none"/>
              </w:rPr>
            </w:pPr>
          </w:p>
        </w:tc>
      </w:tr>
      <w:bookmarkEnd w:id="497"/>
    </w:tbl>
    <w:p w14:paraId="58938266">
      <w:pPr>
        <w:spacing w:after="240" w:afterLines="100"/>
        <w:rPr>
          <w:color w:val="auto"/>
          <w:szCs w:val="44"/>
          <w:highlight w:val="none"/>
        </w:rPr>
      </w:pPr>
    </w:p>
    <w:p w14:paraId="396852E2">
      <w:pPr>
        <w:adjustRightInd w:val="0"/>
        <w:snapToGrid w:val="0"/>
        <w:spacing w:line="440" w:lineRule="exact"/>
        <w:rPr>
          <w:rFonts w:ascii="黑体" w:eastAsia="黑体"/>
          <w:color w:val="auto"/>
          <w:sz w:val="24"/>
          <w:highlight w:val="none"/>
        </w:rPr>
      </w:pPr>
    </w:p>
    <w:p w14:paraId="6AB5408E">
      <w:pPr>
        <w:adjustRightInd w:val="0"/>
        <w:snapToGrid w:val="0"/>
        <w:spacing w:line="440" w:lineRule="exact"/>
        <w:rPr>
          <w:rFonts w:ascii="黑体" w:eastAsia="黑体"/>
          <w:color w:val="auto"/>
          <w:sz w:val="24"/>
          <w:highlight w:val="none"/>
        </w:rPr>
        <w:sectPr>
          <w:footerReference r:id="rId38" w:type="default"/>
          <w:footerReference r:id="rId39" w:type="even"/>
          <w:pgSz w:w="16838" w:h="11906" w:orient="landscape"/>
          <w:pgMar w:top="1797" w:right="1440" w:bottom="1797" w:left="1440" w:header="851" w:footer="851" w:gutter="0"/>
          <w:cols w:space="720" w:num="1"/>
          <w:docGrid w:linePitch="312" w:charSpace="0"/>
        </w:sectPr>
      </w:pPr>
    </w:p>
    <w:p w14:paraId="254427B1">
      <w:pPr>
        <w:pStyle w:val="25"/>
        <w:rPr>
          <w:color w:val="auto"/>
          <w:highlight w:val="none"/>
        </w:rPr>
      </w:pPr>
      <w:bookmarkStart w:id="498" w:name="_Toc256000131"/>
      <w:bookmarkStart w:id="499" w:name="_Toc10252"/>
      <w:bookmarkStart w:id="500" w:name="_Toc165804448"/>
      <w:bookmarkStart w:id="501" w:name="_Toc30278"/>
      <w:bookmarkStart w:id="502" w:name="_Toc22259"/>
      <w:bookmarkStart w:id="503" w:name="_Toc166"/>
      <w:r>
        <w:rPr>
          <w:color w:val="auto"/>
          <w:highlight w:val="none"/>
        </w:rPr>
        <w:t>附表A-2：评标专家</w:t>
      </w:r>
      <w:r>
        <w:rPr>
          <w:rFonts w:hint="eastAsia"/>
          <w:color w:val="auto"/>
          <w:highlight w:val="none"/>
        </w:rPr>
        <w:t>告知承诺函</w:t>
      </w:r>
      <w:bookmarkEnd w:id="498"/>
      <w:bookmarkEnd w:id="499"/>
      <w:bookmarkEnd w:id="500"/>
      <w:bookmarkEnd w:id="501"/>
      <w:bookmarkEnd w:id="502"/>
      <w:bookmarkEnd w:id="503"/>
    </w:p>
    <w:p w14:paraId="5B6689AD">
      <w:pPr>
        <w:adjustRightInd w:val="0"/>
        <w:snapToGrid w:val="0"/>
        <w:spacing w:line="440" w:lineRule="exact"/>
        <w:rPr>
          <w:rFonts w:ascii="黑体" w:eastAsia="黑体"/>
          <w:color w:val="auto"/>
          <w:sz w:val="24"/>
          <w:highlight w:val="none"/>
        </w:rPr>
      </w:pPr>
    </w:p>
    <w:p w14:paraId="022DF6E7">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评标专家告知承诺函</w:t>
      </w:r>
    </w:p>
    <w:p w14:paraId="507A326C">
      <w:pPr>
        <w:spacing w:line="360" w:lineRule="auto"/>
        <w:ind w:firstLine="420" w:firstLineChars="200"/>
        <w:rPr>
          <w:color w:val="auto"/>
          <w:highlight w:val="none"/>
        </w:rPr>
      </w:pPr>
    </w:p>
    <w:p w14:paraId="74B745C8">
      <w:pPr>
        <w:spacing w:line="360" w:lineRule="auto"/>
        <w:ind w:firstLine="420" w:firstLineChars="200"/>
        <w:rPr>
          <w:color w:val="auto"/>
          <w:highlight w:val="none"/>
        </w:rPr>
      </w:pPr>
      <w:r>
        <w:rPr>
          <w:color w:val="auto"/>
          <w:highlight w:val="none"/>
        </w:rPr>
        <w:t>本人接受招标人邀请，担任</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w:t>
      </w:r>
      <w:r>
        <w:rPr>
          <w:color w:val="auto"/>
          <w:highlight w:val="none"/>
        </w:rPr>
        <w:t>招标的评标专家。</w:t>
      </w:r>
    </w:p>
    <w:p w14:paraId="02A6217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本人作为辽宁省评标专家库评标专家，已知悉相关权利义务，已熟知告知承诺函内容，并在此郑重承诺:</w:t>
      </w:r>
    </w:p>
    <w:p w14:paraId="2AF2E4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一、尽职承诺</w:t>
      </w:r>
    </w:p>
    <w:p w14:paraId="5C22DC8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（一）客观、公正地履行职务，严格按照法律法规规定、评标办法独立完成该项目的评标工作。</w:t>
      </w:r>
    </w:p>
    <w:p w14:paraId="4BC1854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（二）严格遵守评标纪律，保证评标过程中不发表任何涉及实质性内容的倾向性、引导性言论，不擅离职守。</w:t>
      </w:r>
    </w:p>
    <w:p w14:paraId="140390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严格遵守《中华人民共和国招标投标法》《中华人民共和国保守国家秘密法》《中华人民共和国招标投标法实施条例》相关规定，遵守职业道德，对所提出的评审意见承担个人责任，自觉维护国家利益、社会公共利益。</w:t>
      </w:r>
    </w:p>
    <w:p w14:paraId="34DD5F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（四）对依法应当否决的投标提出否决意见。</w:t>
      </w:r>
    </w:p>
    <w:p w14:paraId="7A78AE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二、回避承诺</w:t>
      </w:r>
    </w:p>
    <w:p w14:paraId="3B95A2A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（一）与招标人或投标人的主要负责人不存在近亲属关系。</w:t>
      </w:r>
    </w:p>
    <w:p w14:paraId="0BB3CD3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（二）非项目主管部门或者行政监督部门的人员。</w:t>
      </w:r>
    </w:p>
    <w:p w14:paraId="155542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（三）近</w:t>
      </w:r>
      <w:r>
        <w:rPr>
          <w:rFonts w:ascii="宋体" w:hAnsi="宋体"/>
          <w:color w:val="auto"/>
          <w:szCs w:val="21"/>
          <w:highlight w:val="none"/>
        </w:rPr>
        <w:t>5</w:t>
      </w:r>
      <w:r>
        <w:rPr>
          <w:rFonts w:hint="eastAsia" w:ascii="宋体" w:hAnsi="宋体"/>
          <w:color w:val="auto"/>
          <w:szCs w:val="21"/>
          <w:highlight w:val="none"/>
        </w:rPr>
        <w:t>年未与投标人或者投标人主要负责人有其他社会关系或者经济利益关系。</w:t>
      </w:r>
    </w:p>
    <w:p w14:paraId="4F4FD25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（四）未曾因在招标、评标以及其他与招标投标有关活动中从事违法行为而受过行政处罚或刑事处罚的。</w:t>
      </w:r>
    </w:p>
    <w:p w14:paraId="20BE4A2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三、保密承诺</w:t>
      </w:r>
    </w:p>
    <w:p w14:paraId="272E1D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（一）不在公共社交网站、媒体、平台，如微信群、QQ群、朋友圈、个人微博等，通过视频、图片、暗语等方式泄露评标任务。</w:t>
      </w:r>
    </w:p>
    <w:p w14:paraId="0DEB41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（二）评审结束时，全部清退不应由个人持有的评审项目所有文件和资料，不向任何人透露投标文件的评审和比较情况、中标候选人推荐情况以及与评审有关的其他情况。</w:t>
      </w:r>
    </w:p>
    <w:p w14:paraId="7F7351B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四、廉洁承诺</w:t>
      </w:r>
    </w:p>
    <w:p w14:paraId="6BB8D6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（一）严格履行廉政自律责任，遵守评标廉政纪律，没有私下接触招标人、招标代理机构、投标人，没有收受利益相关人或企业的财物、好处。</w:t>
      </w:r>
    </w:p>
    <w:p w14:paraId="22916D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（二）不向招标人征询确定中标人的意向或者接受任何单位、个人明示暗示特定投标人的要求。</w:t>
      </w:r>
    </w:p>
    <w:p w14:paraId="49708C6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（三）不暗示或者诱导投标人作出澄清、说明或者接受投标人主动提出的澄清、说明。</w:t>
      </w:r>
    </w:p>
    <w:p w14:paraId="40C7C97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（四）自觉抵制招标投标活动中的违法违规行为，积极配合协助行政监督部门、纪检监察部门、公安部门、检察机关等依法进行监督。</w:t>
      </w:r>
    </w:p>
    <w:p w14:paraId="685A4C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五、不参与串通投标承诺</w:t>
      </w:r>
    </w:p>
    <w:p w14:paraId="4F73E59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（一）依法依规参加本招标项目的评标工作，不参与串通投标。</w:t>
      </w:r>
    </w:p>
    <w:p w14:paraId="51652F1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（二）清楚并知晓《中华人民共和国刑法》第一百六十三条“公司、</w:t>
      </w:r>
      <w:r>
        <w:rPr>
          <w:rFonts w:ascii="宋体" w:hAnsi="宋体"/>
          <w:color w:val="auto"/>
          <w:szCs w:val="21"/>
          <w:highlight w:val="none"/>
        </w:rPr>
        <w:t>企业</w:t>
      </w:r>
      <w:r>
        <w:rPr>
          <w:rFonts w:hint="eastAsia" w:ascii="宋体" w:hAnsi="宋体"/>
          <w:color w:val="auto"/>
          <w:szCs w:val="21"/>
          <w:highlight w:val="none"/>
        </w:rPr>
        <w:t>或者其他单位</w:t>
      </w:r>
      <w:r>
        <w:rPr>
          <w:rFonts w:ascii="宋体" w:hAnsi="宋体"/>
          <w:color w:val="auto"/>
          <w:szCs w:val="21"/>
          <w:highlight w:val="none"/>
        </w:rPr>
        <w:t>的</w:t>
      </w:r>
      <w:r>
        <w:rPr>
          <w:rFonts w:hint="eastAsia" w:ascii="宋体" w:hAnsi="宋体"/>
          <w:color w:val="auto"/>
          <w:szCs w:val="21"/>
          <w:highlight w:val="none"/>
        </w:rPr>
        <w:t>工作人员，利用职务上的便利，</w:t>
      </w:r>
      <w:r>
        <w:rPr>
          <w:rFonts w:ascii="宋体" w:hAnsi="宋体"/>
          <w:color w:val="auto"/>
          <w:szCs w:val="21"/>
          <w:highlight w:val="none"/>
        </w:rPr>
        <w:t>索取他人财物或者非法收受他</w:t>
      </w:r>
      <w:r>
        <w:rPr>
          <w:rFonts w:hint="eastAsia" w:ascii="宋体" w:hAnsi="宋体"/>
          <w:color w:val="auto"/>
          <w:szCs w:val="21"/>
          <w:highlight w:val="none"/>
        </w:rPr>
        <w:t>人财物，</w:t>
      </w:r>
      <w:r>
        <w:rPr>
          <w:rFonts w:ascii="宋体" w:hAnsi="宋体"/>
          <w:color w:val="auto"/>
          <w:szCs w:val="21"/>
          <w:highlight w:val="none"/>
        </w:rPr>
        <w:t>为他人谋取利益</w:t>
      </w:r>
      <w:r>
        <w:rPr>
          <w:rFonts w:hint="eastAsia" w:ascii="宋体" w:hAnsi="宋体"/>
          <w:color w:val="auto"/>
          <w:szCs w:val="21"/>
          <w:highlight w:val="none"/>
        </w:rPr>
        <w:t>，</w:t>
      </w:r>
      <w:r>
        <w:rPr>
          <w:rFonts w:ascii="宋体" w:hAnsi="宋体"/>
          <w:color w:val="auto"/>
          <w:szCs w:val="21"/>
          <w:highlight w:val="none"/>
        </w:rPr>
        <w:t>数额较大的</w:t>
      </w:r>
      <w:r>
        <w:rPr>
          <w:rFonts w:hint="eastAsia" w:ascii="宋体" w:hAnsi="宋体"/>
          <w:color w:val="auto"/>
          <w:szCs w:val="21"/>
          <w:highlight w:val="none"/>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color w:val="auto"/>
          <w:szCs w:val="21"/>
          <w:highlight w:val="none"/>
        </w:rPr>
        <w:t>徒刑</w:t>
      </w:r>
      <w:r>
        <w:rPr>
          <w:rFonts w:hint="eastAsia" w:ascii="宋体" w:hAnsi="宋体"/>
          <w:color w:val="auto"/>
          <w:szCs w:val="21"/>
          <w:highlight w:val="none"/>
        </w:rPr>
        <w:t>，</w:t>
      </w:r>
      <w:r>
        <w:rPr>
          <w:rFonts w:ascii="宋体" w:hAnsi="宋体"/>
          <w:color w:val="auto"/>
          <w:szCs w:val="21"/>
          <w:highlight w:val="none"/>
        </w:rPr>
        <w:t>并处</w:t>
      </w:r>
      <w:r>
        <w:rPr>
          <w:rFonts w:hint="eastAsia" w:ascii="宋体" w:hAnsi="宋体"/>
          <w:color w:val="auto"/>
          <w:szCs w:val="21"/>
          <w:highlight w:val="none"/>
        </w:rPr>
        <w:t>罚金”的规定。</w:t>
      </w:r>
    </w:p>
    <w:p w14:paraId="422B8B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（三）本人如被查实在本招标项目评标工作中参与串通投标的，自愿承担相应法律责任，接受相应刑事和纪律、行政处罚以及失信惩戒。</w:t>
      </w:r>
    </w:p>
    <w:p w14:paraId="5804D1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六、本承诺函由我本人亲自签字确认。</w:t>
      </w:r>
    </w:p>
    <w:p w14:paraId="5E2ED9E1">
      <w:pPr>
        <w:spacing w:line="360" w:lineRule="auto"/>
        <w:ind w:firstLine="420" w:firstLineChars="200"/>
        <w:rPr>
          <w:rFonts w:ascii="宋体" w:hAnsi="宋体"/>
          <w:color w:val="auto"/>
          <w:szCs w:val="21"/>
          <w:highlight w:val="none"/>
        </w:rPr>
      </w:pPr>
    </w:p>
    <w:p w14:paraId="22526571">
      <w:pPr>
        <w:spacing w:line="360" w:lineRule="auto"/>
        <w:ind w:firstLine="420" w:firstLineChars="200"/>
        <w:rPr>
          <w:rFonts w:ascii="宋体" w:hAnsi="宋体"/>
          <w:color w:val="auto"/>
          <w:szCs w:val="21"/>
          <w:highlight w:val="none"/>
        </w:rPr>
      </w:pPr>
    </w:p>
    <w:p w14:paraId="75BCFAD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本人是□ 否□ 为中共党员 </w:t>
      </w:r>
    </w:p>
    <w:p w14:paraId="256C584C">
      <w:pPr>
        <w:spacing w:line="360" w:lineRule="auto"/>
        <w:ind w:firstLine="1680" w:firstLineChars="800"/>
        <w:rPr>
          <w:rFonts w:ascii="宋体" w:hAnsi="宋体"/>
          <w:color w:val="auto"/>
          <w:szCs w:val="21"/>
          <w:highlight w:val="none"/>
        </w:rPr>
      </w:pPr>
      <w:r>
        <w:rPr>
          <w:rFonts w:hint="eastAsia" w:ascii="宋体" w:hAnsi="宋体"/>
          <w:color w:val="auto"/>
          <w:szCs w:val="21"/>
          <w:highlight w:val="none"/>
        </w:rPr>
        <w:t>（应单选，</w:t>
      </w:r>
      <w:r>
        <w:rPr>
          <w:rFonts w:hint="eastAsia" w:ascii="宋体" w:hAnsi="宋体"/>
          <w:b/>
          <w:bCs/>
          <w:color w:val="auto"/>
          <w:szCs w:val="21"/>
          <w:highlight w:val="none"/>
          <w:shd w:val="clear" w:color="auto" w:fill="FFFFFF"/>
        </w:rPr>
        <w:t>并在方框内打“√”</w:t>
      </w:r>
      <w:r>
        <w:rPr>
          <w:rFonts w:hint="eastAsia" w:ascii="宋体" w:hAnsi="宋体"/>
          <w:color w:val="auto"/>
          <w:szCs w:val="21"/>
          <w:highlight w:val="none"/>
        </w:rPr>
        <w:t>）</w:t>
      </w:r>
    </w:p>
    <w:p w14:paraId="2703F475">
      <w:pPr>
        <w:spacing w:line="360" w:lineRule="auto"/>
        <w:ind w:firstLine="1260" w:firstLineChars="600"/>
        <w:rPr>
          <w:rFonts w:ascii="宋体" w:hAnsi="宋体"/>
          <w:color w:val="auto"/>
          <w:szCs w:val="21"/>
          <w:highlight w:val="none"/>
        </w:rPr>
      </w:pPr>
    </w:p>
    <w:p w14:paraId="1D116711">
      <w:pPr>
        <w:spacing w:line="360" w:lineRule="auto"/>
        <w:ind w:firstLine="1260" w:firstLineChars="600"/>
        <w:rPr>
          <w:rFonts w:ascii="宋体" w:hAnsi="宋体"/>
          <w:color w:val="auto"/>
          <w:szCs w:val="21"/>
          <w:highlight w:val="none"/>
        </w:rPr>
      </w:pPr>
    </w:p>
    <w:p w14:paraId="76AC78C4">
      <w:pPr>
        <w:spacing w:line="360" w:lineRule="auto"/>
        <w:ind w:firstLine="1260" w:firstLineChars="600"/>
        <w:rPr>
          <w:rFonts w:ascii="宋体" w:hAnsi="宋体"/>
          <w:color w:val="auto"/>
          <w:szCs w:val="21"/>
          <w:highlight w:val="none"/>
        </w:rPr>
      </w:pPr>
    </w:p>
    <w:p w14:paraId="14495F88">
      <w:pPr>
        <w:spacing w:line="360" w:lineRule="auto"/>
        <w:ind w:firstLine="420" w:firstLineChars="200"/>
        <w:jc w:val="cente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 诺 人：             （签字）</w:t>
      </w:r>
    </w:p>
    <w:p w14:paraId="25B6A066">
      <w:pPr>
        <w:spacing w:line="360" w:lineRule="auto"/>
        <w:ind w:firstLine="1260" w:firstLineChars="600"/>
        <w:rPr>
          <w:rFonts w:ascii="宋体" w:hAnsi="宋体"/>
          <w:color w:val="auto"/>
          <w:szCs w:val="21"/>
          <w:highlight w:val="none"/>
        </w:rPr>
      </w:pPr>
    </w:p>
    <w:p w14:paraId="7B302461">
      <w:pPr>
        <w:spacing w:line="360" w:lineRule="auto"/>
        <w:ind w:right="840" w:firstLine="420" w:firstLineChars="200"/>
        <w:jc w:val="cente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承诺时间： </w:t>
      </w:r>
      <w:r>
        <w:rPr>
          <w:rFonts w:ascii="宋体" w:hAnsi="宋体"/>
          <w:color w:val="auto"/>
          <w:szCs w:val="21"/>
          <w:highlight w:val="none"/>
        </w:rPr>
        <w:t xml:space="preserve">   </w:t>
      </w:r>
      <w:r>
        <w:rPr>
          <w:rFonts w:hint="eastAsia" w:ascii="宋体" w:hAnsi="宋体"/>
          <w:color w:val="auto"/>
          <w:szCs w:val="21"/>
          <w:highlight w:val="none"/>
        </w:rPr>
        <w:t xml:space="preserve">年  </w:t>
      </w:r>
      <w:r>
        <w:rPr>
          <w:rFonts w:ascii="宋体" w:hAnsi="宋体"/>
          <w:color w:val="auto"/>
          <w:szCs w:val="21"/>
          <w:highlight w:val="none"/>
        </w:rPr>
        <w:t xml:space="preserve"> </w:t>
      </w:r>
      <w:r>
        <w:rPr>
          <w:rFonts w:hint="eastAsia" w:ascii="宋体" w:hAnsi="宋体"/>
          <w:color w:val="auto"/>
          <w:szCs w:val="21"/>
          <w:highlight w:val="none"/>
        </w:rPr>
        <w:t>月  日</w:t>
      </w:r>
    </w:p>
    <w:p w14:paraId="44DB8DF5">
      <w:pPr>
        <w:spacing w:line="360" w:lineRule="auto"/>
        <w:ind w:firstLine="420" w:firstLineChars="200"/>
        <w:rPr>
          <w:rFonts w:ascii="宋体" w:hAnsi="宋体"/>
          <w:color w:val="auto"/>
          <w:szCs w:val="21"/>
          <w:highlight w:val="none"/>
        </w:rPr>
      </w:pPr>
    </w:p>
    <w:p w14:paraId="480E530D">
      <w:pPr>
        <w:spacing w:line="430" w:lineRule="exact"/>
        <w:ind w:firstLine="420" w:firstLineChars="200"/>
        <w:rPr>
          <w:color w:val="auto"/>
          <w:highlight w:val="none"/>
        </w:rPr>
      </w:pPr>
    </w:p>
    <w:p w14:paraId="475E0457">
      <w:pPr>
        <w:spacing w:line="430" w:lineRule="exact"/>
        <w:ind w:firstLine="5460" w:firstLineChars="2600"/>
        <w:rPr>
          <w:color w:val="auto"/>
          <w:highlight w:val="none"/>
        </w:rPr>
      </w:pPr>
    </w:p>
    <w:p w14:paraId="79AAF29A">
      <w:pPr>
        <w:spacing w:line="430" w:lineRule="exact"/>
        <w:ind w:firstLine="5460" w:firstLineChars="2600"/>
        <w:rPr>
          <w:color w:val="auto"/>
          <w:highlight w:val="none"/>
        </w:rPr>
      </w:pPr>
      <w:r>
        <w:rPr>
          <w:color w:val="auto"/>
          <w:highlight w:val="none"/>
        </w:rPr>
        <w:br w:type="page"/>
      </w:r>
    </w:p>
    <w:p w14:paraId="1217A06A">
      <w:pPr>
        <w:pStyle w:val="25"/>
        <w:ind w:firstLine="118"/>
        <w:rPr>
          <w:color w:val="auto"/>
          <w:highlight w:val="none"/>
        </w:rPr>
      </w:pPr>
      <w:bookmarkStart w:id="504" w:name="_Toc165804449"/>
      <w:bookmarkStart w:id="505" w:name="_Toc256000132"/>
      <w:bookmarkStart w:id="506" w:name="_Toc787"/>
      <w:bookmarkStart w:id="507" w:name="_Toc29916"/>
      <w:bookmarkStart w:id="508" w:name="_Toc17954"/>
      <w:bookmarkStart w:id="509" w:name="_Toc3580"/>
      <w:bookmarkStart w:id="510" w:name="_Toc31675"/>
      <w:bookmarkStart w:id="511" w:name="_Toc145516052"/>
      <w:r>
        <w:rPr>
          <w:color w:val="auto"/>
          <w:highlight w:val="none"/>
        </w:rPr>
        <w:t>附表A-3：技术暗标编号确认表</w:t>
      </w:r>
      <w:bookmarkEnd w:id="504"/>
      <w:bookmarkEnd w:id="505"/>
      <w:bookmarkEnd w:id="506"/>
      <w:bookmarkEnd w:id="507"/>
      <w:bookmarkEnd w:id="508"/>
      <w:bookmarkEnd w:id="509"/>
      <w:bookmarkEnd w:id="510"/>
    </w:p>
    <w:p w14:paraId="576624A3">
      <w:pPr>
        <w:rPr>
          <w:color w:val="auto"/>
          <w:highlight w:val="none"/>
        </w:rPr>
      </w:pPr>
    </w:p>
    <w:p w14:paraId="0B94062A">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512" w:name="_Toc148976152"/>
      <w:bookmarkStart w:id="513" w:name="_Toc148971944"/>
      <w:bookmarkStart w:id="514" w:name="_Toc5186"/>
      <w:r>
        <w:rPr>
          <w:rFonts w:hint="eastAsia" w:ascii="黑体" w:hAnsi="黑体" w:eastAsia="黑体"/>
          <w:color w:val="auto"/>
          <w:sz w:val="36"/>
          <w:szCs w:val="36"/>
          <w:highlight w:val="none"/>
        </w:rPr>
        <w:t>技术暗标编号确认表</w:t>
      </w:r>
      <w:bookmarkEnd w:id="511"/>
      <w:bookmarkEnd w:id="512"/>
      <w:bookmarkEnd w:id="513"/>
      <w:bookmarkEnd w:id="514"/>
    </w:p>
    <w:p w14:paraId="4D338FDC">
      <w:pPr>
        <w:rPr>
          <w:rFonts w:ascii="宋体" w:hAnsi="宋体"/>
          <w:color w:val="auto"/>
          <w:szCs w:val="44"/>
          <w:highlight w:val="none"/>
        </w:rPr>
      </w:pPr>
      <w:r>
        <w:rPr>
          <w:rFonts w:hint="eastAsia" w:ascii="宋体" w:hAnsi="宋体"/>
          <w:color w:val="auto"/>
          <w:szCs w:val="44"/>
          <w:highlight w:val="none"/>
        </w:rPr>
        <w:t>标段名称：</w:t>
      </w:r>
    </w:p>
    <w:p w14:paraId="45BAC124">
      <w:pPr>
        <w:rPr>
          <w:color w:val="auto"/>
          <w:szCs w:val="44"/>
          <w:highlight w:val="none"/>
        </w:rPr>
      </w:pPr>
      <w:r>
        <w:rPr>
          <w:rFonts w:hint="eastAsia"/>
          <w:color w:val="auto"/>
          <w:szCs w:val="44"/>
          <w:highlight w:val="none"/>
        </w:rPr>
        <w:t>标段唯一标识码：</w:t>
      </w:r>
    </w:p>
    <w:tbl>
      <w:tblPr>
        <w:tblStyle w:val="12"/>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14:paraId="58F7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07" w:type="dxa"/>
            <w:vMerge w:val="restart"/>
            <w:vAlign w:val="center"/>
          </w:tcPr>
          <w:p w14:paraId="32469C39">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1942" w:type="dxa"/>
            <w:vMerge w:val="restart"/>
            <w:vAlign w:val="center"/>
          </w:tcPr>
          <w:p w14:paraId="0AF4BC79">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6630" w:type="dxa"/>
            <w:gridSpan w:val="9"/>
          </w:tcPr>
          <w:p w14:paraId="2266FA6C">
            <w:pPr>
              <w:jc w:val="center"/>
              <w:rPr>
                <w:rFonts w:ascii="宋体" w:hAnsi="宋体"/>
                <w:b/>
                <w:bCs/>
                <w:color w:val="auto"/>
                <w:szCs w:val="21"/>
                <w:highlight w:val="none"/>
              </w:rPr>
            </w:pPr>
            <w:r>
              <w:rPr>
                <w:rFonts w:hint="eastAsia" w:ascii="宋体" w:hAnsi="宋体"/>
                <w:b/>
                <w:bCs/>
                <w:color w:val="auto"/>
                <w:szCs w:val="21"/>
                <w:highlight w:val="none"/>
              </w:rPr>
              <w:t>评审因素及暗标编号</w:t>
            </w:r>
          </w:p>
        </w:tc>
      </w:tr>
      <w:tr w14:paraId="0895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14:paraId="73A20972">
            <w:pPr>
              <w:jc w:val="center"/>
              <w:rPr>
                <w:rFonts w:ascii="宋体" w:hAnsi="宋体"/>
                <w:b/>
                <w:bCs/>
                <w:color w:val="auto"/>
                <w:szCs w:val="21"/>
                <w:highlight w:val="none"/>
              </w:rPr>
            </w:pPr>
          </w:p>
        </w:tc>
        <w:tc>
          <w:tcPr>
            <w:tcW w:w="1942" w:type="dxa"/>
            <w:vMerge w:val="continue"/>
          </w:tcPr>
          <w:p w14:paraId="45B3ECC2">
            <w:pPr>
              <w:jc w:val="center"/>
              <w:rPr>
                <w:rFonts w:ascii="宋体" w:hAnsi="宋体"/>
                <w:b/>
                <w:bCs/>
                <w:color w:val="auto"/>
                <w:szCs w:val="21"/>
                <w:highlight w:val="none"/>
              </w:rPr>
            </w:pPr>
          </w:p>
        </w:tc>
        <w:tc>
          <w:tcPr>
            <w:tcW w:w="750" w:type="dxa"/>
            <w:vAlign w:val="center"/>
          </w:tcPr>
          <w:p w14:paraId="3F784F0E">
            <w:pPr>
              <w:jc w:val="center"/>
              <w:rPr>
                <w:rFonts w:ascii="宋体" w:hAnsi="宋体"/>
                <w:b/>
                <w:bCs/>
                <w:color w:val="auto"/>
                <w:szCs w:val="21"/>
                <w:highlight w:val="none"/>
              </w:rPr>
            </w:pPr>
          </w:p>
        </w:tc>
        <w:tc>
          <w:tcPr>
            <w:tcW w:w="751" w:type="dxa"/>
            <w:vAlign w:val="center"/>
          </w:tcPr>
          <w:p w14:paraId="16CA6B58">
            <w:pPr>
              <w:jc w:val="center"/>
              <w:rPr>
                <w:rFonts w:ascii="宋体" w:hAnsi="宋体"/>
                <w:b/>
                <w:bCs/>
                <w:color w:val="auto"/>
                <w:szCs w:val="21"/>
                <w:highlight w:val="none"/>
              </w:rPr>
            </w:pPr>
          </w:p>
        </w:tc>
        <w:tc>
          <w:tcPr>
            <w:tcW w:w="751" w:type="dxa"/>
            <w:vAlign w:val="center"/>
          </w:tcPr>
          <w:p w14:paraId="517B4770">
            <w:pPr>
              <w:jc w:val="center"/>
              <w:rPr>
                <w:rFonts w:ascii="宋体" w:hAnsi="宋体"/>
                <w:b/>
                <w:bCs/>
                <w:color w:val="auto"/>
                <w:szCs w:val="21"/>
                <w:highlight w:val="none"/>
              </w:rPr>
            </w:pPr>
          </w:p>
        </w:tc>
        <w:tc>
          <w:tcPr>
            <w:tcW w:w="751" w:type="dxa"/>
            <w:vAlign w:val="center"/>
          </w:tcPr>
          <w:p w14:paraId="0FCF5D54">
            <w:pPr>
              <w:jc w:val="center"/>
              <w:rPr>
                <w:rFonts w:ascii="宋体" w:hAnsi="宋体"/>
                <w:b/>
                <w:bCs/>
                <w:color w:val="auto"/>
                <w:szCs w:val="21"/>
                <w:highlight w:val="none"/>
              </w:rPr>
            </w:pPr>
          </w:p>
        </w:tc>
        <w:tc>
          <w:tcPr>
            <w:tcW w:w="750" w:type="dxa"/>
            <w:vAlign w:val="center"/>
          </w:tcPr>
          <w:p w14:paraId="6C11E77F">
            <w:pPr>
              <w:jc w:val="center"/>
              <w:rPr>
                <w:rFonts w:ascii="宋体" w:hAnsi="宋体"/>
                <w:b/>
                <w:bCs/>
                <w:color w:val="auto"/>
                <w:szCs w:val="21"/>
                <w:highlight w:val="none"/>
              </w:rPr>
            </w:pPr>
          </w:p>
        </w:tc>
        <w:tc>
          <w:tcPr>
            <w:tcW w:w="751" w:type="dxa"/>
            <w:vAlign w:val="center"/>
          </w:tcPr>
          <w:p w14:paraId="56901E52">
            <w:pPr>
              <w:jc w:val="center"/>
              <w:rPr>
                <w:rFonts w:ascii="宋体" w:hAnsi="宋体"/>
                <w:b/>
                <w:bCs/>
                <w:color w:val="auto"/>
                <w:szCs w:val="21"/>
                <w:highlight w:val="none"/>
              </w:rPr>
            </w:pPr>
          </w:p>
        </w:tc>
        <w:tc>
          <w:tcPr>
            <w:tcW w:w="751" w:type="dxa"/>
            <w:vAlign w:val="center"/>
          </w:tcPr>
          <w:p w14:paraId="0C5BFC36">
            <w:pPr>
              <w:jc w:val="center"/>
              <w:rPr>
                <w:rFonts w:ascii="宋体" w:hAnsi="宋体"/>
                <w:b/>
                <w:bCs/>
                <w:color w:val="auto"/>
                <w:szCs w:val="21"/>
                <w:highlight w:val="none"/>
              </w:rPr>
            </w:pPr>
          </w:p>
        </w:tc>
        <w:tc>
          <w:tcPr>
            <w:tcW w:w="751" w:type="dxa"/>
            <w:vAlign w:val="center"/>
          </w:tcPr>
          <w:p w14:paraId="2852F129">
            <w:pPr>
              <w:jc w:val="center"/>
              <w:rPr>
                <w:rFonts w:ascii="宋体" w:hAnsi="宋体"/>
                <w:b/>
                <w:bCs/>
                <w:color w:val="auto"/>
                <w:szCs w:val="21"/>
                <w:highlight w:val="none"/>
              </w:rPr>
            </w:pPr>
          </w:p>
        </w:tc>
        <w:tc>
          <w:tcPr>
            <w:tcW w:w="624" w:type="dxa"/>
            <w:vAlign w:val="center"/>
          </w:tcPr>
          <w:p w14:paraId="14EBE92D">
            <w:pPr>
              <w:jc w:val="center"/>
              <w:rPr>
                <w:rFonts w:ascii="宋体" w:hAnsi="宋体"/>
                <w:b/>
                <w:bCs/>
                <w:color w:val="auto"/>
                <w:szCs w:val="21"/>
                <w:highlight w:val="none"/>
              </w:rPr>
            </w:pPr>
          </w:p>
        </w:tc>
      </w:tr>
      <w:tr w14:paraId="66BE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1D87148C">
            <w:pPr>
              <w:jc w:val="center"/>
              <w:rPr>
                <w:rFonts w:ascii="宋体" w:hAnsi="宋体"/>
                <w:color w:val="auto"/>
                <w:szCs w:val="21"/>
                <w:highlight w:val="none"/>
              </w:rPr>
            </w:pPr>
            <w:r>
              <w:rPr>
                <w:rFonts w:hint="eastAsia" w:ascii="宋体" w:hAnsi="宋体"/>
                <w:color w:val="auto"/>
                <w:szCs w:val="21"/>
                <w:highlight w:val="none"/>
              </w:rPr>
              <w:t>1</w:t>
            </w:r>
          </w:p>
        </w:tc>
        <w:tc>
          <w:tcPr>
            <w:tcW w:w="1942" w:type="dxa"/>
            <w:vAlign w:val="center"/>
          </w:tcPr>
          <w:p w14:paraId="3A28C5BC">
            <w:pPr>
              <w:jc w:val="center"/>
              <w:rPr>
                <w:rFonts w:ascii="宋体" w:hAnsi="宋体"/>
                <w:color w:val="auto"/>
                <w:szCs w:val="21"/>
                <w:highlight w:val="none"/>
              </w:rPr>
            </w:pPr>
          </w:p>
        </w:tc>
        <w:tc>
          <w:tcPr>
            <w:tcW w:w="750" w:type="dxa"/>
            <w:vAlign w:val="center"/>
          </w:tcPr>
          <w:p w14:paraId="32D20426">
            <w:pPr>
              <w:jc w:val="center"/>
              <w:rPr>
                <w:rFonts w:ascii="宋体" w:hAnsi="宋体"/>
                <w:color w:val="auto"/>
                <w:szCs w:val="21"/>
                <w:highlight w:val="none"/>
              </w:rPr>
            </w:pPr>
          </w:p>
        </w:tc>
        <w:tc>
          <w:tcPr>
            <w:tcW w:w="751" w:type="dxa"/>
            <w:vAlign w:val="center"/>
          </w:tcPr>
          <w:p w14:paraId="6DBC02CB">
            <w:pPr>
              <w:jc w:val="center"/>
              <w:rPr>
                <w:rFonts w:ascii="宋体" w:hAnsi="宋体"/>
                <w:color w:val="auto"/>
                <w:szCs w:val="21"/>
                <w:highlight w:val="none"/>
              </w:rPr>
            </w:pPr>
          </w:p>
        </w:tc>
        <w:tc>
          <w:tcPr>
            <w:tcW w:w="751" w:type="dxa"/>
            <w:vAlign w:val="center"/>
          </w:tcPr>
          <w:p w14:paraId="424A2B88">
            <w:pPr>
              <w:jc w:val="center"/>
              <w:rPr>
                <w:rFonts w:ascii="宋体" w:hAnsi="宋体"/>
                <w:color w:val="auto"/>
                <w:szCs w:val="21"/>
                <w:highlight w:val="none"/>
              </w:rPr>
            </w:pPr>
          </w:p>
        </w:tc>
        <w:tc>
          <w:tcPr>
            <w:tcW w:w="751" w:type="dxa"/>
            <w:vAlign w:val="center"/>
          </w:tcPr>
          <w:p w14:paraId="78BC842B">
            <w:pPr>
              <w:jc w:val="center"/>
              <w:rPr>
                <w:rFonts w:ascii="宋体" w:hAnsi="宋体"/>
                <w:color w:val="auto"/>
                <w:szCs w:val="21"/>
                <w:highlight w:val="none"/>
              </w:rPr>
            </w:pPr>
          </w:p>
        </w:tc>
        <w:tc>
          <w:tcPr>
            <w:tcW w:w="750" w:type="dxa"/>
            <w:vAlign w:val="center"/>
          </w:tcPr>
          <w:p w14:paraId="23E42B19">
            <w:pPr>
              <w:jc w:val="center"/>
              <w:rPr>
                <w:rFonts w:ascii="宋体" w:hAnsi="宋体"/>
                <w:color w:val="auto"/>
                <w:szCs w:val="21"/>
                <w:highlight w:val="none"/>
              </w:rPr>
            </w:pPr>
          </w:p>
        </w:tc>
        <w:tc>
          <w:tcPr>
            <w:tcW w:w="751" w:type="dxa"/>
            <w:vAlign w:val="center"/>
          </w:tcPr>
          <w:p w14:paraId="141407D6">
            <w:pPr>
              <w:jc w:val="center"/>
              <w:rPr>
                <w:rFonts w:ascii="宋体" w:hAnsi="宋体"/>
                <w:color w:val="auto"/>
                <w:szCs w:val="21"/>
                <w:highlight w:val="none"/>
              </w:rPr>
            </w:pPr>
          </w:p>
        </w:tc>
        <w:tc>
          <w:tcPr>
            <w:tcW w:w="751" w:type="dxa"/>
            <w:vAlign w:val="center"/>
          </w:tcPr>
          <w:p w14:paraId="30103A38">
            <w:pPr>
              <w:jc w:val="center"/>
              <w:rPr>
                <w:rFonts w:ascii="宋体" w:hAnsi="宋体"/>
                <w:color w:val="auto"/>
                <w:szCs w:val="21"/>
                <w:highlight w:val="none"/>
              </w:rPr>
            </w:pPr>
          </w:p>
        </w:tc>
        <w:tc>
          <w:tcPr>
            <w:tcW w:w="751" w:type="dxa"/>
          </w:tcPr>
          <w:p w14:paraId="6665083B">
            <w:pPr>
              <w:jc w:val="center"/>
              <w:rPr>
                <w:rFonts w:ascii="宋体" w:hAnsi="宋体"/>
                <w:color w:val="auto"/>
                <w:szCs w:val="21"/>
                <w:highlight w:val="none"/>
              </w:rPr>
            </w:pPr>
          </w:p>
        </w:tc>
        <w:tc>
          <w:tcPr>
            <w:tcW w:w="624" w:type="dxa"/>
            <w:vAlign w:val="center"/>
          </w:tcPr>
          <w:p w14:paraId="2A625172">
            <w:pPr>
              <w:jc w:val="center"/>
              <w:rPr>
                <w:rFonts w:ascii="宋体" w:hAnsi="宋体"/>
                <w:color w:val="auto"/>
                <w:szCs w:val="21"/>
                <w:highlight w:val="none"/>
              </w:rPr>
            </w:pPr>
          </w:p>
        </w:tc>
      </w:tr>
      <w:tr w14:paraId="2130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3A8AF522">
            <w:pPr>
              <w:jc w:val="center"/>
              <w:rPr>
                <w:rFonts w:ascii="宋体" w:hAnsi="宋体"/>
                <w:color w:val="auto"/>
                <w:szCs w:val="21"/>
                <w:highlight w:val="none"/>
              </w:rPr>
            </w:pPr>
            <w:r>
              <w:rPr>
                <w:rFonts w:hint="eastAsia" w:ascii="宋体" w:hAnsi="宋体"/>
                <w:color w:val="auto"/>
                <w:szCs w:val="21"/>
                <w:highlight w:val="none"/>
              </w:rPr>
              <w:t>2</w:t>
            </w:r>
          </w:p>
        </w:tc>
        <w:tc>
          <w:tcPr>
            <w:tcW w:w="1942" w:type="dxa"/>
            <w:vAlign w:val="center"/>
          </w:tcPr>
          <w:p w14:paraId="57BBAC72">
            <w:pPr>
              <w:jc w:val="center"/>
              <w:rPr>
                <w:rFonts w:ascii="宋体" w:hAnsi="宋体"/>
                <w:color w:val="auto"/>
                <w:szCs w:val="21"/>
                <w:highlight w:val="none"/>
              </w:rPr>
            </w:pPr>
          </w:p>
        </w:tc>
        <w:tc>
          <w:tcPr>
            <w:tcW w:w="750" w:type="dxa"/>
            <w:vAlign w:val="center"/>
          </w:tcPr>
          <w:p w14:paraId="3A2E7CF5">
            <w:pPr>
              <w:jc w:val="center"/>
              <w:rPr>
                <w:rFonts w:ascii="宋体" w:hAnsi="宋体"/>
                <w:color w:val="auto"/>
                <w:szCs w:val="21"/>
                <w:highlight w:val="none"/>
              </w:rPr>
            </w:pPr>
          </w:p>
        </w:tc>
        <w:tc>
          <w:tcPr>
            <w:tcW w:w="751" w:type="dxa"/>
            <w:vAlign w:val="center"/>
          </w:tcPr>
          <w:p w14:paraId="054B2F0C">
            <w:pPr>
              <w:jc w:val="center"/>
              <w:rPr>
                <w:rFonts w:ascii="宋体" w:hAnsi="宋体"/>
                <w:color w:val="auto"/>
                <w:szCs w:val="21"/>
                <w:highlight w:val="none"/>
              </w:rPr>
            </w:pPr>
          </w:p>
        </w:tc>
        <w:tc>
          <w:tcPr>
            <w:tcW w:w="751" w:type="dxa"/>
            <w:vAlign w:val="center"/>
          </w:tcPr>
          <w:p w14:paraId="3036AC4F">
            <w:pPr>
              <w:jc w:val="center"/>
              <w:rPr>
                <w:rFonts w:ascii="宋体" w:hAnsi="宋体"/>
                <w:color w:val="auto"/>
                <w:szCs w:val="21"/>
                <w:highlight w:val="none"/>
              </w:rPr>
            </w:pPr>
          </w:p>
        </w:tc>
        <w:tc>
          <w:tcPr>
            <w:tcW w:w="751" w:type="dxa"/>
            <w:vAlign w:val="center"/>
          </w:tcPr>
          <w:p w14:paraId="4A6F6530">
            <w:pPr>
              <w:jc w:val="center"/>
              <w:rPr>
                <w:rFonts w:ascii="宋体" w:hAnsi="宋体"/>
                <w:color w:val="auto"/>
                <w:szCs w:val="21"/>
                <w:highlight w:val="none"/>
              </w:rPr>
            </w:pPr>
          </w:p>
        </w:tc>
        <w:tc>
          <w:tcPr>
            <w:tcW w:w="750" w:type="dxa"/>
            <w:vAlign w:val="center"/>
          </w:tcPr>
          <w:p w14:paraId="2E18DE16">
            <w:pPr>
              <w:jc w:val="center"/>
              <w:rPr>
                <w:rFonts w:ascii="宋体" w:hAnsi="宋体"/>
                <w:color w:val="auto"/>
                <w:szCs w:val="21"/>
                <w:highlight w:val="none"/>
              </w:rPr>
            </w:pPr>
          </w:p>
        </w:tc>
        <w:tc>
          <w:tcPr>
            <w:tcW w:w="751" w:type="dxa"/>
            <w:vAlign w:val="center"/>
          </w:tcPr>
          <w:p w14:paraId="7DAD73FF">
            <w:pPr>
              <w:jc w:val="center"/>
              <w:rPr>
                <w:rFonts w:ascii="宋体" w:hAnsi="宋体"/>
                <w:color w:val="auto"/>
                <w:szCs w:val="21"/>
                <w:highlight w:val="none"/>
              </w:rPr>
            </w:pPr>
          </w:p>
        </w:tc>
        <w:tc>
          <w:tcPr>
            <w:tcW w:w="751" w:type="dxa"/>
            <w:vAlign w:val="center"/>
          </w:tcPr>
          <w:p w14:paraId="35C4C92F">
            <w:pPr>
              <w:jc w:val="center"/>
              <w:rPr>
                <w:rFonts w:ascii="宋体" w:hAnsi="宋体"/>
                <w:color w:val="auto"/>
                <w:szCs w:val="21"/>
                <w:highlight w:val="none"/>
              </w:rPr>
            </w:pPr>
          </w:p>
        </w:tc>
        <w:tc>
          <w:tcPr>
            <w:tcW w:w="751" w:type="dxa"/>
          </w:tcPr>
          <w:p w14:paraId="23B9910E">
            <w:pPr>
              <w:jc w:val="center"/>
              <w:rPr>
                <w:rFonts w:ascii="宋体" w:hAnsi="宋体"/>
                <w:color w:val="auto"/>
                <w:szCs w:val="21"/>
                <w:highlight w:val="none"/>
              </w:rPr>
            </w:pPr>
          </w:p>
        </w:tc>
        <w:tc>
          <w:tcPr>
            <w:tcW w:w="624" w:type="dxa"/>
            <w:vAlign w:val="center"/>
          </w:tcPr>
          <w:p w14:paraId="086BA619">
            <w:pPr>
              <w:jc w:val="center"/>
              <w:rPr>
                <w:rFonts w:ascii="宋体" w:hAnsi="宋体"/>
                <w:color w:val="auto"/>
                <w:szCs w:val="21"/>
                <w:highlight w:val="none"/>
              </w:rPr>
            </w:pPr>
          </w:p>
        </w:tc>
      </w:tr>
      <w:tr w14:paraId="24D4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66A1CE35">
            <w:pPr>
              <w:jc w:val="center"/>
              <w:rPr>
                <w:rFonts w:ascii="宋体" w:hAnsi="宋体"/>
                <w:color w:val="auto"/>
                <w:szCs w:val="21"/>
                <w:highlight w:val="none"/>
              </w:rPr>
            </w:pPr>
            <w:r>
              <w:rPr>
                <w:rFonts w:hint="eastAsia" w:ascii="宋体" w:hAnsi="宋体"/>
                <w:color w:val="auto"/>
                <w:szCs w:val="21"/>
                <w:highlight w:val="none"/>
              </w:rPr>
              <w:t>3</w:t>
            </w:r>
          </w:p>
        </w:tc>
        <w:tc>
          <w:tcPr>
            <w:tcW w:w="1942" w:type="dxa"/>
            <w:vAlign w:val="center"/>
          </w:tcPr>
          <w:p w14:paraId="6FE45CAA">
            <w:pPr>
              <w:jc w:val="center"/>
              <w:rPr>
                <w:rFonts w:ascii="宋体" w:hAnsi="宋体"/>
                <w:color w:val="auto"/>
                <w:szCs w:val="21"/>
                <w:highlight w:val="none"/>
              </w:rPr>
            </w:pPr>
          </w:p>
        </w:tc>
        <w:tc>
          <w:tcPr>
            <w:tcW w:w="750" w:type="dxa"/>
            <w:vAlign w:val="center"/>
          </w:tcPr>
          <w:p w14:paraId="4D6B60D7">
            <w:pPr>
              <w:jc w:val="center"/>
              <w:rPr>
                <w:rFonts w:ascii="宋体" w:hAnsi="宋体"/>
                <w:color w:val="auto"/>
                <w:szCs w:val="21"/>
                <w:highlight w:val="none"/>
              </w:rPr>
            </w:pPr>
          </w:p>
        </w:tc>
        <w:tc>
          <w:tcPr>
            <w:tcW w:w="751" w:type="dxa"/>
            <w:vAlign w:val="center"/>
          </w:tcPr>
          <w:p w14:paraId="42DC89F2">
            <w:pPr>
              <w:jc w:val="center"/>
              <w:rPr>
                <w:rFonts w:ascii="宋体" w:hAnsi="宋体"/>
                <w:color w:val="auto"/>
                <w:szCs w:val="21"/>
                <w:highlight w:val="none"/>
              </w:rPr>
            </w:pPr>
          </w:p>
        </w:tc>
        <w:tc>
          <w:tcPr>
            <w:tcW w:w="751" w:type="dxa"/>
            <w:vAlign w:val="center"/>
          </w:tcPr>
          <w:p w14:paraId="322210FB">
            <w:pPr>
              <w:jc w:val="center"/>
              <w:rPr>
                <w:rFonts w:ascii="宋体" w:hAnsi="宋体"/>
                <w:color w:val="auto"/>
                <w:szCs w:val="21"/>
                <w:highlight w:val="none"/>
              </w:rPr>
            </w:pPr>
          </w:p>
        </w:tc>
        <w:tc>
          <w:tcPr>
            <w:tcW w:w="751" w:type="dxa"/>
            <w:vAlign w:val="center"/>
          </w:tcPr>
          <w:p w14:paraId="30ACFA1D">
            <w:pPr>
              <w:jc w:val="center"/>
              <w:rPr>
                <w:rFonts w:ascii="宋体" w:hAnsi="宋体"/>
                <w:color w:val="auto"/>
                <w:szCs w:val="21"/>
                <w:highlight w:val="none"/>
              </w:rPr>
            </w:pPr>
          </w:p>
        </w:tc>
        <w:tc>
          <w:tcPr>
            <w:tcW w:w="750" w:type="dxa"/>
            <w:vAlign w:val="center"/>
          </w:tcPr>
          <w:p w14:paraId="2F7CC742">
            <w:pPr>
              <w:jc w:val="center"/>
              <w:rPr>
                <w:rFonts w:ascii="宋体" w:hAnsi="宋体"/>
                <w:color w:val="auto"/>
                <w:szCs w:val="21"/>
                <w:highlight w:val="none"/>
              </w:rPr>
            </w:pPr>
          </w:p>
        </w:tc>
        <w:tc>
          <w:tcPr>
            <w:tcW w:w="751" w:type="dxa"/>
            <w:vAlign w:val="center"/>
          </w:tcPr>
          <w:p w14:paraId="2D3467A8">
            <w:pPr>
              <w:jc w:val="center"/>
              <w:rPr>
                <w:rFonts w:ascii="宋体" w:hAnsi="宋体"/>
                <w:color w:val="auto"/>
                <w:szCs w:val="21"/>
                <w:highlight w:val="none"/>
              </w:rPr>
            </w:pPr>
          </w:p>
        </w:tc>
        <w:tc>
          <w:tcPr>
            <w:tcW w:w="751" w:type="dxa"/>
            <w:vAlign w:val="center"/>
          </w:tcPr>
          <w:p w14:paraId="387AFEAF">
            <w:pPr>
              <w:jc w:val="center"/>
              <w:rPr>
                <w:rFonts w:ascii="宋体" w:hAnsi="宋体"/>
                <w:color w:val="auto"/>
                <w:szCs w:val="21"/>
                <w:highlight w:val="none"/>
              </w:rPr>
            </w:pPr>
          </w:p>
        </w:tc>
        <w:tc>
          <w:tcPr>
            <w:tcW w:w="751" w:type="dxa"/>
          </w:tcPr>
          <w:p w14:paraId="2145F444">
            <w:pPr>
              <w:jc w:val="center"/>
              <w:rPr>
                <w:rFonts w:ascii="宋体" w:hAnsi="宋体"/>
                <w:color w:val="auto"/>
                <w:szCs w:val="21"/>
                <w:highlight w:val="none"/>
              </w:rPr>
            </w:pPr>
          </w:p>
        </w:tc>
        <w:tc>
          <w:tcPr>
            <w:tcW w:w="624" w:type="dxa"/>
            <w:vAlign w:val="center"/>
          </w:tcPr>
          <w:p w14:paraId="253ACB47">
            <w:pPr>
              <w:jc w:val="center"/>
              <w:rPr>
                <w:rFonts w:ascii="宋体" w:hAnsi="宋体"/>
                <w:color w:val="auto"/>
                <w:szCs w:val="21"/>
                <w:highlight w:val="none"/>
              </w:rPr>
            </w:pPr>
          </w:p>
        </w:tc>
      </w:tr>
      <w:tr w14:paraId="2487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3A701E50">
            <w:pPr>
              <w:jc w:val="center"/>
              <w:rPr>
                <w:rFonts w:ascii="宋体" w:hAnsi="宋体"/>
                <w:color w:val="auto"/>
                <w:szCs w:val="21"/>
                <w:highlight w:val="none"/>
              </w:rPr>
            </w:pPr>
            <w:r>
              <w:rPr>
                <w:rFonts w:hint="eastAsia" w:ascii="宋体" w:hAnsi="宋体"/>
                <w:color w:val="auto"/>
                <w:szCs w:val="21"/>
                <w:highlight w:val="none"/>
              </w:rPr>
              <w:t>4</w:t>
            </w:r>
          </w:p>
        </w:tc>
        <w:tc>
          <w:tcPr>
            <w:tcW w:w="1942" w:type="dxa"/>
            <w:vAlign w:val="center"/>
          </w:tcPr>
          <w:p w14:paraId="0475C9A9">
            <w:pPr>
              <w:jc w:val="center"/>
              <w:rPr>
                <w:rFonts w:ascii="宋体" w:hAnsi="宋体"/>
                <w:color w:val="auto"/>
                <w:szCs w:val="21"/>
                <w:highlight w:val="none"/>
              </w:rPr>
            </w:pPr>
          </w:p>
        </w:tc>
        <w:tc>
          <w:tcPr>
            <w:tcW w:w="750" w:type="dxa"/>
            <w:vAlign w:val="center"/>
          </w:tcPr>
          <w:p w14:paraId="323BF297">
            <w:pPr>
              <w:jc w:val="center"/>
              <w:rPr>
                <w:rFonts w:ascii="宋体" w:hAnsi="宋体"/>
                <w:color w:val="auto"/>
                <w:szCs w:val="21"/>
                <w:highlight w:val="none"/>
              </w:rPr>
            </w:pPr>
          </w:p>
        </w:tc>
        <w:tc>
          <w:tcPr>
            <w:tcW w:w="751" w:type="dxa"/>
            <w:vAlign w:val="center"/>
          </w:tcPr>
          <w:p w14:paraId="2DCCDCE4">
            <w:pPr>
              <w:jc w:val="center"/>
              <w:rPr>
                <w:rFonts w:ascii="宋体" w:hAnsi="宋体"/>
                <w:color w:val="auto"/>
                <w:szCs w:val="21"/>
                <w:highlight w:val="none"/>
              </w:rPr>
            </w:pPr>
          </w:p>
        </w:tc>
        <w:tc>
          <w:tcPr>
            <w:tcW w:w="751" w:type="dxa"/>
            <w:vAlign w:val="center"/>
          </w:tcPr>
          <w:p w14:paraId="371D6B96">
            <w:pPr>
              <w:jc w:val="center"/>
              <w:rPr>
                <w:rFonts w:ascii="宋体" w:hAnsi="宋体"/>
                <w:color w:val="auto"/>
                <w:szCs w:val="21"/>
                <w:highlight w:val="none"/>
              </w:rPr>
            </w:pPr>
          </w:p>
        </w:tc>
        <w:tc>
          <w:tcPr>
            <w:tcW w:w="751" w:type="dxa"/>
            <w:vAlign w:val="center"/>
          </w:tcPr>
          <w:p w14:paraId="190C7B89">
            <w:pPr>
              <w:jc w:val="center"/>
              <w:rPr>
                <w:rFonts w:ascii="宋体" w:hAnsi="宋体"/>
                <w:color w:val="auto"/>
                <w:szCs w:val="21"/>
                <w:highlight w:val="none"/>
              </w:rPr>
            </w:pPr>
          </w:p>
        </w:tc>
        <w:tc>
          <w:tcPr>
            <w:tcW w:w="750" w:type="dxa"/>
            <w:vAlign w:val="center"/>
          </w:tcPr>
          <w:p w14:paraId="593903BC">
            <w:pPr>
              <w:jc w:val="center"/>
              <w:rPr>
                <w:rFonts w:ascii="宋体" w:hAnsi="宋体"/>
                <w:color w:val="auto"/>
                <w:szCs w:val="21"/>
                <w:highlight w:val="none"/>
              </w:rPr>
            </w:pPr>
          </w:p>
        </w:tc>
        <w:tc>
          <w:tcPr>
            <w:tcW w:w="751" w:type="dxa"/>
            <w:vAlign w:val="center"/>
          </w:tcPr>
          <w:p w14:paraId="044151F3">
            <w:pPr>
              <w:jc w:val="center"/>
              <w:rPr>
                <w:rFonts w:ascii="宋体" w:hAnsi="宋体"/>
                <w:color w:val="auto"/>
                <w:szCs w:val="21"/>
                <w:highlight w:val="none"/>
              </w:rPr>
            </w:pPr>
          </w:p>
        </w:tc>
        <w:tc>
          <w:tcPr>
            <w:tcW w:w="751" w:type="dxa"/>
            <w:vAlign w:val="center"/>
          </w:tcPr>
          <w:p w14:paraId="6647795B">
            <w:pPr>
              <w:jc w:val="center"/>
              <w:rPr>
                <w:rFonts w:ascii="宋体" w:hAnsi="宋体"/>
                <w:color w:val="auto"/>
                <w:szCs w:val="21"/>
                <w:highlight w:val="none"/>
              </w:rPr>
            </w:pPr>
          </w:p>
        </w:tc>
        <w:tc>
          <w:tcPr>
            <w:tcW w:w="751" w:type="dxa"/>
          </w:tcPr>
          <w:p w14:paraId="7D7B4D77">
            <w:pPr>
              <w:jc w:val="center"/>
              <w:rPr>
                <w:rFonts w:ascii="宋体" w:hAnsi="宋体"/>
                <w:color w:val="auto"/>
                <w:szCs w:val="21"/>
                <w:highlight w:val="none"/>
              </w:rPr>
            </w:pPr>
          </w:p>
        </w:tc>
        <w:tc>
          <w:tcPr>
            <w:tcW w:w="624" w:type="dxa"/>
            <w:vAlign w:val="center"/>
          </w:tcPr>
          <w:p w14:paraId="53CCE690">
            <w:pPr>
              <w:jc w:val="center"/>
              <w:rPr>
                <w:rFonts w:ascii="宋体" w:hAnsi="宋体"/>
                <w:color w:val="auto"/>
                <w:szCs w:val="21"/>
                <w:highlight w:val="none"/>
              </w:rPr>
            </w:pPr>
          </w:p>
        </w:tc>
      </w:tr>
      <w:tr w14:paraId="7ED5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7A6F75B5">
            <w:pPr>
              <w:jc w:val="center"/>
              <w:rPr>
                <w:rFonts w:ascii="宋体" w:hAnsi="宋体"/>
                <w:color w:val="auto"/>
                <w:szCs w:val="21"/>
                <w:highlight w:val="none"/>
              </w:rPr>
            </w:pPr>
            <w:r>
              <w:rPr>
                <w:rFonts w:hint="eastAsia" w:ascii="宋体" w:hAnsi="宋体"/>
                <w:color w:val="auto"/>
                <w:szCs w:val="21"/>
                <w:highlight w:val="none"/>
              </w:rPr>
              <w:t>5</w:t>
            </w:r>
          </w:p>
        </w:tc>
        <w:tc>
          <w:tcPr>
            <w:tcW w:w="1942" w:type="dxa"/>
            <w:vAlign w:val="center"/>
          </w:tcPr>
          <w:p w14:paraId="45D7D1B2">
            <w:pPr>
              <w:jc w:val="center"/>
              <w:rPr>
                <w:rFonts w:ascii="宋体" w:hAnsi="宋体"/>
                <w:color w:val="auto"/>
                <w:szCs w:val="21"/>
                <w:highlight w:val="none"/>
              </w:rPr>
            </w:pPr>
          </w:p>
        </w:tc>
        <w:tc>
          <w:tcPr>
            <w:tcW w:w="750" w:type="dxa"/>
            <w:vAlign w:val="center"/>
          </w:tcPr>
          <w:p w14:paraId="2EF779CE">
            <w:pPr>
              <w:jc w:val="center"/>
              <w:rPr>
                <w:rFonts w:ascii="宋体" w:hAnsi="宋体"/>
                <w:color w:val="auto"/>
                <w:szCs w:val="21"/>
                <w:highlight w:val="none"/>
              </w:rPr>
            </w:pPr>
          </w:p>
        </w:tc>
        <w:tc>
          <w:tcPr>
            <w:tcW w:w="751" w:type="dxa"/>
            <w:vAlign w:val="center"/>
          </w:tcPr>
          <w:p w14:paraId="255E487F">
            <w:pPr>
              <w:jc w:val="center"/>
              <w:rPr>
                <w:rFonts w:ascii="宋体" w:hAnsi="宋体"/>
                <w:color w:val="auto"/>
                <w:szCs w:val="21"/>
                <w:highlight w:val="none"/>
              </w:rPr>
            </w:pPr>
          </w:p>
        </w:tc>
        <w:tc>
          <w:tcPr>
            <w:tcW w:w="751" w:type="dxa"/>
            <w:vAlign w:val="center"/>
          </w:tcPr>
          <w:p w14:paraId="7ADB48A4">
            <w:pPr>
              <w:jc w:val="center"/>
              <w:rPr>
                <w:rFonts w:ascii="宋体" w:hAnsi="宋体"/>
                <w:color w:val="auto"/>
                <w:szCs w:val="21"/>
                <w:highlight w:val="none"/>
              </w:rPr>
            </w:pPr>
          </w:p>
        </w:tc>
        <w:tc>
          <w:tcPr>
            <w:tcW w:w="751" w:type="dxa"/>
            <w:vAlign w:val="center"/>
          </w:tcPr>
          <w:p w14:paraId="3A61A39A">
            <w:pPr>
              <w:jc w:val="center"/>
              <w:rPr>
                <w:rFonts w:ascii="宋体" w:hAnsi="宋体"/>
                <w:color w:val="auto"/>
                <w:szCs w:val="21"/>
                <w:highlight w:val="none"/>
              </w:rPr>
            </w:pPr>
          </w:p>
        </w:tc>
        <w:tc>
          <w:tcPr>
            <w:tcW w:w="750" w:type="dxa"/>
            <w:vAlign w:val="center"/>
          </w:tcPr>
          <w:p w14:paraId="7A722BB7">
            <w:pPr>
              <w:jc w:val="center"/>
              <w:rPr>
                <w:rFonts w:ascii="宋体" w:hAnsi="宋体"/>
                <w:color w:val="auto"/>
                <w:szCs w:val="21"/>
                <w:highlight w:val="none"/>
              </w:rPr>
            </w:pPr>
          </w:p>
        </w:tc>
        <w:tc>
          <w:tcPr>
            <w:tcW w:w="751" w:type="dxa"/>
            <w:vAlign w:val="center"/>
          </w:tcPr>
          <w:p w14:paraId="7F699E1D">
            <w:pPr>
              <w:jc w:val="center"/>
              <w:rPr>
                <w:rFonts w:ascii="宋体" w:hAnsi="宋体"/>
                <w:color w:val="auto"/>
                <w:szCs w:val="21"/>
                <w:highlight w:val="none"/>
              </w:rPr>
            </w:pPr>
          </w:p>
        </w:tc>
        <w:tc>
          <w:tcPr>
            <w:tcW w:w="751" w:type="dxa"/>
            <w:vAlign w:val="center"/>
          </w:tcPr>
          <w:p w14:paraId="6C7D45C6">
            <w:pPr>
              <w:jc w:val="center"/>
              <w:rPr>
                <w:rFonts w:ascii="宋体" w:hAnsi="宋体"/>
                <w:color w:val="auto"/>
                <w:szCs w:val="21"/>
                <w:highlight w:val="none"/>
              </w:rPr>
            </w:pPr>
          </w:p>
        </w:tc>
        <w:tc>
          <w:tcPr>
            <w:tcW w:w="751" w:type="dxa"/>
          </w:tcPr>
          <w:p w14:paraId="7ABDE52C">
            <w:pPr>
              <w:jc w:val="center"/>
              <w:rPr>
                <w:rFonts w:ascii="宋体" w:hAnsi="宋体"/>
                <w:color w:val="auto"/>
                <w:szCs w:val="21"/>
                <w:highlight w:val="none"/>
              </w:rPr>
            </w:pPr>
          </w:p>
        </w:tc>
        <w:tc>
          <w:tcPr>
            <w:tcW w:w="624" w:type="dxa"/>
            <w:vAlign w:val="center"/>
          </w:tcPr>
          <w:p w14:paraId="2C4EFEB1">
            <w:pPr>
              <w:jc w:val="center"/>
              <w:rPr>
                <w:rFonts w:ascii="宋体" w:hAnsi="宋体"/>
                <w:color w:val="auto"/>
                <w:szCs w:val="21"/>
                <w:highlight w:val="none"/>
              </w:rPr>
            </w:pPr>
          </w:p>
        </w:tc>
      </w:tr>
      <w:tr w14:paraId="5445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6E645ECD">
            <w:pPr>
              <w:jc w:val="center"/>
              <w:rPr>
                <w:rFonts w:ascii="宋体" w:hAnsi="宋体"/>
                <w:color w:val="auto"/>
                <w:szCs w:val="21"/>
                <w:highlight w:val="none"/>
              </w:rPr>
            </w:pPr>
            <w:r>
              <w:rPr>
                <w:rFonts w:hint="eastAsia" w:ascii="黑体" w:hAnsi="黑体" w:eastAsia="黑体"/>
                <w:color w:val="auto"/>
                <w:szCs w:val="44"/>
                <w:highlight w:val="none"/>
              </w:rPr>
              <w:t>…</w:t>
            </w:r>
          </w:p>
        </w:tc>
        <w:tc>
          <w:tcPr>
            <w:tcW w:w="1942" w:type="dxa"/>
            <w:vAlign w:val="center"/>
          </w:tcPr>
          <w:p w14:paraId="4ED9567B">
            <w:pPr>
              <w:jc w:val="center"/>
              <w:rPr>
                <w:rFonts w:ascii="宋体" w:hAnsi="宋体"/>
                <w:color w:val="auto"/>
                <w:szCs w:val="21"/>
                <w:highlight w:val="none"/>
              </w:rPr>
            </w:pPr>
          </w:p>
        </w:tc>
        <w:tc>
          <w:tcPr>
            <w:tcW w:w="750" w:type="dxa"/>
            <w:vAlign w:val="center"/>
          </w:tcPr>
          <w:p w14:paraId="4DE21FAA">
            <w:pPr>
              <w:jc w:val="center"/>
              <w:rPr>
                <w:rFonts w:ascii="宋体" w:hAnsi="宋体"/>
                <w:color w:val="auto"/>
                <w:szCs w:val="21"/>
                <w:highlight w:val="none"/>
              </w:rPr>
            </w:pPr>
          </w:p>
        </w:tc>
        <w:tc>
          <w:tcPr>
            <w:tcW w:w="751" w:type="dxa"/>
            <w:vAlign w:val="center"/>
          </w:tcPr>
          <w:p w14:paraId="7328C212">
            <w:pPr>
              <w:jc w:val="center"/>
              <w:rPr>
                <w:rFonts w:ascii="宋体" w:hAnsi="宋体"/>
                <w:color w:val="auto"/>
                <w:szCs w:val="21"/>
                <w:highlight w:val="none"/>
              </w:rPr>
            </w:pPr>
          </w:p>
        </w:tc>
        <w:tc>
          <w:tcPr>
            <w:tcW w:w="751" w:type="dxa"/>
            <w:vAlign w:val="center"/>
          </w:tcPr>
          <w:p w14:paraId="56FF37DB">
            <w:pPr>
              <w:jc w:val="center"/>
              <w:rPr>
                <w:rFonts w:ascii="宋体" w:hAnsi="宋体"/>
                <w:color w:val="auto"/>
                <w:szCs w:val="21"/>
                <w:highlight w:val="none"/>
              </w:rPr>
            </w:pPr>
          </w:p>
        </w:tc>
        <w:tc>
          <w:tcPr>
            <w:tcW w:w="751" w:type="dxa"/>
            <w:vAlign w:val="center"/>
          </w:tcPr>
          <w:p w14:paraId="666CE442">
            <w:pPr>
              <w:jc w:val="center"/>
              <w:rPr>
                <w:rFonts w:ascii="宋体" w:hAnsi="宋体"/>
                <w:color w:val="auto"/>
                <w:szCs w:val="21"/>
                <w:highlight w:val="none"/>
              </w:rPr>
            </w:pPr>
          </w:p>
        </w:tc>
        <w:tc>
          <w:tcPr>
            <w:tcW w:w="750" w:type="dxa"/>
            <w:vAlign w:val="center"/>
          </w:tcPr>
          <w:p w14:paraId="18306AB5">
            <w:pPr>
              <w:jc w:val="center"/>
              <w:rPr>
                <w:rFonts w:ascii="宋体" w:hAnsi="宋体"/>
                <w:color w:val="auto"/>
                <w:szCs w:val="21"/>
                <w:highlight w:val="none"/>
              </w:rPr>
            </w:pPr>
          </w:p>
        </w:tc>
        <w:tc>
          <w:tcPr>
            <w:tcW w:w="751" w:type="dxa"/>
            <w:vAlign w:val="center"/>
          </w:tcPr>
          <w:p w14:paraId="3360CFA7">
            <w:pPr>
              <w:jc w:val="center"/>
              <w:rPr>
                <w:rFonts w:ascii="宋体" w:hAnsi="宋体"/>
                <w:color w:val="auto"/>
                <w:szCs w:val="21"/>
                <w:highlight w:val="none"/>
              </w:rPr>
            </w:pPr>
          </w:p>
        </w:tc>
        <w:tc>
          <w:tcPr>
            <w:tcW w:w="751" w:type="dxa"/>
            <w:vAlign w:val="center"/>
          </w:tcPr>
          <w:p w14:paraId="1342713C">
            <w:pPr>
              <w:jc w:val="center"/>
              <w:rPr>
                <w:rFonts w:ascii="宋体" w:hAnsi="宋体"/>
                <w:color w:val="auto"/>
                <w:szCs w:val="21"/>
                <w:highlight w:val="none"/>
              </w:rPr>
            </w:pPr>
          </w:p>
        </w:tc>
        <w:tc>
          <w:tcPr>
            <w:tcW w:w="751" w:type="dxa"/>
          </w:tcPr>
          <w:p w14:paraId="5032DF17">
            <w:pPr>
              <w:jc w:val="center"/>
              <w:rPr>
                <w:rFonts w:ascii="宋体" w:hAnsi="宋体"/>
                <w:color w:val="auto"/>
                <w:szCs w:val="21"/>
                <w:highlight w:val="none"/>
              </w:rPr>
            </w:pPr>
          </w:p>
        </w:tc>
        <w:tc>
          <w:tcPr>
            <w:tcW w:w="624" w:type="dxa"/>
            <w:vAlign w:val="center"/>
          </w:tcPr>
          <w:p w14:paraId="0350B47F">
            <w:pPr>
              <w:jc w:val="center"/>
              <w:rPr>
                <w:rFonts w:ascii="宋体" w:hAnsi="宋体"/>
                <w:color w:val="auto"/>
                <w:szCs w:val="21"/>
                <w:highlight w:val="none"/>
              </w:rPr>
            </w:pPr>
          </w:p>
        </w:tc>
      </w:tr>
    </w:tbl>
    <w:p w14:paraId="347D28DF">
      <w:pPr>
        <w:rPr>
          <w:color w:val="auto"/>
          <w:highlight w:val="none"/>
        </w:rPr>
      </w:pPr>
    </w:p>
    <w:p w14:paraId="10B51537">
      <w:pPr>
        <w:jc w:val="right"/>
        <w:rPr>
          <w:color w:val="auto"/>
          <w:highlight w:val="none"/>
        </w:rPr>
      </w:pPr>
      <w:r>
        <w:rPr>
          <w:rFonts w:hint="eastAsia"/>
          <w:color w:val="auto"/>
          <w:highlight w:val="none"/>
        </w:rPr>
        <w:t>日期：      年    月   日</w:t>
      </w:r>
    </w:p>
    <w:p w14:paraId="627F4EAE">
      <w:pPr>
        <w:spacing w:line="430" w:lineRule="exact"/>
        <w:rPr>
          <w:color w:val="auto"/>
          <w:highlight w:val="none"/>
        </w:rPr>
      </w:pPr>
    </w:p>
    <w:p w14:paraId="222C6CA8">
      <w:pPr>
        <w:spacing w:line="430" w:lineRule="exact"/>
        <w:rPr>
          <w:rFonts w:ascii="黑体" w:eastAsia="黑体"/>
          <w:color w:val="auto"/>
          <w:sz w:val="24"/>
          <w:highlight w:val="none"/>
        </w:rPr>
        <w:sectPr>
          <w:pgSz w:w="11906" w:h="16838"/>
          <w:pgMar w:top="1440" w:right="1797" w:bottom="1440" w:left="1797" w:header="851" w:footer="851" w:gutter="0"/>
          <w:cols w:space="720" w:num="1"/>
          <w:docGrid w:linePitch="312" w:charSpace="0"/>
        </w:sectPr>
      </w:pPr>
    </w:p>
    <w:p w14:paraId="6F1138A9">
      <w:pPr>
        <w:spacing w:after="240" w:afterLines="100"/>
        <w:rPr>
          <w:rFonts w:ascii="黑体" w:eastAsia="黑体"/>
          <w:color w:val="auto"/>
          <w:sz w:val="24"/>
          <w:highlight w:val="none"/>
        </w:rPr>
      </w:pPr>
    </w:p>
    <w:p w14:paraId="3354C63D">
      <w:pPr>
        <w:pStyle w:val="25"/>
        <w:rPr>
          <w:color w:val="auto"/>
          <w:highlight w:val="none"/>
        </w:rPr>
      </w:pPr>
      <w:bookmarkStart w:id="515" w:name="_Toc165804450"/>
      <w:bookmarkStart w:id="516" w:name="_Toc29892"/>
      <w:bookmarkStart w:id="517" w:name="_Toc30425"/>
      <w:bookmarkStart w:id="518" w:name="_Toc256000133"/>
      <w:bookmarkStart w:id="519" w:name="_Toc20307"/>
      <w:bookmarkStart w:id="520" w:name="_Toc14728"/>
      <w:r>
        <w:rPr>
          <w:rFonts w:hint="eastAsia"/>
          <w:color w:val="auto"/>
          <w:highlight w:val="none"/>
        </w:rPr>
        <w:t>附表A-4：形式评审记录表</w:t>
      </w:r>
      <w:bookmarkEnd w:id="515"/>
      <w:bookmarkEnd w:id="516"/>
      <w:bookmarkEnd w:id="517"/>
      <w:bookmarkEnd w:id="518"/>
      <w:bookmarkEnd w:id="519"/>
      <w:bookmarkEnd w:id="520"/>
    </w:p>
    <w:p w14:paraId="610C39AB">
      <w:pPr>
        <w:rPr>
          <w:color w:val="auto"/>
          <w:highlight w:val="none"/>
        </w:rPr>
      </w:pPr>
      <w:bookmarkStart w:id="521" w:name="_Hlk145501909"/>
      <w:bookmarkStart w:id="522" w:name="_Toc145516055"/>
    </w:p>
    <w:p w14:paraId="177E3B50">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523" w:name="_Toc148971946"/>
      <w:bookmarkStart w:id="524" w:name="_Toc21854"/>
      <w:bookmarkStart w:id="525" w:name="_Toc148976154"/>
      <w:r>
        <w:rPr>
          <w:rFonts w:hint="eastAsia" w:ascii="黑体" w:hAnsi="黑体" w:eastAsia="黑体"/>
          <w:color w:val="auto"/>
          <w:sz w:val="36"/>
          <w:szCs w:val="36"/>
          <w:highlight w:val="none"/>
        </w:rPr>
        <w:t>形式评审</w:t>
      </w:r>
      <w:bookmarkEnd w:id="521"/>
      <w:r>
        <w:rPr>
          <w:rFonts w:hint="eastAsia" w:ascii="黑体" w:hAnsi="黑体" w:eastAsia="黑体"/>
          <w:color w:val="auto"/>
          <w:sz w:val="36"/>
          <w:szCs w:val="36"/>
          <w:highlight w:val="none"/>
        </w:rPr>
        <w:t>记录表</w:t>
      </w:r>
      <w:bookmarkEnd w:id="522"/>
      <w:bookmarkEnd w:id="523"/>
      <w:bookmarkEnd w:id="524"/>
      <w:bookmarkEnd w:id="525"/>
    </w:p>
    <w:p w14:paraId="7A089CDC">
      <w:pPr>
        <w:rPr>
          <w:rFonts w:ascii="宋体" w:hAnsi="宋体"/>
          <w:color w:val="auto"/>
          <w:szCs w:val="44"/>
          <w:highlight w:val="none"/>
        </w:rPr>
      </w:pPr>
      <w:r>
        <w:rPr>
          <w:rFonts w:hint="eastAsia" w:ascii="宋体" w:hAnsi="宋体"/>
          <w:color w:val="auto"/>
          <w:szCs w:val="44"/>
          <w:highlight w:val="none"/>
        </w:rPr>
        <w:t>标段名称：</w:t>
      </w:r>
    </w:p>
    <w:p w14:paraId="3B235D2D">
      <w:pPr>
        <w:rPr>
          <w:rFonts w:ascii="宋体" w:hAnsi="宋体"/>
          <w:color w:val="auto"/>
          <w:szCs w:val="44"/>
          <w:highlight w:val="none"/>
        </w:rPr>
      </w:pPr>
      <w:r>
        <w:rPr>
          <w:rFonts w:hint="eastAsia"/>
          <w:color w:val="auto"/>
          <w:szCs w:val="44"/>
          <w:highlight w:val="none"/>
        </w:rPr>
        <w:t>标段唯一标识码：</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14:paraId="10AD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restart"/>
            <w:vAlign w:val="center"/>
          </w:tcPr>
          <w:p w14:paraId="2427923D">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363" w:type="dxa"/>
            <w:vMerge w:val="restart"/>
            <w:vAlign w:val="center"/>
          </w:tcPr>
          <w:p w14:paraId="546FAB44">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239699D2">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6F44C8A6">
            <w:pPr>
              <w:jc w:val="center"/>
              <w:rPr>
                <w:rFonts w:ascii="宋体" w:hAnsi="宋体"/>
                <w:b/>
                <w:bCs/>
                <w:color w:val="auto"/>
                <w:szCs w:val="44"/>
                <w:highlight w:val="none"/>
              </w:rPr>
            </w:pPr>
            <w:r>
              <w:rPr>
                <w:rFonts w:ascii="宋体" w:hAnsi="宋体"/>
                <w:b/>
                <w:bCs/>
                <w:color w:val="auto"/>
                <w:szCs w:val="21"/>
                <w:highlight w:val="none"/>
              </w:rPr>
              <w:t>评审结论</w:t>
            </w:r>
          </w:p>
        </w:tc>
      </w:tr>
      <w:tr w14:paraId="582E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continue"/>
            <w:vAlign w:val="center"/>
          </w:tcPr>
          <w:p w14:paraId="47E9D7FD">
            <w:pPr>
              <w:jc w:val="center"/>
              <w:rPr>
                <w:rFonts w:ascii="宋体" w:hAnsi="宋体"/>
                <w:color w:val="auto"/>
                <w:szCs w:val="44"/>
                <w:highlight w:val="none"/>
              </w:rPr>
            </w:pPr>
          </w:p>
        </w:tc>
        <w:tc>
          <w:tcPr>
            <w:tcW w:w="1363" w:type="dxa"/>
            <w:vMerge w:val="continue"/>
          </w:tcPr>
          <w:p w14:paraId="11A6BB76">
            <w:pPr>
              <w:jc w:val="center"/>
              <w:rPr>
                <w:rFonts w:ascii="宋体" w:hAnsi="宋体"/>
                <w:color w:val="auto"/>
                <w:szCs w:val="44"/>
                <w:highlight w:val="none"/>
              </w:rPr>
            </w:pPr>
          </w:p>
        </w:tc>
        <w:tc>
          <w:tcPr>
            <w:tcW w:w="650" w:type="dxa"/>
            <w:vAlign w:val="center"/>
          </w:tcPr>
          <w:p w14:paraId="3364D2C8">
            <w:pPr>
              <w:jc w:val="center"/>
              <w:rPr>
                <w:rFonts w:ascii="宋体" w:hAnsi="宋体"/>
                <w:b/>
                <w:bCs/>
                <w:color w:val="auto"/>
                <w:szCs w:val="44"/>
                <w:highlight w:val="none"/>
              </w:rPr>
            </w:pPr>
          </w:p>
        </w:tc>
        <w:tc>
          <w:tcPr>
            <w:tcW w:w="650" w:type="dxa"/>
            <w:vAlign w:val="center"/>
          </w:tcPr>
          <w:p w14:paraId="24EE39CB">
            <w:pPr>
              <w:jc w:val="center"/>
              <w:rPr>
                <w:rFonts w:ascii="宋体" w:hAnsi="宋体"/>
                <w:b/>
                <w:bCs/>
                <w:color w:val="auto"/>
                <w:szCs w:val="44"/>
                <w:highlight w:val="none"/>
              </w:rPr>
            </w:pPr>
          </w:p>
        </w:tc>
        <w:tc>
          <w:tcPr>
            <w:tcW w:w="650" w:type="dxa"/>
            <w:vAlign w:val="center"/>
          </w:tcPr>
          <w:p w14:paraId="242A8F52">
            <w:pPr>
              <w:jc w:val="center"/>
              <w:rPr>
                <w:rFonts w:ascii="宋体" w:hAnsi="宋体"/>
                <w:b/>
                <w:bCs/>
                <w:color w:val="auto"/>
                <w:szCs w:val="44"/>
                <w:highlight w:val="none"/>
              </w:rPr>
            </w:pPr>
          </w:p>
        </w:tc>
        <w:tc>
          <w:tcPr>
            <w:tcW w:w="650" w:type="dxa"/>
            <w:vAlign w:val="center"/>
          </w:tcPr>
          <w:p w14:paraId="085E4375">
            <w:pPr>
              <w:jc w:val="center"/>
              <w:rPr>
                <w:rFonts w:ascii="宋体" w:hAnsi="宋体"/>
                <w:b/>
                <w:bCs/>
                <w:color w:val="auto"/>
                <w:szCs w:val="44"/>
                <w:highlight w:val="none"/>
              </w:rPr>
            </w:pPr>
          </w:p>
        </w:tc>
        <w:tc>
          <w:tcPr>
            <w:tcW w:w="650" w:type="dxa"/>
            <w:vAlign w:val="center"/>
          </w:tcPr>
          <w:p w14:paraId="15664B3E">
            <w:pPr>
              <w:jc w:val="center"/>
              <w:rPr>
                <w:rFonts w:ascii="宋体" w:hAnsi="宋体"/>
                <w:b/>
                <w:bCs/>
                <w:color w:val="auto"/>
                <w:szCs w:val="44"/>
                <w:highlight w:val="none"/>
              </w:rPr>
            </w:pPr>
          </w:p>
        </w:tc>
        <w:tc>
          <w:tcPr>
            <w:tcW w:w="650" w:type="dxa"/>
            <w:vAlign w:val="center"/>
          </w:tcPr>
          <w:p w14:paraId="5E0AC061">
            <w:pPr>
              <w:jc w:val="center"/>
              <w:rPr>
                <w:rFonts w:ascii="宋体" w:hAnsi="宋体"/>
                <w:b/>
                <w:bCs/>
                <w:color w:val="auto"/>
                <w:szCs w:val="44"/>
                <w:highlight w:val="none"/>
              </w:rPr>
            </w:pPr>
          </w:p>
        </w:tc>
        <w:tc>
          <w:tcPr>
            <w:tcW w:w="650" w:type="dxa"/>
            <w:vAlign w:val="center"/>
          </w:tcPr>
          <w:p w14:paraId="6F1B49A1">
            <w:pPr>
              <w:jc w:val="center"/>
              <w:rPr>
                <w:rFonts w:ascii="宋体" w:hAnsi="宋体"/>
                <w:b/>
                <w:bCs/>
                <w:color w:val="auto"/>
                <w:szCs w:val="44"/>
                <w:highlight w:val="none"/>
              </w:rPr>
            </w:pPr>
          </w:p>
        </w:tc>
        <w:tc>
          <w:tcPr>
            <w:tcW w:w="650" w:type="dxa"/>
            <w:vAlign w:val="center"/>
          </w:tcPr>
          <w:p w14:paraId="17E24B38">
            <w:pPr>
              <w:jc w:val="center"/>
              <w:rPr>
                <w:rFonts w:ascii="宋体" w:hAnsi="宋体"/>
                <w:b/>
                <w:bCs/>
                <w:color w:val="auto"/>
                <w:szCs w:val="44"/>
                <w:highlight w:val="none"/>
              </w:rPr>
            </w:pPr>
          </w:p>
        </w:tc>
        <w:tc>
          <w:tcPr>
            <w:tcW w:w="651" w:type="dxa"/>
            <w:vAlign w:val="center"/>
          </w:tcPr>
          <w:p w14:paraId="0137745D">
            <w:pPr>
              <w:jc w:val="center"/>
              <w:rPr>
                <w:rFonts w:ascii="宋体" w:hAnsi="宋体"/>
                <w:b/>
                <w:bCs/>
                <w:color w:val="auto"/>
                <w:szCs w:val="44"/>
                <w:highlight w:val="none"/>
              </w:rPr>
            </w:pPr>
          </w:p>
        </w:tc>
        <w:tc>
          <w:tcPr>
            <w:tcW w:w="818" w:type="dxa"/>
            <w:vMerge w:val="continue"/>
            <w:vAlign w:val="center"/>
          </w:tcPr>
          <w:p w14:paraId="29672400">
            <w:pPr>
              <w:jc w:val="center"/>
              <w:rPr>
                <w:rFonts w:ascii="宋体" w:hAnsi="宋体"/>
                <w:color w:val="auto"/>
                <w:szCs w:val="44"/>
                <w:highlight w:val="none"/>
              </w:rPr>
            </w:pPr>
          </w:p>
        </w:tc>
      </w:tr>
      <w:tr w14:paraId="2205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32AC69CB">
            <w:pPr>
              <w:jc w:val="center"/>
              <w:rPr>
                <w:rFonts w:ascii="宋体" w:hAnsi="宋体"/>
                <w:color w:val="auto"/>
                <w:szCs w:val="44"/>
                <w:highlight w:val="none"/>
              </w:rPr>
            </w:pPr>
            <w:r>
              <w:rPr>
                <w:rFonts w:hint="eastAsia" w:ascii="宋体" w:hAnsi="宋体"/>
                <w:color w:val="auto"/>
                <w:szCs w:val="44"/>
                <w:highlight w:val="none"/>
              </w:rPr>
              <w:t>1</w:t>
            </w:r>
          </w:p>
        </w:tc>
        <w:tc>
          <w:tcPr>
            <w:tcW w:w="1363" w:type="dxa"/>
            <w:vAlign w:val="center"/>
          </w:tcPr>
          <w:p w14:paraId="176FF8C7">
            <w:pPr>
              <w:jc w:val="center"/>
              <w:rPr>
                <w:rFonts w:ascii="宋体" w:hAnsi="宋体"/>
                <w:color w:val="auto"/>
                <w:szCs w:val="21"/>
                <w:highlight w:val="none"/>
              </w:rPr>
            </w:pPr>
          </w:p>
        </w:tc>
        <w:tc>
          <w:tcPr>
            <w:tcW w:w="650" w:type="dxa"/>
            <w:vAlign w:val="center"/>
          </w:tcPr>
          <w:p w14:paraId="7E26241C">
            <w:pPr>
              <w:jc w:val="center"/>
              <w:rPr>
                <w:rFonts w:ascii="宋体" w:hAnsi="宋体"/>
                <w:color w:val="auto"/>
                <w:szCs w:val="21"/>
                <w:highlight w:val="none"/>
              </w:rPr>
            </w:pPr>
          </w:p>
        </w:tc>
        <w:tc>
          <w:tcPr>
            <w:tcW w:w="650" w:type="dxa"/>
            <w:vAlign w:val="center"/>
          </w:tcPr>
          <w:p w14:paraId="1DE71B64">
            <w:pPr>
              <w:jc w:val="center"/>
              <w:rPr>
                <w:rFonts w:ascii="宋体" w:hAnsi="宋体"/>
                <w:color w:val="auto"/>
                <w:szCs w:val="44"/>
                <w:highlight w:val="none"/>
              </w:rPr>
            </w:pPr>
          </w:p>
        </w:tc>
        <w:tc>
          <w:tcPr>
            <w:tcW w:w="650" w:type="dxa"/>
            <w:vAlign w:val="center"/>
          </w:tcPr>
          <w:p w14:paraId="791F2166">
            <w:pPr>
              <w:jc w:val="center"/>
              <w:rPr>
                <w:rFonts w:ascii="宋体" w:hAnsi="宋体"/>
                <w:color w:val="auto"/>
                <w:szCs w:val="44"/>
                <w:highlight w:val="none"/>
              </w:rPr>
            </w:pPr>
          </w:p>
        </w:tc>
        <w:tc>
          <w:tcPr>
            <w:tcW w:w="650" w:type="dxa"/>
            <w:vAlign w:val="center"/>
          </w:tcPr>
          <w:p w14:paraId="069DD3C9">
            <w:pPr>
              <w:jc w:val="center"/>
              <w:rPr>
                <w:rFonts w:ascii="宋体" w:hAnsi="宋体"/>
                <w:color w:val="auto"/>
                <w:szCs w:val="44"/>
                <w:highlight w:val="none"/>
              </w:rPr>
            </w:pPr>
          </w:p>
        </w:tc>
        <w:tc>
          <w:tcPr>
            <w:tcW w:w="650" w:type="dxa"/>
            <w:vAlign w:val="center"/>
          </w:tcPr>
          <w:p w14:paraId="240799FC">
            <w:pPr>
              <w:jc w:val="center"/>
              <w:rPr>
                <w:rFonts w:ascii="宋体" w:hAnsi="宋体"/>
                <w:color w:val="auto"/>
                <w:szCs w:val="44"/>
                <w:highlight w:val="none"/>
              </w:rPr>
            </w:pPr>
          </w:p>
        </w:tc>
        <w:tc>
          <w:tcPr>
            <w:tcW w:w="650" w:type="dxa"/>
            <w:vAlign w:val="center"/>
          </w:tcPr>
          <w:p w14:paraId="3DA01FE1">
            <w:pPr>
              <w:jc w:val="center"/>
              <w:rPr>
                <w:rFonts w:ascii="宋体" w:hAnsi="宋体"/>
                <w:color w:val="auto"/>
                <w:szCs w:val="44"/>
                <w:highlight w:val="none"/>
              </w:rPr>
            </w:pPr>
          </w:p>
        </w:tc>
        <w:tc>
          <w:tcPr>
            <w:tcW w:w="650" w:type="dxa"/>
            <w:vAlign w:val="center"/>
          </w:tcPr>
          <w:p w14:paraId="01A598D6">
            <w:pPr>
              <w:jc w:val="center"/>
              <w:rPr>
                <w:rFonts w:ascii="宋体" w:hAnsi="宋体"/>
                <w:color w:val="auto"/>
                <w:szCs w:val="44"/>
                <w:highlight w:val="none"/>
              </w:rPr>
            </w:pPr>
          </w:p>
        </w:tc>
        <w:tc>
          <w:tcPr>
            <w:tcW w:w="650" w:type="dxa"/>
            <w:vAlign w:val="center"/>
          </w:tcPr>
          <w:p w14:paraId="1EFB3A22">
            <w:pPr>
              <w:jc w:val="center"/>
              <w:rPr>
                <w:rFonts w:ascii="宋体" w:hAnsi="宋体"/>
                <w:color w:val="auto"/>
                <w:szCs w:val="44"/>
                <w:highlight w:val="none"/>
              </w:rPr>
            </w:pPr>
          </w:p>
        </w:tc>
        <w:tc>
          <w:tcPr>
            <w:tcW w:w="651" w:type="dxa"/>
            <w:vAlign w:val="center"/>
          </w:tcPr>
          <w:p w14:paraId="762DC7B7">
            <w:pPr>
              <w:jc w:val="center"/>
              <w:rPr>
                <w:rFonts w:ascii="宋体" w:hAnsi="宋体"/>
                <w:color w:val="auto"/>
                <w:szCs w:val="44"/>
                <w:highlight w:val="none"/>
              </w:rPr>
            </w:pPr>
          </w:p>
        </w:tc>
        <w:tc>
          <w:tcPr>
            <w:tcW w:w="818" w:type="dxa"/>
            <w:vAlign w:val="center"/>
          </w:tcPr>
          <w:p w14:paraId="01DB399D">
            <w:pPr>
              <w:jc w:val="center"/>
              <w:rPr>
                <w:rFonts w:ascii="宋体" w:hAnsi="宋体"/>
                <w:color w:val="auto"/>
                <w:szCs w:val="44"/>
                <w:highlight w:val="none"/>
              </w:rPr>
            </w:pPr>
          </w:p>
        </w:tc>
      </w:tr>
      <w:tr w14:paraId="51D4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816EB2C">
            <w:pPr>
              <w:jc w:val="center"/>
              <w:rPr>
                <w:rFonts w:ascii="宋体" w:hAnsi="宋体"/>
                <w:color w:val="auto"/>
                <w:szCs w:val="44"/>
                <w:highlight w:val="none"/>
              </w:rPr>
            </w:pPr>
            <w:r>
              <w:rPr>
                <w:rFonts w:hint="eastAsia" w:ascii="宋体" w:hAnsi="宋体"/>
                <w:color w:val="auto"/>
                <w:szCs w:val="44"/>
                <w:highlight w:val="none"/>
              </w:rPr>
              <w:t>2</w:t>
            </w:r>
          </w:p>
        </w:tc>
        <w:tc>
          <w:tcPr>
            <w:tcW w:w="1363" w:type="dxa"/>
            <w:vAlign w:val="center"/>
          </w:tcPr>
          <w:p w14:paraId="0AF5572E">
            <w:pPr>
              <w:jc w:val="center"/>
              <w:rPr>
                <w:rFonts w:ascii="宋体" w:hAnsi="宋体"/>
                <w:color w:val="auto"/>
                <w:szCs w:val="44"/>
                <w:highlight w:val="none"/>
              </w:rPr>
            </w:pPr>
          </w:p>
        </w:tc>
        <w:tc>
          <w:tcPr>
            <w:tcW w:w="650" w:type="dxa"/>
            <w:vAlign w:val="center"/>
          </w:tcPr>
          <w:p w14:paraId="27671551">
            <w:pPr>
              <w:jc w:val="center"/>
              <w:rPr>
                <w:color w:val="auto"/>
                <w:highlight w:val="none"/>
              </w:rPr>
            </w:pPr>
          </w:p>
        </w:tc>
        <w:tc>
          <w:tcPr>
            <w:tcW w:w="650" w:type="dxa"/>
            <w:vAlign w:val="center"/>
          </w:tcPr>
          <w:p w14:paraId="3C8478F0">
            <w:pPr>
              <w:jc w:val="center"/>
              <w:rPr>
                <w:rFonts w:ascii="宋体" w:hAnsi="宋体"/>
                <w:color w:val="auto"/>
                <w:szCs w:val="44"/>
                <w:highlight w:val="none"/>
              </w:rPr>
            </w:pPr>
          </w:p>
        </w:tc>
        <w:tc>
          <w:tcPr>
            <w:tcW w:w="650" w:type="dxa"/>
            <w:vAlign w:val="center"/>
          </w:tcPr>
          <w:p w14:paraId="2AE8408C">
            <w:pPr>
              <w:jc w:val="center"/>
              <w:rPr>
                <w:rFonts w:ascii="宋体" w:hAnsi="宋体"/>
                <w:color w:val="auto"/>
                <w:szCs w:val="44"/>
                <w:highlight w:val="none"/>
              </w:rPr>
            </w:pPr>
          </w:p>
        </w:tc>
        <w:tc>
          <w:tcPr>
            <w:tcW w:w="650" w:type="dxa"/>
            <w:vAlign w:val="center"/>
          </w:tcPr>
          <w:p w14:paraId="4D752DBC">
            <w:pPr>
              <w:jc w:val="center"/>
              <w:rPr>
                <w:rFonts w:ascii="宋体" w:hAnsi="宋体"/>
                <w:color w:val="auto"/>
                <w:szCs w:val="44"/>
                <w:highlight w:val="none"/>
              </w:rPr>
            </w:pPr>
          </w:p>
        </w:tc>
        <w:tc>
          <w:tcPr>
            <w:tcW w:w="650" w:type="dxa"/>
            <w:vAlign w:val="center"/>
          </w:tcPr>
          <w:p w14:paraId="40318096">
            <w:pPr>
              <w:jc w:val="center"/>
              <w:rPr>
                <w:rFonts w:ascii="宋体" w:hAnsi="宋体"/>
                <w:color w:val="auto"/>
                <w:szCs w:val="44"/>
                <w:highlight w:val="none"/>
              </w:rPr>
            </w:pPr>
          </w:p>
        </w:tc>
        <w:tc>
          <w:tcPr>
            <w:tcW w:w="650" w:type="dxa"/>
            <w:vAlign w:val="center"/>
          </w:tcPr>
          <w:p w14:paraId="57E6FD33">
            <w:pPr>
              <w:jc w:val="center"/>
              <w:rPr>
                <w:rFonts w:ascii="宋体" w:hAnsi="宋体"/>
                <w:color w:val="auto"/>
                <w:szCs w:val="44"/>
                <w:highlight w:val="none"/>
              </w:rPr>
            </w:pPr>
          </w:p>
        </w:tc>
        <w:tc>
          <w:tcPr>
            <w:tcW w:w="650" w:type="dxa"/>
            <w:vAlign w:val="center"/>
          </w:tcPr>
          <w:p w14:paraId="06424F15">
            <w:pPr>
              <w:jc w:val="center"/>
              <w:rPr>
                <w:rFonts w:ascii="宋体" w:hAnsi="宋体"/>
                <w:color w:val="auto"/>
                <w:szCs w:val="44"/>
                <w:highlight w:val="none"/>
              </w:rPr>
            </w:pPr>
          </w:p>
        </w:tc>
        <w:tc>
          <w:tcPr>
            <w:tcW w:w="650" w:type="dxa"/>
            <w:vAlign w:val="center"/>
          </w:tcPr>
          <w:p w14:paraId="286AD4C9">
            <w:pPr>
              <w:jc w:val="center"/>
              <w:rPr>
                <w:rFonts w:ascii="宋体" w:hAnsi="宋体"/>
                <w:color w:val="auto"/>
                <w:szCs w:val="44"/>
                <w:highlight w:val="none"/>
              </w:rPr>
            </w:pPr>
          </w:p>
        </w:tc>
        <w:tc>
          <w:tcPr>
            <w:tcW w:w="651" w:type="dxa"/>
            <w:vAlign w:val="center"/>
          </w:tcPr>
          <w:p w14:paraId="1CA14F6F">
            <w:pPr>
              <w:jc w:val="center"/>
              <w:rPr>
                <w:rFonts w:ascii="宋体" w:hAnsi="宋体"/>
                <w:color w:val="auto"/>
                <w:szCs w:val="44"/>
                <w:highlight w:val="none"/>
              </w:rPr>
            </w:pPr>
          </w:p>
        </w:tc>
        <w:tc>
          <w:tcPr>
            <w:tcW w:w="818" w:type="dxa"/>
            <w:vAlign w:val="center"/>
          </w:tcPr>
          <w:p w14:paraId="75B61C88">
            <w:pPr>
              <w:jc w:val="center"/>
              <w:rPr>
                <w:rFonts w:ascii="宋体" w:hAnsi="宋体"/>
                <w:color w:val="auto"/>
                <w:szCs w:val="44"/>
                <w:highlight w:val="none"/>
              </w:rPr>
            </w:pPr>
          </w:p>
        </w:tc>
      </w:tr>
      <w:tr w14:paraId="0AE3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683CC2A">
            <w:pPr>
              <w:jc w:val="center"/>
              <w:rPr>
                <w:rFonts w:ascii="宋体" w:hAnsi="宋体"/>
                <w:color w:val="auto"/>
                <w:szCs w:val="44"/>
                <w:highlight w:val="none"/>
              </w:rPr>
            </w:pPr>
            <w:r>
              <w:rPr>
                <w:rFonts w:hint="eastAsia" w:ascii="宋体" w:hAnsi="宋体"/>
                <w:color w:val="auto"/>
                <w:szCs w:val="44"/>
                <w:highlight w:val="none"/>
              </w:rPr>
              <w:t>3</w:t>
            </w:r>
          </w:p>
        </w:tc>
        <w:tc>
          <w:tcPr>
            <w:tcW w:w="1363" w:type="dxa"/>
            <w:vAlign w:val="center"/>
          </w:tcPr>
          <w:p w14:paraId="58576138">
            <w:pPr>
              <w:jc w:val="center"/>
              <w:rPr>
                <w:rFonts w:ascii="宋体" w:hAnsi="宋体"/>
                <w:color w:val="auto"/>
                <w:szCs w:val="44"/>
                <w:highlight w:val="none"/>
              </w:rPr>
            </w:pPr>
          </w:p>
        </w:tc>
        <w:tc>
          <w:tcPr>
            <w:tcW w:w="650" w:type="dxa"/>
            <w:vAlign w:val="center"/>
          </w:tcPr>
          <w:p w14:paraId="0360124F">
            <w:pPr>
              <w:jc w:val="center"/>
              <w:rPr>
                <w:color w:val="auto"/>
                <w:highlight w:val="none"/>
              </w:rPr>
            </w:pPr>
          </w:p>
        </w:tc>
        <w:tc>
          <w:tcPr>
            <w:tcW w:w="650" w:type="dxa"/>
            <w:vAlign w:val="center"/>
          </w:tcPr>
          <w:p w14:paraId="7655657D">
            <w:pPr>
              <w:jc w:val="center"/>
              <w:rPr>
                <w:rFonts w:ascii="宋体" w:hAnsi="宋体"/>
                <w:color w:val="auto"/>
                <w:szCs w:val="44"/>
                <w:highlight w:val="none"/>
              </w:rPr>
            </w:pPr>
          </w:p>
        </w:tc>
        <w:tc>
          <w:tcPr>
            <w:tcW w:w="650" w:type="dxa"/>
            <w:vAlign w:val="center"/>
          </w:tcPr>
          <w:p w14:paraId="37299578">
            <w:pPr>
              <w:jc w:val="center"/>
              <w:rPr>
                <w:rFonts w:ascii="宋体" w:hAnsi="宋体"/>
                <w:color w:val="auto"/>
                <w:szCs w:val="44"/>
                <w:highlight w:val="none"/>
              </w:rPr>
            </w:pPr>
          </w:p>
        </w:tc>
        <w:tc>
          <w:tcPr>
            <w:tcW w:w="650" w:type="dxa"/>
            <w:vAlign w:val="center"/>
          </w:tcPr>
          <w:p w14:paraId="7070D88E">
            <w:pPr>
              <w:jc w:val="center"/>
              <w:rPr>
                <w:rFonts w:ascii="宋体" w:hAnsi="宋体"/>
                <w:color w:val="auto"/>
                <w:szCs w:val="44"/>
                <w:highlight w:val="none"/>
              </w:rPr>
            </w:pPr>
          </w:p>
        </w:tc>
        <w:tc>
          <w:tcPr>
            <w:tcW w:w="650" w:type="dxa"/>
            <w:vAlign w:val="center"/>
          </w:tcPr>
          <w:p w14:paraId="27DF1963">
            <w:pPr>
              <w:jc w:val="center"/>
              <w:rPr>
                <w:rFonts w:ascii="宋体" w:hAnsi="宋体"/>
                <w:color w:val="auto"/>
                <w:szCs w:val="44"/>
                <w:highlight w:val="none"/>
              </w:rPr>
            </w:pPr>
          </w:p>
        </w:tc>
        <w:tc>
          <w:tcPr>
            <w:tcW w:w="650" w:type="dxa"/>
            <w:vAlign w:val="center"/>
          </w:tcPr>
          <w:p w14:paraId="220F5F1C">
            <w:pPr>
              <w:jc w:val="center"/>
              <w:rPr>
                <w:rFonts w:ascii="宋体" w:hAnsi="宋体"/>
                <w:color w:val="auto"/>
                <w:szCs w:val="44"/>
                <w:highlight w:val="none"/>
              </w:rPr>
            </w:pPr>
          </w:p>
        </w:tc>
        <w:tc>
          <w:tcPr>
            <w:tcW w:w="650" w:type="dxa"/>
            <w:vAlign w:val="center"/>
          </w:tcPr>
          <w:p w14:paraId="1C7AC26F">
            <w:pPr>
              <w:jc w:val="center"/>
              <w:rPr>
                <w:rFonts w:ascii="宋体" w:hAnsi="宋体"/>
                <w:color w:val="auto"/>
                <w:szCs w:val="44"/>
                <w:highlight w:val="none"/>
              </w:rPr>
            </w:pPr>
          </w:p>
        </w:tc>
        <w:tc>
          <w:tcPr>
            <w:tcW w:w="650" w:type="dxa"/>
            <w:vAlign w:val="center"/>
          </w:tcPr>
          <w:p w14:paraId="2B3CBBBB">
            <w:pPr>
              <w:jc w:val="center"/>
              <w:rPr>
                <w:rFonts w:ascii="宋体" w:hAnsi="宋体"/>
                <w:color w:val="auto"/>
                <w:szCs w:val="44"/>
                <w:highlight w:val="none"/>
              </w:rPr>
            </w:pPr>
          </w:p>
        </w:tc>
        <w:tc>
          <w:tcPr>
            <w:tcW w:w="651" w:type="dxa"/>
            <w:vAlign w:val="center"/>
          </w:tcPr>
          <w:p w14:paraId="2A7D717D">
            <w:pPr>
              <w:jc w:val="center"/>
              <w:rPr>
                <w:rFonts w:ascii="宋体" w:hAnsi="宋体"/>
                <w:color w:val="auto"/>
                <w:szCs w:val="44"/>
                <w:highlight w:val="none"/>
              </w:rPr>
            </w:pPr>
          </w:p>
        </w:tc>
        <w:tc>
          <w:tcPr>
            <w:tcW w:w="818" w:type="dxa"/>
            <w:vAlign w:val="center"/>
          </w:tcPr>
          <w:p w14:paraId="29F990A9">
            <w:pPr>
              <w:jc w:val="center"/>
              <w:rPr>
                <w:rFonts w:ascii="宋体" w:hAnsi="宋体"/>
                <w:color w:val="auto"/>
                <w:szCs w:val="44"/>
                <w:highlight w:val="none"/>
              </w:rPr>
            </w:pPr>
          </w:p>
        </w:tc>
      </w:tr>
      <w:tr w14:paraId="5F3C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E969533">
            <w:pPr>
              <w:jc w:val="center"/>
              <w:rPr>
                <w:rFonts w:ascii="宋体" w:hAnsi="宋体"/>
                <w:color w:val="auto"/>
                <w:szCs w:val="44"/>
                <w:highlight w:val="none"/>
              </w:rPr>
            </w:pPr>
            <w:r>
              <w:rPr>
                <w:rFonts w:hint="eastAsia" w:ascii="宋体" w:hAnsi="宋体"/>
                <w:color w:val="auto"/>
                <w:szCs w:val="44"/>
                <w:highlight w:val="none"/>
              </w:rPr>
              <w:t>4</w:t>
            </w:r>
          </w:p>
        </w:tc>
        <w:tc>
          <w:tcPr>
            <w:tcW w:w="1363" w:type="dxa"/>
            <w:vAlign w:val="center"/>
          </w:tcPr>
          <w:p w14:paraId="19CA4512">
            <w:pPr>
              <w:jc w:val="center"/>
              <w:rPr>
                <w:rFonts w:ascii="宋体" w:hAnsi="宋体"/>
                <w:color w:val="auto"/>
                <w:szCs w:val="44"/>
                <w:highlight w:val="none"/>
              </w:rPr>
            </w:pPr>
          </w:p>
        </w:tc>
        <w:tc>
          <w:tcPr>
            <w:tcW w:w="650" w:type="dxa"/>
            <w:vAlign w:val="center"/>
          </w:tcPr>
          <w:p w14:paraId="561EB3BD">
            <w:pPr>
              <w:jc w:val="center"/>
              <w:rPr>
                <w:color w:val="auto"/>
                <w:highlight w:val="none"/>
              </w:rPr>
            </w:pPr>
          </w:p>
        </w:tc>
        <w:tc>
          <w:tcPr>
            <w:tcW w:w="650" w:type="dxa"/>
            <w:vAlign w:val="center"/>
          </w:tcPr>
          <w:p w14:paraId="620F14C0">
            <w:pPr>
              <w:jc w:val="center"/>
              <w:rPr>
                <w:rFonts w:ascii="宋体" w:hAnsi="宋体"/>
                <w:color w:val="auto"/>
                <w:szCs w:val="44"/>
                <w:highlight w:val="none"/>
              </w:rPr>
            </w:pPr>
          </w:p>
        </w:tc>
        <w:tc>
          <w:tcPr>
            <w:tcW w:w="650" w:type="dxa"/>
            <w:vAlign w:val="center"/>
          </w:tcPr>
          <w:p w14:paraId="211E3EF7">
            <w:pPr>
              <w:jc w:val="center"/>
              <w:rPr>
                <w:rFonts w:ascii="宋体" w:hAnsi="宋体"/>
                <w:color w:val="auto"/>
                <w:szCs w:val="44"/>
                <w:highlight w:val="none"/>
              </w:rPr>
            </w:pPr>
          </w:p>
        </w:tc>
        <w:tc>
          <w:tcPr>
            <w:tcW w:w="650" w:type="dxa"/>
            <w:vAlign w:val="center"/>
          </w:tcPr>
          <w:p w14:paraId="4EFFB9C0">
            <w:pPr>
              <w:jc w:val="center"/>
              <w:rPr>
                <w:rFonts w:ascii="宋体" w:hAnsi="宋体"/>
                <w:color w:val="auto"/>
                <w:szCs w:val="44"/>
                <w:highlight w:val="none"/>
              </w:rPr>
            </w:pPr>
          </w:p>
        </w:tc>
        <w:tc>
          <w:tcPr>
            <w:tcW w:w="650" w:type="dxa"/>
            <w:vAlign w:val="center"/>
          </w:tcPr>
          <w:p w14:paraId="5D18A368">
            <w:pPr>
              <w:jc w:val="center"/>
              <w:rPr>
                <w:rFonts w:ascii="宋体" w:hAnsi="宋体"/>
                <w:color w:val="auto"/>
                <w:szCs w:val="44"/>
                <w:highlight w:val="none"/>
              </w:rPr>
            </w:pPr>
          </w:p>
        </w:tc>
        <w:tc>
          <w:tcPr>
            <w:tcW w:w="650" w:type="dxa"/>
            <w:vAlign w:val="center"/>
          </w:tcPr>
          <w:p w14:paraId="68D60CD3">
            <w:pPr>
              <w:jc w:val="center"/>
              <w:rPr>
                <w:rFonts w:ascii="宋体" w:hAnsi="宋体"/>
                <w:color w:val="auto"/>
                <w:szCs w:val="44"/>
                <w:highlight w:val="none"/>
              </w:rPr>
            </w:pPr>
          </w:p>
        </w:tc>
        <w:tc>
          <w:tcPr>
            <w:tcW w:w="650" w:type="dxa"/>
            <w:vAlign w:val="center"/>
          </w:tcPr>
          <w:p w14:paraId="7EF868A6">
            <w:pPr>
              <w:jc w:val="center"/>
              <w:rPr>
                <w:rFonts w:ascii="宋体" w:hAnsi="宋体"/>
                <w:color w:val="auto"/>
                <w:szCs w:val="44"/>
                <w:highlight w:val="none"/>
              </w:rPr>
            </w:pPr>
          </w:p>
        </w:tc>
        <w:tc>
          <w:tcPr>
            <w:tcW w:w="650" w:type="dxa"/>
            <w:vAlign w:val="center"/>
          </w:tcPr>
          <w:p w14:paraId="08AD2BBA">
            <w:pPr>
              <w:jc w:val="center"/>
              <w:rPr>
                <w:rFonts w:ascii="宋体" w:hAnsi="宋体"/>
                <w:color w:val="auto"/>
                <w:szCs w:val="44"/>
                <w:highlight w:val="none"/>
              </w:rPr>
            </w:pPr>
          </w:p>
        </w:tc>
        <w:tc>
          <w:tcPr>
            <w:tcW w:w="651" w:type="dxa"/>
            <w:vAlign w:val="center"/>
          </w:tcPr>
          <w:p w14:paraId="6BCEAEBC">
            <w:pPr>
              <w:jc w:val="center"/>
              <w:rPr>
                <w:rFonts w:ascii="宋体" w:hAnsi="宋体"/>
                <w:color w:val="auto"/>
                <w:szCs w:val="44"/>
                <w:highlight w:val="none"/>
              </w:rPr>
            </w:pPr>
          </w:p>
        </w:tc>
        <w:tc>
          <w:tcPr>
            <w:tcW w:w="818" w:type="dxa"/>
            <w:vAlign w:val="center"/>
          </w:tcPr>
          <w:p w14:paraId="02563D01">
            <w:pPr>
              <w:jc w:val="center"/>
              <w:rPr>
                <w:rFonts w:ascii="宋体" w:hAnsi="宋体"/>
                <w:color w:val="auto"/>
                <w:szCs w:val="44"/>
                <w:highlight w:val="none"/>
              </w:rPr>
            </w:pPr>
          </w:p>
        </w:tc>
      </w:tr>
      <w:tr w14:paraId="314F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312735C">
            <w:pPr>
              <w:jc w:val="center"/>
              <w:rPr>
                <w:rFonts w:ascii="宋体" w:hAnsi="宋体"/>
                <w:color w:val="auto"/>
                <w:szCs w:val="44"/>
                <w:highlight w:val="none"/>
              </w:rPr>
            </w:pPr>
            <w:r>
              <w:rPr>
                <w:rFonts w:hint="eastAsia" w:ascii="宋体" w:hAnsi="宋体"/>
                <w:color w:val="auto"/>
                <w:szCs w:val="44"/>
                <w:highlight w:val="none"/>
              </w:rPr>
              <w:t>5</w:t>
            </w:r>
          </w:p>
        </w:tc>
        <w:tc>
          <w:tcPr>
            <w:tcW w:w="1363" w:type="dxa"/>
            <w:vAlign w:val="center"/>
          </w:tcPr>
          <w:p w14:paraId="705458E4">
            <w:pPr>
              <w:jc w:val="center"/>
              <w:rPr>
                <w:rFonts w:ascii="宋体" w:hAnsi="宋体"/>
                <w:color w:val="auto"/>
                <w:szCs w:val="44"/>
                <w:highlight w:val="none"/>
              </w:rPr>
            </w:pPr>
          </w:p>
        </w:tc>
        <w:tc>
          <w:tcPr>
            <w:tcW w:w="650" w:type="dxa"/>
            <w:vAlign w:val="center"/>
          </w:tcPr>
          <w:p w14:paraId="6A88F38C">
            <w:pPr>
              <w:jc w:val="center"/>
              <w:rPr>
                <w:color w:val="auto"/>
                <w:highlight w:val="none"/>
              </w:rPr>
            </w:pPr>
          </w:p>
        </w:tc>
        <w:tc>
          <w:tcPr>
            <w:tcW w:w="650" w:type="dxa"/>
            <w:vAlign w:val="center"/>
          </w:tcPr>
          <w:p w14:paraId="76285340">
            <w:pPr>
              <w:jc w:val="center"/>
              <w:rPr>
                <w:rFonts w:ascii="宋体" w:hAnsi="宋体"/>
                <w:color w:val="auto"/>
                <w:szCs w:val="44"/>
                <w:highlight w:val="none"/>
              </w:rPr>
            </w:pPr>
          </w:p>
        </w:tc>
        <w:tc>
          <w:tcPr>
            <w:tcW w:w="650" w:type="dxa"/>
            <w:vAlign w:val="center"/>
          </w:tcPr>
          <w:p w14:paraId="6CE726B7">
            <w:pPr>
              <w:jc w:val="center"/>
              <w:rPr>
                <w:rFonts w:ascii="宋体" w:hAnsi="宋体"/>
                <w:color w:val="auto"/>
                <w:szCs w:val="44"/>
                <w:highlight w:val="none"/>
              </w:rPr>
            </w:pPr>
          </w:p>
        </w:tc>
        <w:tc>
          <w:tcPr>
            <w:tcW w:w="650" w:type="dxa"/>
            <w:vAlign w:val="center"/>
          </w:tcPr>
          <w:p w14:paraId="12CE3047">
            <w:pPr>
              <w:jc w:val="center"/>
              <w:rPr>
                <w:rFonts w:ascii="宋体" w:hAnsi="宋体"/>
                <w:color w:val="auto"/>
                <w:szCs w:val="44"/>
                <w:highlight w:val="none"/>
              </w:rPr>
            </w:pPr>
          </w:p>
        </w:tc>
        <w:tc>
          <w:tcPr>
            <w:tcW w:w="650" w:type="dxa"/>
            <w:vAlign w:val="center"/>
          </w:tcPr>
          <w:p w14:paraId="0723E35D">
            <w:pPr>
              <w:jc w:val="center"/>
              <w:rPr>
                <w:rFonts w:ascii="宋体" w:hAnsi="宋体"/>
                <w:color w:val="auto"/>
                <w:szCs w:val="44"/>
                <w:highlight w:val="none"/>
              </w:rPr>
            </w:pPr>
          </w:p>
        </w:tc>
        <w:tc>
          <w:tcPr>
            <w:tcW w:w="650" w:type="dxa"/>
            <w:vAlign w:val="center"/>
          </w:tcPr>
          <w:p w14:paraId="5FE05BE2">
            <w:pPr>
              <w:jc w:val="center"/>
              <w:rPr>
                <w:rFonts w:ascii="宋体" w:hAnsi="宋体"/>
                <w:color w:val="auto"/>
                <w:szCs w:val="44"/>
                <w:highlight w:val="none"/>
              </w:rPr>
            </w:pPr>
          </w:p>
        </w:tc>
        <w:tc>
          <w:tcPr>
            <w:tcW w:w="650" w:type="dxa"/>
            <w:vAlign w:val="center"/>
          </w:tcPr>
          <w:p w14:paraId="38714D01">
            <w:pPr>
              <w:jc w:val="center"/>
              <w:rPr>
                <w:rFonts w:ascii="宋体" w:hAnsi="宋体"/>
                <w:color w:val="auto"/>
                <w:szCs w:val="44"/>
                <w:highlight w:val="none"/>
              </w:rPr>
            </w:pPr>
          </w:p>
        </w:tc>
        <w:tc>
          <w:tcPr>
            <w:tcW w:w="650" w:type="dxa"/>
            <w:vAlign w:val="center"/>
          </w:tcPr>
          <w:p w14:paraId="5DFCA6BC">
            <w:pPr>
              <w:jc w:val="center"/>
              <w:rPr>
                <w:rFonts w:ascii="宋体" w:hAnsi="宋体"/>
                <w:color w:val="auto"/>
                <w:szCs w:val="44"/>
                <w:highlight w:val="none"/>
              </w:rPr>
            </w:pPr>
          </w:p>
        </w:tc>
        <w:tc>
          <w:tcPr>
            <w:tcW w:w="651" w:type="dxa"/>
            <w:vAlign w:val="center"/>
          </w:tcPr>
          <w:p w14:paraId="70579E60">
            <w:pPr>
              <w:jc w:val="center"/>
              <w:rPr>
                <w:rFonts w:ascii="宋体" w:hAnsi="宋体"/>
                <w:color w:val="auto"/>
                <w:szCs w:val="44"/>
                <w:highlight w:val="none"/>
              </w:rPr>
            </w:pPr>
          </w:p>
        </w:tc>
        <w:tc>
          <w:tcPr>
            <w:tcW w:w="818" w:type="dxa"/>
            <w:vAlign w:val="center"/>
          </w:tcPr>
          <w:p w14:paraId="31700158">
            <w:pPr>
              <w:jc w:val="center"/>
              <w:rPr>
                <w:rFonts w:ascii="宋体" w:hAnsi="宋体"/>
                <w:color w:val="auto"/>
                <w:szCs w:val="44"/>
                <w:highlight w:val="none"/>
              </w:rPr>
            </w:pPr>
          </w:p>
        </w:tc>
      </w:tr>
      <w:tr w14:paraId="4737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2F9186E0">
            <w:pPr>
              <w:jc w:val="center"/>
              <w:rPr>
                <w:rFonts w:ascii="宋体" w:hAnsi="宋体"/>
                <w:color w:val="auto"/>
                <w:szCs w:val="44"/>
                <w:highlight w:val="none"/>
              </w:rPr>
            </w:pPr>
            <w:r>
              <w:rPr>
                <w:rFonts w:hint="eastAsia" w:ascii="宋体" w:hAnsi="宋体"/>
                <w:color w:val="auto"/>
                <w:szCs w:val="44"/>
                <w:highlight w:val="none"/>
              </w:rPr>
              <w:t>6</w:t>
            </w:r>
          </w:p>
        </w:tc>
        <w:tc>
          <w:tcPr>
            <w:tcW w:w="1363" w:type="dxa"/>
            <w:vAlign w:val="center"/>
          </w:tcPr>
          <w:p w14:paraId="7B2E4E69">
            <w:pPr>
              <w:jc w:val="center"/>
              <w:rPr>
                <w:rFonts w:ascii="宋体" w:hAnsi="宋体"/>
                <w:color w:val="auto"/>
                <w:szCs w:val="44"/>
                <w:highlight w:val="none"/>
              </w:rPr>
            </w:pPr>
          </w:p>
        </w:tc>
        <w:tc>
          <w:tcPr>
            <w:tcW w:w="650" w:type="dxa"/>
            <w:vAlign w:val="center"/>
          </w:tcPr>
          <w:p w14:paraId="10286986">
            <w:pPr>
              <w:jc w:val="center"/>
              <w:rPr>
                <w:color w:val="auto"/>
                <w:highlight w:val="none"/>
              </w:rPr>
            </w:pPr>
          </w:p>
        </w:tc>
        <w:tc>
          <w:tcPr>
            <w:tcW w:w="650" w:type="dxa"/>
            <w:vAlign w:val="center"/>
          </w:tcPr>
          <w:p w14:paraId="7A582C11">
            <w:pPr>
              <w:jc w:val="center"/>
              <w:rPr>
                <w:rFonts w:ascii="宋体" w:hAnsi="宋体"/>
                <w:color w:val="auto"/>
                <w:szCs w:val="44"/>
                <w:highlight w:val="none"/>
              </w:rPr>
            </w:pPr>
          </w:p>
        </w:tc>
        <w:tc>
          <w:tcPr>
            <w:tcW w:w="650" w:type="dxa"/>
            <w:vAlign w:val="center"/>
          </w:tcPr>
          <w:p w14:paraId="36C75365">
            <w:pPr>
              <w:jc w:val="center"/>
              <w:rPr>
                <w:rFonts w:ascii="宋体" w:hAnsi="宋体"/>
                <w:color w:val="auto"/>
                <w:szCs w:val="44"/>
                <w:highlight w:val="none"/>
              </w:rPr>
            </w:pPr>
          </w:p>
        </w:tc>
        <w:tc>
          <w:tcPr>
            <w:tcW w:w="650" w:type="dxa"/>
            <w:vAlign w:val="center"/>
          </w:tcPr>
          <w:p w14:paraId="086B247F">
            <w:pPr>
              <w:jc w:val="center"/>
              <w:rPr>
                <w:rFonts w:ascii="宋体" w:hAnsi="宋体"/>
                <w:color w:val="auto"/>
                <w:szCs w:val="44"/>
                <w:highlight w:val="none"/>
              </w:rPr>
            </w:pPr>
          </w:p>
        </w:tc>
        <w:tc>
          <w:tcPr>
            <w:tcW w:w="650" w:type="dxa"/>
            <w:vAlign w:val="center"/>
          </w:tcPr>
          <w:p w14:paraId="3CAB29E3">
            <w:pPr>
              <w:jc w:val="center"/>
              <w:rPr>
                <w:rFonts w:ascii="宋体" w:hAnsi="宋体"/>
                <w:color w:val="auto"/>
                <w:szCs w:val="44"/>
                <w:highlight w:val="none"/>
              </w:rPr>
            </w:pPr>
          </w:p>
        </w:tc>
        <w:tc>
          <w:tcPr>
            <w:tcW w:w="650" w:type="dxa"/>
            <w:vAlign w:val="center"/>
          </w:tcPr>
          <w:p w14:paraId="317ED12B">
            <w:pPr>
              <w:jc w:val="center"/>
              <w:rPr>
                <w:rFonts w:ascii="宋体" w:hAnsi="宋体"/>
                <w:color w:val="auto"/>
                <w:szCs w:val="44"/>
                <w:highlight w:val="none"/>
              </w:rPr>
            </w:pPr>
          </w:p>
        </w:tc>
        <w:tc>
          <w:tcPr>
            <w:tcW w:w="650" w:type="dxa"/>
            <w:vAlign w:val="center"/>
          </w:tcPr>
          <w:p w14:paraId="6D2C385E">
            <w:pPr>
              <w:jc w:val="center"/>
              <w:rPr>
                <w:rFonts w:ascii="宋体" w:hAnsi="宋体"/>
                <w:color w:val="auto"/>
                <w:szCs w:val="44"/>
                <w:highlight w:val="none"/>
              </w:rPr>
            </w:pPr>
          </w:p>
        </w:tc>
        <w:tc>
          <w:tcPr>
            <w:tcW w:w="650" w:type="dxa"/>
            <w:vAlign w:val="center"/>
          </w:tcPr>
          <w:p w14:paraId="6325CEAF">
            <w:pPr>
              <w:jc w:val="center"/>
              <w:rPr>
                <w:rFonts w:ascii="宋体" w:hAnsi="宋体"/>
                <w:color w:val="auto"/>
                <w:szCs w:val="44"/>
                <w:highlight w:val="none"/>
              </w:rPr>
            </w:pPr>
          </w:p>
        </w:tc>
        <w:tc>
          <w:tcPr>
            <w:tcW w:w="651" w:type="dxa"/>
            <w:vAlign w:val="center"/>
          </w:tcPr>
          <w:p w14:paraId="1551BF48">
            <w:pPr>
              <w:jc w:val="center"/>
              <w:rPr>
                <w:rFonts w:ascii="宋体" w:hAnsi="宋体"/>
                <w:color w:val="auto"/>
                <w:szCs w:val="44"/>
                <w:highlight w:val="none"/>
              </w:rPr>
            </w:pPr>
          </w:p>
        </w:tc>
        <w:tc>
          <w:tcPr>
            <w:tcW w:w="818" w:type="dxa"/>
            <w:vAlign w:val="center"/>
          </w:tcPr>
          <w:p w14:paraId="68E8D3F1">
            <w:pPr>
              <w:jc w:val="center"/>
              <w:rPr>
                <w:rFonts w:ascii="宋体" w:hAnsi="宋体"/>
                <w:color w:val="auto"/>
                <w:szCs w:val="44"/>
                <w:highlight w:val="none"/>
              </w:rPr>
            </w:pPr>
          </w:p>
        </w:tc>
      </w:tr>
      <w:tr w14:paraId="475E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F544874">
            <w:pPr>
              <w:jc w:val="center"/>
              <w:rPr>
                <w:rFonts w:ascii="宋体" w:hAnsi="宋体"/>
                <w:color w:val="auto"/>
                <w:szCs w:val="44"/>
                <w:highlight w:val="none"/>
              </w:rPr>
            </w:pPr>
            <w:r>
              <w:rPr>
                <w:rFonts w:hint="eastAsia" w:ascii="宋体" w:hAnsi="宋体"/>
                <w:color w:val="auto"/>
                <w:szCs w:val="44"/>
                <w:highlight w:val="none"/>
              </w:rPr>
              <w:t>…</w:t>
            </w:r>
          </w:p>
        </w:tc>
        <w:tc>
          <w:tcPr>
            <w:tcW w:w="1363" w:type="dxa"/>
            <w:vAlign w:val="center"/>
          </w:tcPr>
          <w:p w14:paraId="7B7C9504">
            <w:pPr>
              <w:rPr>
                <w:rFonts w:ascii="宋体" w:hAnsi="宋体"/>
                <w:color w:val="auto"/>
                <w:szCs w:val="21"/>
                <w:highlight w:val="none"/>
              </w:rPr>
            </w:pPr>
          </w:p>
        </w:tc>
        <w:tc>
          <w:tcPr>
            <w:tcW w:w="650" w:type="dxa"/>
            <w:vAlign w:val="center"/>
          </w:tcPr>
          <w:p w14:paraId="66E6C798">
            <w:pPr>
              <w:jc w:val="center"/>
              <w:rPr>
                <w:color w:val="auto"/>
                <w:highlight w:val="none"/>
              </w:rPr>
            </w:pPr>
          </w:p>
        </w:tc>
        <w:tc>
          <w:tcPr>
            <w:tcW w:w="650" w:type="dxa"/>
            <w:vAlign w:val="center"/>
          </w:tcPr>
          <w:p w14:paraId="0D0C5FAA">
            <w:pPr>
              <w:jc w:val="center"/>
              <w:rPr>
                <w:rFonts w:ascii="宋体" w:hAnsi="宋体"/>
                <w:color w:val="auto"/>
                <w:szCs w:val="44"/>
                <w:highlight w:val="none"/>
              </w:rPr>
            </w:pPr>
          </w:p>
        </w:tc>
        <w:tc>
          <w:tcPr>
            <w:tcW w:w="650" w:type="dxa"/>
            <w:vAlign w:val="center"/>
          </w:tcPr>
          <w:p w14:paraId="254CF6B1">
            <w:pPr>
              <w:jc w:val="center"/>
              <w:rPr>
                <w:rFonts w:ascii="宋体" w:hAnsi="宋体"/>
                <w:color w:val="auto"/>
                <w:szCs w:val="44"/>
                <w:highlight w:val="none"/>
              </w:rPr>
            </w:pPr>
          </w:p>
        </w:tc>
        <w:tc>
          <w:tcPr>
            <w:tcW w:w="650" w:type="dxa"/>
            <w:vAlign w:val="center"/>
          </w:tcPr>
          <w:p w14:paraId="482FC0B1">
            <w:pPr>
              <w:jc w:val="center"/>
              <w:rPr>
                <w:rFonts w:ascii="宋体" w:hAnsi="宋体"/>
                <w:color w:val="auto"/>
                <w:szCs w:val="44"/>
                <w:highlight w:val="none"/>
              </w:rPr>
            </w:pPr>
          </w:p>
        </w:tc>
        <w:tc>
          <w:tcPr>
            <w:tcW w:w="650" w:type="dxa"/>
            <w:vAlign w:val="center"/>
          </w:tcPr>
          <w:p w14:paraId="2971542B">
            <w:pPr>
              <w:jc w:val="center"/>
              <w:rPr>
                <w:rFonts w:ascii="宋体" w:hAnsi="宋体"/>
                <w:color w:val="auto"/>
                <w:szCs w:val="44"/>
                <w:highlight w:val="none"/>
              </w:rPr>
            </w:pPr>
          </w:p>
        </w:tc>
        <w:tc>
          <w:tcPr>
            <w:tcW w:w="650" w:type="dxa"/>
            <w:vAlign w:val="center"/>
          </w:tcPr>
          <w:p w14:paraId="569BA40F">
            <w:pPr>
              <w:jc w:val="center"/>
              <w:rPr>
                <w:rFonts w:ascii="宋体" w:hAnsi="宋体"/>
                <w:color w:val="auto"/>
                <w:szCs w:val="44"/>
                <w:highlight w:val="none"/>
              </w:rPr>
            </w:pPr>
          </w:p>
        </w:tc>
        <w:tc>
          <w:tcPr>
            <w:tcW w:w="650" w:type="dxa"/>
            <w:vAlign w:val="center"/>
          </w:tcPr>
          <w:p w14:paraId="0CCC4D7F">
            <w:pPr>
              <w:jc w:val="center"/>
              <w:rPr>
                <w:rFonts w:ascii="宋体" w:hAnsi="宋体"/>
                <w:color w:val="auto"/>
                <w:szCs w:val="44"/>
                <w:highlight w:val="none"/>
              </w:rPr>
            </w:pPr>
          </w:p>
        </w:tc>
        <w:tc>
          <w:tcPr>
            <w:tcW w:w="650" w:type="dxa"/>
            <w:vAlign w:val="center"/>
          </w:tcPr>
          <w:p w14:paraId="2F01D287">
            <w:pPr>
              <w:jc w:val="center"/>
              <w:rPr>
                <w:rFonts w:ascii="宋体" w:hAnsi="宋体"/>
                <w:color w:val="auto"/>
                <w:szCs w:val="44"/>
                <w:highlight w:val="none"/>
              </w:rPr>
            </w:pPr>
          </w:p>
        </w:tc>
        <w:tc>
          <w:tcPr>
            <w:tcW w:w="651" w:type="dxa"/>
            <w:vAlign w:val="center"/>
          </w:tcPr>
          <w:p w14:paraId="0124D361">
            <w:pPr>
              <w:jc w:val="center"/>
              <w:rPr>
                <w:rFonts w:ascii="宋体" w:hAnsi="宋体"/>
                <w:color w:val="auto"/>
                <w:szCs w:val="44"/>
                <w:highlight w:val="none"/>
              </w:rPr>
            </w:pPr>
          </w:p>
        </w:tc>
        <w:tc>
          <w:tcPr>
            <w:tcW w:w="818" w:type="dxa"/>
            <w:vAlign w:val="center"/>
          </w:tcPr>
          <w:p w14:paraId="4707E508">
            <w:pPr>
              <w:jc w:val="center"/>
              <w:rPr>
                <w:rFonts w:ascii="宋体" w:hAnsi="宋体"/>
                <w:color w:val="auto"/>
                <w:szCs w:val="44"/>
                <w:highlight w:val="none"/>
              </w:rPr>
            </w:pPr>
          </w:p>
        </w:tc>
      </w:tr>
      <w:tr w14:paraId="2DD2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742" w:type="dxa"/>
            <w:gridSpan w:val="12"/>
            <w:vAlign w:val="center"/>
          </w:tcPr>
          <w:p w14:paraId="295FEF9A">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564CD8F9">
            <w:pPr>
              <w:jc w:val="left"/>
              <w:rPr>
                <w:rFonts w:ascii="宋体" w:hAnsi="宋体"/>
                <w:color w:val="auto"/>
                <w:szCs w:val="44"/>
                <w:highlight w:val="none"/>
              </w:rPr>
            </w:pPr>
          </w:p>
          <w:p w14:paraId="4678198A">
            <w:pPr>
              <w:jc w:val="left"/>
              <w:rPr>
                <w:rFonts w:ascii="宋体" w:hAnsi="宋体"/>
                <w:color w:val="auto"/>
                <w:szCs w:val="44"/>
                <w:highlight w:val="none"/>
              </w:rPr>
            </w:pPr>
          </w:p>
          <w:p w14:paraId="2AD3FF8A">
            <w:pPr>
              <w:jc w:val="left"/>
              <w:rPr>
                <w:rFonts w:ascii="宋体" w:hAnsi="宋体"/>
                <w:color w:val="auto"/>
                <w:szCs w:val="44"/>
                <w:highlight w:val="none"/>
              </w:rPr>
            </w:pPr>
          </w:p>
          <w:p w14:paraId="3F07EB0B">
            <w:pPr>
              <w:jc w:val="left"/>
              <w:rPr>
                <w:rFonts w:ascii="宋体" w:hAnsi="宋体"/>
                <w:color w:val="auto"/>
                <w:szCs w:val="44"/>
                <w:highlight w:val="none"/>
              </w:rPr>
            </w:pPr>
          </w:p>
          <w:p w14:paraId="10D1BAB5">
            <w:pPr>
              <w:jc w:val="center"/>
              <w:rPr>
                <w:rFonts w:ascii="宋体" w:hAnsi="宋体"/>
                <w:color w:val="auto"/>
                <w:szCs w:val="44"/>
                <w:highlight w:val="none"/>
              </w:rPr>
            </w:pPr>
          </w:p>
        </w:tc>
      </w:tr>
    </w:tbl>
    <w:p w14:paraId="6FFB2350">
      <w:pPr>
        <w:spacing w:line="400" w:lineRule="exact"/>
        <w:ind w:left="840" w:leftChars="400" w:firstLine="3780" w:firstLineChars="1800"/>
        <w:rPr>
          <w:rFonts w:ascii="宋体" w:hAnsi="宋体"/>
          <w:color w:val="auto"/>
          <w:szCs w:val="44"/>
          <w:highlight w:val="none"/>
        </w:rPr>
      </w:pPr>
      <w:r>
        <w:rPr>
          <w:rFonts w:hint="eastAsia" w:ascii="宋体" w:hAnsi="宋体"/>
          <w:color w:val="auto"/>
          <w:szCs w:val="44"/>
          <w:highlight w:val="none"/>
        </w:rPr>
        <w:t xml:space="preserve">          日期：    年    月    日</w:t>
      </w:r>
    </w:p>
    <w:p w14:paraId="20F75F20">
      <w:pPr>
        <w:rPr>
          <w:rFonts w:ascii="宋体" w:hAnsi="宋体"/>
          <w:color w:val="auto"/>
          <w:szCs w:val="44"/>
          <w:highlight w:val="none"/>
        </w:rPr>
      </w:pPr>
    </w:p>
    <w:p w14:paraId="067B1298">
      <w:pPr>
        <w:rPr>
          <w:rFonts w:ascii="宋体" w:hAnsi="宋体"/>
          <w:color w:val="auto"/>
          <w:szCs w:val="44"/>
          <w:highlight w:val="none"/>
        </w:rPr>
      </w:pPr>
      <w:r>
        <w:rPr>
          <w:rFonts w:ascii="宋体" w:hAnsi="宋体"/>
          <w:color w:val="auto"/>
          <w:szCs w:val="44"/>
          <w:highlight w:val="none"/>
        </w:rPr>
        <w:br w:type="page"/>
      </w:r>
    </w:p>
    <w:p w14:paraId="4837B0CE">
      <w:pPr>
        <w:pStyle w:val="25"/>
        <w:rPr>
          <w:rFonts w:ascii="黑体" w:hAnsi="宋体"/>
          <w:color w:val="auto"/>
          <w:highlight w:val="none"/>
        </w:rPr>
      </w:pPr>
      <w:bookmarkStart w:id="526" w:name="_Toc29305"/>
      <w:bookmarkStart w:id="527" w:name="_Toc26160"/>
      <w:bookmarkStart w:id="528" w:name="_Toc165804451"/>
      <w:bookmarkStart w:id="529" w:name="_Toc27001"/>
      <w:bookmarkStart w:id="530" w:name="_Toc256000134"/>
      <w:bookmarkStart w:id="531" w:name="_Toc4078"/>
      <w:r>
        <w:rPr>
          <w:rFonts w:hint="eastAsia"/>
          <w:color w:val="auto"/>
          <w:highlight w:val="none"/>
        </w:rPr>
        <w:t>附表A-5：资格评审记录表</w:t>
      </w:r>
      <w:bookmarkEnd w:id="526"/>
      <w:bookmarkEnd w:id="527"/>
      <w:bookmarkEnd w:id="528"/>
      <w:bookmarkEnd w:id="529"/>
      <w:bookmarkEnd w:id="530"/>
      <w:bookmarkEnd w:id="531"/>
    </w:p>
    <w:p w14:paraId="79F752C8">
      <w:pPr>
        <w:spacing w:after="240" w:afterLines="100"/>
        <w:jc w:val="center"/>
        <w:rPr>
          <w:rFonts w:ascii="黑体" w:hAnsi="宋体" w:eastAsia="黑体"/>
          <w:color w:val="auto"/>
          <w:sz w:val="36"/>
          <w:szCs w:val="36"/>
          <w:highlight w:val="none"/>
        </w:rPr>
      </w:pPr>
    </w:p>
    <w:p w14:paraId="39834AA0">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532" w:name="_Toc148976156"/>
      <w:bookmarkStart w:id="533" w:name="_Toc148971948"/>
      <w:bookmarkStart w:id="534" w:name="_Toc21096"/>
      <w:r>
        <w:rPr>
          <w:rFonts w:hint="eastAsia" w:ascii="黑体" w:hAnsi="黑体" w:eastAsia="黑体"/>
          <w:color w:val="auto"/>
          <w:sz w:val="36"/>
          <w:szCs w:val="36"/>
          <w:highlight w:val="none"/>
        </w:rPr>
        <w:t>资格评审记录表</w:t>
      </w:r>
      <w:bookmarkEnd w:id="532"/>
      <w:bookmarkEnd w:id="533"/>
      <w:bookmarkEnd w:id="534"/>
    </w:p>
    <w:p w14:paraId="557EAF7A">
      <w:pPr>
        <w:rPr>
          <w:rFonts w:ascii="宋体" w:hAnsi="宋体"/>
          <w:color w:val="auto"/>
          <w:szCs w:val="44"/>
          <w:highlight w:val="none"/>
        </w:rPr>
      </w:pPr>
      <w:r>
        <w:rPr>
          <w:rFonts w:hint="eastAsia" w:ascii="宋体" w:hAnsi="宋体"/>
          <w:color w:val="auto"/>
          <w:szCs w:val="44"/>
          <w:highlight w:val="none"/>
        </w:rPr>
        <w:t>标段名称：</w:t>
      </w:r>
    </w:p>
    <w:p w14:paraId="013F2F48">
      <w:pPr>
        <w:rPr>
          <w:rFonts w:ascii="宋体" w:hAnsi="宋体"/>
          <w:color w:val="auto"/>
          <w:szCs w:val="44"/>
          <w:highlight w:val="none"/>
        </w:rPr>
      </w:pPr>
      <w:r>
        <w:rPr>
          <w:rFonts w:hint="eastAsia"/>
          <w:color w:val="auto"/>
          <w:szCs w:val="44"/>
          <w:highlight w:val="none"/>
        </w:rPr>
        <w:t>标段唯一标识码：</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14:paraId="3B1E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14:paraId="61CC235E">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432" w:type="dxa"/>
            <w:vMerge w:val="restart"/>
            <w:vAlign w:val="center"/>
          </w:tcPr>
          <w:p w14:paraId="0557457B">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72BBEB28">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14A38DD8">
            <w:pPr>
              <w:jc w:val="center"/>
              <w:rPr>
                <w:rFonts w:ascii="宋体" w:hAnsi="宋体"/>
                <w:b/>
                <w:bCs/>
                <w:color w:val="auto"/>
                <w:szCs w:val="44"/>
                <w:highlight w:val="none"/>
              </w:rPr>
            </w:pPr>
            <w:r>
              <w:rPr>
                <w:rFonts w:ascii="宋体" w:hAnsi="宋体"/>
                <w:b/>
                <w:bCs/>
                <w:color w:val="auto"/>
                <w:szCs w:val="21"/>
                <w:highlight w:val="none"/>
              </w:rPr>
              <w:t>评审结论</w:t>
            </w:r>
          </w:p>
        </w:tc>
      </w:tr>
      <w:tr w14:paraId="08AD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14:paraId="70801E5E">
            <w:pPr>
              <w:jc w:val="center"/>
              <w:rPr>
                <w:rFonts w:ascii="宋体" w:hAnsi="宋体"/>
                <w:color w:val="auto"/>
                <w:szCs w:val="44"/>
                <w:highlight w:val="none"/>
              </w:rPr>
            </w:pPr>
          </w:p>
        </w:tc>
        <w:tc>
          <w:tcPr>
            <w:tcW w:w="1432" w:type="dxa"/>
            <w:vMerge w:val="continue"/>
          </w:tcPr>
          <w:p w14:paraId="7BFB8690">
            <w:pPr>
              <w:jc w:val="center"/>
              <w:rPr>
                <w:rFonts w:ascii="宋体" w:hAnsi="宋体"/>
                <w:color w:val="auto"/>
                <w:szCs w:val="44"/>
                <w:highlight w:val="none"/>
              </w:rPr>
            </w:pPr>
          </w:p>
        </w:tc>
        <w:tc>
          <w:tcPr>
            <w:tcW w:w="650" w:type="dxa"/>
            <w:vAlign w:val="center"/>
          </w:tcPr>
          <w:p w14:paraId="7126BEF1">
            <w:pPr>
              <w:jc w:val="center"/>
              <w:rPr>
                <w:rFonts w:ascii="宋体" w:hAnsi="宋体"/>
                <w:color w:val="auto"/>
                <w:szCs w:val="44"/>
                <w:highlight w:val="none"/>
              </w:rPr>
            </w:pPr>
          </w:p>
        </w:tc>
        <w:tc>
          <w:tcPr>
            <w:tcW w:w="650" w:type="dxa"/>
            <w:vAlign w:val="center"/>
          </w:tcPr>
          <w:p w14:paraId="569BC346">
            <w:pPr>
              <w:jc w:val="center"/>
              <w:rPr>
                <w:rFonts w:ascii="宋体" w:hAnsi="宋体"/>
                <w:color w:val="auto"/>
                <w:szCs w:val="44"/>
                <w:highlight w:val="none"/>
              </w:rPr>
            </w:pPr>
          </w:p>
        </w:tc>
        <w:tc>
          <w:tcPr>
            <w:tcW w:w="650" w:type="dxa"/>
            <w:vAlign w:val="center"/>
          </w:tcPr>
          <w:p w14:paraId="22CA33FA">
            <w:pPr>
              <w:jc w:val="center"/>
              <w:rPr>
                <w:rFonts w:ascii="宋体" w:hAnsi="宋体"/>
                <w:color w:val="auto"/>
                <w:szCs w:val="44"/>
                <w:highlight w:val="none"/>
              </w:rPr>
            </w:pPr>
          </w:p>
        </w:tc>
        <w:tc>
          <w:tcPr>
            <w:tcW w:w="650" w:type="dxa"/>
            <w:vAlign w:val="center"/>
          </w:tcPr>
          <w:p w14:paraId="54BABD91">
            <w:pPr>
              <w:jc w:val="center"/>
              <w:rPr>
                <w:rFonts w:ascii="宋体" w:hAnsi="宋体"/>
                <w:color w:val="auto"/>
                <w:szCs w:val="44"/>
                <w:highlight w:val="none"/>
              </w:rPr>
            </w:pPr>
          </w:p>
        </w:tc>
        <w:tc>
          <w:tcPr>
            <w:tcW w:w="650" w:type="dxa"/>
            <w:vAlign w:val="center"/>
          </w:tcPr>
          <w:p w14:paraId="75501D17">
            <w:pPr>
              <w:jc w:val="center"/>
              <w:rPr>
                <w:rFonts w:ascii="宋体" w:hAnsi="宋体"/>
                <w:color w:val="auto"/>
                <w:szCs w:val="44"/>
                <w:highlight w:val="none"/>
              </w:rPr>
            </w:pPr>
          </w:p>
        </w:tc>
        <w:tc>
          <w:tcPr>
            <w:tcW w:w="650" w:type="dxa"/>
            <w:vAlign w:val="center"/>
          </w:tcPr>
          <w:p w14:paraId="1CF65D1D">
            <w:pPr>
              <w:jc w:val="center"/>
              <w:rPr>
                <w:rFonts w:ascii="宋体" w:hAnsi="宋体"/>
                <w:color w:val="auto"/>
                <w:szCs w:val="44"/>
                <w:highlight w:val="none"/>
              </w:rPr>
            </w:pPr>
          </w:p>
        </w:tc>
        <w:tc>
          <w:tcPr>
            <w:tcW w:w="650" w:type="dxa"/>
            <w:vAlign w:val="center"/>
          </w:tcPr>
          <w:p w14:paraId="2A2344A4">
            <w:pPr>
              <w:jc w:val="center"/>
              <w:rPr>
                <w:rFonts w:ascii="宋体" w:hAnsi="宋体"/>
                <w:color w:val="auto"/>
                <w:szCs w:val="44"/>
                <w:highlight w:val="none"/>
              </w:rPr>
            </w:pPr>
          </w:p>
        </w:tc>
        <w:tc>
          <w:tcPr>
            <w:tcW w:w="650" w:type="dxa"/>
            <w:vAlign w:val="center"/>
          </w:tcPr>
          <w:p w14:paraId="51D5B03A">
            <w:pPr>
              <w:jc w:val="center"/>
              <w:rPr>
                <w:rFonts w:ascii="宋体" w:hAnsi="宋体"/>
                <w:color w:val="auto"/>
                <w:szCs w:val="44"/>
                <w:highlight w:val="none"/>
              </w:rPr>
            </w:pPr>
          </w:p>
        </w:tc>
        <w:tc>
          <w:tcPr>
            <w:tcW w:w="651" w:type="dxa"/>
            <w:vAlign w:val="center"/>
          </w:tcPr>
          <w:p w14:paraId="01C6252D">
            <w:pPr>
              <w:jc w:val="center"/>
              <w:rPr>
                <w:rFonts w:ascii="宋体" w:hAnsi="宋体"/>
                <w:color w:val="auto"/>
                <w:szCs w:val="44"/>
                <w:highlight w:val="none"/>
              </w:rPr>
            </w:pPr>
          </w:p>
        </w:tc>
        <w:tc>
          <w:tcPr>
            <w:tcW w:w="818" w:type="dxa"/>
            <w:vMerge w:val="continue"/>
            <w:vAlign w:val="center"/>
          </w:tcPr>
          <w:p w14:paraId="4FA76692">
            <w:pPr>
              <w:jc w:val="center"/>
              <w:rPr>
                <w:rFonts w:ascii="宋体" w:hAnsi="宋体"/>
                <w:color w:val="auto"/>
                <w:szCs w:val="44"/>
                <w:highlight w:val="none"/>
              </w:rPr>
            </w:pPr>
          </w:p>
        </w:tc>
      </w:tr>
      <w:tr w14:paraId="608A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51232ED7">
            <w:pPr>
              <w:jc w:val="center"/>
              <w:rPr>
                <w:rFonts w:ascii="宋体" w:hAnsi="宋体"/>
                <w:color w:val="auto"/>
                <w:szCs w:val="44"/>
                <w:highlight w:val="none"/>
              </w:rPr>
            </w:pPr>
            <w:r>
              <w:rPr>
                <w:rFonts w:hint="eastAsia" w:ascii="宋体" w:hAnsi="宋体"/>
                <w:color w:val="auto"/>
                <w:szCs w:val="44"/>
                <w:highlight w:val="none"/>
              </w:rPr>
              <w:t>1</w:t>
            </w:r>
          </w:p>
        </w:tc>
        <w:tc>
          <w:tcPr>
            <w:tcW w:w="1432" w:type="dxa"/>
            <w:vAlign w:val="center"/>
          </w:tcPr>
          <w:p w14:paraId="0B2AF0A4">
            <w:pPr>
              <w:jc w:val="center"/>
              <w:rPr>
                <w:rFonts w:ascii="宋体" w:hAnsi="宋体"/>
                <w:color w:val="auto"/>
                <w:szCs w:val="21"/>
                <w:highlight w:val="none"/>
              </w:rPr>
            </w:pPr>
          </w:p>
        </w:tc>
        <w:tc>
          <w:tcPr>
            <w:tcW w:w="650" w:type="dxa"/>
            <w:vAlign w:val="center"/>
          </w:tcPr>
          <w:p w14:paraId="592ADA87">
            <w:pPr>
              <w:jc w:val="center"/>
              <w:rPr>
                <w:rFonts w:ascii="宋体" w:hAnsi="宋体"/>
                <w:color w:val="auto"/>
                <w:szCs w:val="21"/>
                <w:highlight w:val="none"/>
              </w:rPr>
            </w:pPr>
          </w:p>
        </w:tc>
        <w:tc>
          <w:tcPr>
            <w:tcW w:w="650" w:type="dxa"/>
            <w:vAlign w:val="center"/>
          </w:tcPr>
          <w:p w14:paraId="2CB124A9">
            <w:pPr>
              <w:jc w:val="center"/>
              <w:rPr>
                <w:rFonts w:ascii="宋体" w:hAnsi="宋体"/>
                <w:color w:val="auto"/>
                <w:szCs w:val="44"/>
                <w:highlight w:val="none"/>
              </w:rPr>
            </w:pPr>
          </w:p>
        </w:tc>
        <w:tc>
          <w:tcPr>
            <w:tcW w:w="650" w:type="dxa"/>
            <w:vAlign w:val="center"/>
          </w:tcPr>
          <w:p w14:paraId="3434B0AD">
            <w:pPr>
              <w:jc w:val="center"/>
              <w:rPr>
                <w:rFonts w:ascii="宋体" w:hAnsi="宋体"/>
                <w:color w:val="auto"/>
                <w:szCs w:val="44"/>
                <w:highlight w:val="none"/>
              </w:rPr>
            </w:pPr>
          </w:p>
        </w:tc>
        <w:tc>
          <w:tcPr>
            <w:tcW w:w="650" w:type="dxa"/>
            <w:vAlign w:val="center"/>
          </w:tcPr>
          <w:p w14:paraId="51255F7E">
            <w:pPr>
              <w:jc w:val="center"/>
              <w:rPr>
                <w:rFonts w:ascii="宋体" w:hAnsi="宋体"/>
                <w:color w:val="auto"/>
                <w:szCs w:val="44"/>
                <w:highlight w:val="none"/>
              </w:rPr>
            </w:pPr>
          </w:p>
        </w:tc>
        <w:tc>
          <w:tcPr>
            <w:tcW w:w="650" w:type="dxa"/>
            <w:vAlign w:val="center"/>
          </w:tcPr>
          <w:p w14:paraId="07F554AC">
            <w:pPr>
              <w:jc w:val="center"/>
              <w:rPr>
                <w:rFonts w:ascii="宋体" w:hAnsi="宋体"/>
                <w:color w:val="auto"/>
                <w:szCs w:val="44"/>
                <w:highlight w:val="none"/>
              </w:rPr>
            </w:pPr>
          </w:p>
        </w:tc>
        <w:tc>
          <w:tcPr>
            <w:tcW w:w="650" w:type="dxa"/>
            <w:vAlign w:val="center"/>
          </w:tcPr>
          <w:p w14:paraId="104EF459">
            <w:pPr>
              <w:jc w:val="center"/>
              <w:rPr>
                <w:rFonts w:ascii="宋体" w:hAnsi="宋体"/>
                <w:color w:val="auto"/>
                <w:szCs w:val="44"/>
                <w:highlight w:val="none"/>
              </w:rPr>
            </w:pPr>
          </w:p>
        </w:tc>
        <w:tc>
          <w:tcPr>
            <w:tcW w:w="650" w:type="dxa"/>
            <w:vAlign w:val="center"/>
          </w:tcPr>
          <w:p w14:paraId="473FC91A">
            <w:pPr>
              <w:jc w:val="center"/>
              <w:rPr>
                <w:rFonts w:ascii="宋体" w:hAnsi="宋体"/>
                <w:color w:val="auto"/>
                <w:szCs w:val="44"/>
                <w:highlight w:val="none"/>
              </w:rPr>
            </w:pPr>
          </w:p>
        </w:tc>
        <w:tc>
          <w:tcPr>
            <w:tcW w:w="650" w:type="dxa"/>
            <w:vAlign w:val="center"/>
          </w:tcPr>
          <w:p w14:paraId="0B3DD9FF">
            <w:pPr>
              <w:jc w:val="center"/>
              <w:rPr>
                <w:rFonts w:ascii="宋体" w:hAnsi="宋体"/>
                <w:color w:val="auto"/>
                <w:szCs w:val="44"/>
                <w:highlight w:val="none"/>
              </w:rPr>
            </w:pPr>
          </w:p>
        </w:tc>
        <w:tc>
          <w:tcPr>
            <w:tcW w:w="651" w:type="dxa"/>
            <w:vAlign w:val="center"/>
          </w:tcPr>
          <w:p w14:paraId="3D765205">
            <w:pPr>
              <w:jc w:val="center"/>
              <w:rPr>
                <w:rFonts w:ascii="宋体" w:hAnsi="宋体"/>
                <w:color w:val="auto"/>
                <w:szCs w:val="44"/>
                <w:highlight w:val="none"/>
              </w:rPr>
            </w:pPr>
          </w:p>
        </w:tc>
        <w:tc>
          <w:tcPr>
            <w:tcW w:w="818" w:type="dxa"/>
            <w:vAlign w:val="center"/>
          </w:tcPr>
          <w:p w14:paraId="24268733">
            <w:pPr>
              <w:jc w:val="center"/>
              <w:rPr>
                <w:rFonts w:ascii="宋体" w:hAnsi="宋体"/>
                <w:color w:val="auto"/>
                <w:szCs w:val="44"/>
                <w:highlight w:val="none"/>
              </w:rPr>
            </w:pPr>
          </w:p>
        </w:tc>
      </w:tr>
      <w:tr w14:paraId="787C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19D2C882">
            <w:pPr>
              <w:jc w:val="center"/>
              <w:rPr>
                <w:rFonts w:ascii="宋体" w:hAnsi="宋体"/>
                <w:color w:val="auto"/>
                <w:szCs w:val="44"/>
                <w:highlight w:val="none"/>
              </w:rPr>
            </w:pPr>
            <w:r>
              <w:rPr>
                <w:rFonts w:hint="eastAsia" w:ascii="宋体" w:hAnsi="宋体"/>
                <w:color w:val="auto"/>
                <w:szCs w:val="44"/>
                <w:highlight w:val="none"/>
              </w:rPr>
              <w:t>2</w:t>
            </w:r>
          </w:p>
        </w:tc>
        <w:tc>
          <w:tcPr>
            <w:tcW w:w="1432" w:type="dxa"/>
            <w:vAlign w:val="center"/>
          </w:tcPr>
          <w:p w14:paraId="7675151A">
            <w:pPr>
              <w:jc w:val="center"/>
              <w:rPr>
                <w:rFonts w:ascii="宋体" w:hAnsi="宋体"/>
                <w:color w:val="auto"/>
                <w:szCs w:val="44"/>
                <w:highlight w:val="none"/>
              </w:rPr>
            </w:pPr>
          </w:p>
        </w:tc>
        <w:tc>
          <w:tcPr>
            <w:tcW w:w="650" w:type="dxa"/>
            <w:vAlign w:val="center"/>
          </w:tcPr>
          <w:p w14:paraId="79A360FC">
            <w:pPr>
              <w:jc w:val="center"/>
              <w:rPr>
                <w:color w:val="auto"/>
                <w:highlight w:val="none"/>
              </w:rPr>
            </w:pPr>
          </w:p>
        </w:tc>
        <w:tc>
          <w:tcPr>
            <w:tcW w:w="650" w:type="dxa"/>
            <w:vAlign w:val="center"/>
          </w:tcPr>
          <w:p w14:paraId="05FF6F18">
            <w:pPr>
              <w:jc w:val="center"/>
              <w:rPr>
                <w:rFonts w:ascii="宋体" w:hAnsi="宋体"/>
                <w:color w:val="auto"/>
                <w:szCs w:val="44"/>
                <w:highlight w:val="none"/>
              </w:rPr>
            </w:pPr>
          </w:p>
        </w:tc>
        <w:tc>
          <w:tcPr>
            <w:tcW w:w="650" w:type="dxa"/>
            <w:vAlign w:val="center"/>
          </w:tcPr>
          <w:p w14:paraId="71630C19">
            <w:pPr>
              <w:jc w:val="center"/>
              <w:rPr>
                <w:rFonts w:ascii="宋体" w:hAnsi="宋体"/>
                <w:color w:val="auto"/>
                <w:szCs w:val="44"/>
                <w:highlight w:val="none"/>
              </w:rPr>
            </w:pPr>
          </w:p>
        </w:tc>
        <w:tc>
          <w:tcPr>
            <w:tcW w:w="650" w:type="dxa"/>
            <w:vAlign w:val="center"/>
          </w:tcPr>
          <w:p w14:paraId="57E5333F">
            <w:pPr>
              <w:jc w:val="center"/>
              <w:rPr>
                <w:rFonts w:ascii="宋体" w:hAnsi="宋体"/>
                <w:color w:val="auto"/>
                <w:szCs w:val="44"/>
                <w:highlight w:val="none"/>
              </w:rPr>
            </w:pPr>
          </w:p>
        </w:tc>
        <w:tc>
          <w:tcPr>
            <w:tcW w:w="650" w:type="dxa"/>
            <w:vAlign w:val="center"/>
          </w:tcPr>
          <w:p w14:paraId="7BE67414">
            <w:pPr>
              <w:jc w:val="center"/>
              <w:rPr>
                <w:rFonts w:ascii="宋体" w:hAnsi="宋体"/>
                <w:color w:val="auto"/>
                <w:szCs w:val="44"/>
                <w:highlight w:val="none"/>
              </w:rPr>
            </w:pPr>
          </w:p>
        </w:tc>
        <w:tc>
          <w:tcPr>
            <w:tcW w:w="650" w:type="dxa"/>
            <w:vAlign w:val="center"/>
          </w:tcPr>
          <w:p w14:paraId="269C58AD">
            <w:pPr>
              <w:jc w:val="center"/>
              <w:rPr>
                <w:rFonts w:ascii="宋体" w:hAnsi="宋体"/>
                <w:color w:val="auto"/>
                <w:szCs w:val="44"/>
                <w:highlight w:val="none"/>
              </w:rPr>
            </w:pPr>
          </w:p>
        </w:tc>
        <w:tc>
          <w:tcPr>
            <w:tcW w:w="650" w:type="dxa"/>
            <w:vAlign w:val="center"/>
          </w:tcPr>
          <w:p w14:paraId="20C6214E">
            <w:pPr>
              <w:jc w:val="center"/>
              <w:rPr>
                <w:rFonts w:ascii="宋体" w:hAnsi="宋体"/>
                <w:color w:val="auto"/>
                <w:szCs w:val="44"/>
                <w:highlight w:val="none"/>
              </w:rPr>
            </w:pPr>
          </w:p>
        </w:tc>
        <w:tc>
          <w:tcPr>
            <w:tcW w:w="650" w:type="dxa"/>
            <w:vAlign w:val="center"/>
          </w:tcPr>
          <w:p w14:paraId="2F4830A4">
            <w:pPr>
              <w:jc w:val="center"/>
              <w:rPr>
                <w:rFonts w:ascii="宋体" w:hAnsi="宋体"/>
                <w:color w:val="auto"/>
                <w:szCs w:val="44"/>
                <w:highlight w:val="none"/>
              </w:rPr>
            </w:pPr>
          </w:p>
        </w:tc>
        <w:tc>
          <w:tcPr>
            <w:tcW w:w="651" w:type="dxa"/>
            <w:vAlign w:val="center"/>
          </w:tcPr>
          <w:p w14:paraId="02E83AB9">
            <w:pPr>
              <w:jc w:val="center"/>
              <w:rPr>
                <w:rFonts w:ascii="宋体" w:hAnsi="宋体"/>
                <w:color w:val="auto"/>
                <w:szCs w:val="44"/>
                <w:highlight w:val="none"/>
              </w:rPr>
            </w:pPr>
          </w:p>
        </w:tc>
        <w:tc>
          <w:tcPr>
            <w:tcW w:w="818" w:type="dxa"/>
            <w:vAlign w:val="center"/>
          </w:tcPr>
          <w:p w14:paraId="2F90740C">
            <w:pPr>
              <w:jc w:val="center"/>
              <w:rPr>
                <w:rFonts w:ascii="宋体" w:hAnsi="宋体"/>
                <w:color w:val="auto"/>
                <w:szCs w:val="44"/>
                <w:highlight w:val="none"/>
              </w:rPr>
            </w:pPr>
          </w:p>
        </w:tc>
      </w:tr>
      <w:tr w14:paraId="241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2489633F">
            <w:pPr>
              <w:jc w:val="center"/>
              <w:rPr>
                <w:rFonts w:ascii="宋体" w:hAnsi="宋体"/>
                <w:color w:val="auto"/>
                <w:szCs w:val="44"/>
                <w:highlight w:val="none"/>
              </w:rPr>
            </w:pPr>
            <w:r>
              <w:rPr>
                <w:rFonts w:hint="eastAsia" w:ascii="宋体" w:hAnsi="宋体"/>
                <w:color w:val="auto"/>
                <w:szCs w:val="44"/>
                <w:highlight w:val="none"/>
              </w:rPr>
              <w:t>3</w:t>
            </w:r>
          </w:p>
        </w:tc>
        <w:tc>
          <w:tcPr>
            <w:tcW w:w="1432" w:type="dxa"/>
            <w:vAlign w:val="center"/>
          </w:tcPr>
          <w:p w14:paraId="7865D86D">
            <w:pPr>
              <w:jc w:val="center"/>
              <w:rPr>
                <w:rFonts w:ascii="宋体" w:hAnsi="宋体"/>
                <w:color w:val="auto"/>
                <w:szCs w:val="44"/>
                <w:highlight w:val="none"/>
              </w:rPr>
            </w:pPr>
          </w:p>
        </w:tc>
        <w:tc>
          <w:tcPr>
            <w:tcW w:w="650" w:type="dxa"/>
            <w:vAlign w:val="center"/>
          </w:tcPr>
          <w:p w14:paraId="34386F77">
            <w:pPr>
              <w:jc w:val="center"/>
              <w:rPr>
                <w:color w:val="auto"/>
                <w:highlight w:val="none"/>
              </w:rPr>
            </w:pPr>
          </w:p>
        </w:tc>
        <w:tc>
          <w:tcPr>
            <w:tcW w:w="650" w:type="dxa"/>
            <w:vAlign w:val="center"/>
          </w:tcPr>
          <w:p w14:paraId="73610E21">
            <w:pPr>
              <w:jc w:val="center"/>
              <w:rPr>
                <w:rFonts w:ascii="宋体" w:hAnsi="宋体"/>
                <w:color w:val="auto"/>
                <w:szCs w:val="44"/>
                <w:highlight w:val="none"/>
              </w:rPr>
            </w:pPr>
          </w:p>
        </w:tc>
        <w:tc>
          <w:tcPr>
            <w:tcW w:w="650" w:type="dxa"/>
            <w:vAlign w:val="center"/>
          </w:tcPr>
          <w:p w14:paraId="2B98F3D5">
            <w:pPr>
              <w:jc w:val="center"/>
              <w:rPr>
                <w:rFonts w:ascii="宋体" w:hAnsi="宋体"/>
                <w:color w:val="auto"/>
                <w:szCs w:val="44"/>
                <w:highlight w:val="none"/>
              </w:rPr>
            </w:pPr>
          </w:p>
        </w:tc>
        <w:tc>
          <w:tcPr>
            <w:tcW w:w="650" w:type="dxa"/>
            <w:vAlign w:val="center"/>
          </w:tcPr>
          <w:p w14:paraId="1608774B">
            <w:pPr>
              <w:jc w:val="center"/>
              <w:rPr>
                <w:rFonts w:ascii="宋体" w:hAnsi="宋体"/>
                <w:color w:val="auto"/>
                <w:szCs w:val="44"/>
                <w:highlight w:val="none"/>
              </w:rPr>
            </w:pPr>
          </w:p>
        </w:tc>
        <w:tc>
          <w:tcPr>
            <w:tcW w:w="650" w:type="dxa"/>
            <w:vAlign w:val="center"/>
          </w:tcPr>
          <w:p w14:paraId="5527BCFD">
            <w:pPr>
              <w:jc w:val="center"/>
              <w:rPr>
                <w:rFonts w:ascii="宋体" w:hAnsi="宋体"/>
                <w:color w:val="auto"/>
                <w:szCs w:val="44"/>
                <w:highlight w:val="none"/>
              </w:rPr>
            </w:pPr>
          </w:p>
        </w:tc>
        <w:tc>
          <w:tcPr>
            <w:tcW w:w="650" w:type="dxa"/>
            <w:vAlign w:val="center"/>
          </w:tcPr>
          <w:p w14:paraId="793777B9">
            <w:pPr>
              <w:jc w:val="center"/>
              <w:rPr>
                <w:rFonts w:ascii="宋体" w:hAnsi="宋体"/>
                <w:color w:val="auto"/>
                <w:szCs w:val="44"/>
                <w:highlight w:val="none"/>
              </w:rPr>
            </w:pPr>
          </w:p>
        </w:tc>
        <w:tc>
          <w:tcPr>
            <w:tcW w:w="650" w:type="dxa"/>
            <w:vAlign w:val="center"/>
          </w:tcPr>
          <w:p w14:paraId="22B98FB5">
            <w:pPr>
              <w:jc w:val="center"/>
              <w:rPr>
                <w:rFonts w:ascii="宋体" w:hAnsi="宋体"/>
                <w:color w:val="auto"/>
                <w:szCs w:val="44"/>
                <w:highlight w:val="none"/>
              </w:rPr>
            </w:pPr>
          </w:p>
        </w:tc>
        <w:tc>
          <w:tcPr>
            <w:tcW w:w="650" w:type="dxa"/>
            <w:vAlign w:val="center"/>
          </w:tcPr>
          <w:p w14:paraId="0781D44C">
            <w:pPr>
              <w:jc w:val="center"/>
              <w:rPr>
                <w:rFonts w:ascii="宋体" w:hAnsi="宋体"/>
                <w:color w:val="auto"/>
                <w:szCs w:val="44"/>
                <w:highlight w:val="none"/>
              </w:rPr>
            </w:pPr>
          </w:p>
        </w:tc>
        <w:tc>
          <w:tcPr>
            <w:tcW w:w="651" w:type="dxa"/>
            <w:vAlign w:val="center"/>
          </w:tcPr>
          <w:p w14:paraId="34A1E9EF">
            <w:pPr>
              <w:jc w:val="center"/>
              <w:rPr>
                <w:rFonts w:ascii="宋体" w:hAnsi="宋体"/>
                <w:color w:val="auto"/>
                <w:szCs w:val="44"/>
                <w:highlight w:val="none"/>
              </w:rPr>
            </w:pPr>
          </w:p>
        </w:tc>
        <w:tc>
          <w:tcPr>
            <w:tcW w:w="818" w:type="dxa"/>
            <w:vAlign w:val="center"/>
          </w:tcPr>
          <w:p w14:paraId="7A502B1E">
            <w:pPr>
              <w:jc w:val="center"/>
              <w:rPr>
                <w:rFonts w:ascii="宋体" w:hAnsi="宋体"/>
                <w:color w:val="auto"/>
                <w:szCs w:val="44"/>
                <w:highlight w:val="none"/>
              </w:rPr>
            </w:pPr>
          </w:p>
        </w:tc>
      </w:tr>
      <w:tr w14:paraId="701A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497323FE">
            <w:pPr>
              <w:jc w:val="center"/>
              <w:rPr>
                <w:rFonts w:ascii="宋体" w:hAnsi="宋体"/>
                <w:color w:val="auto"/>
                <w:szCs w:val="44"/>
                <w:highlight w:val="none"/>
              </w:rPr>
            </w:pPr>
            <w:r>
              <w:rPr>
                <w:rFonts w:hint="eastAsia" w:ascii="宋体" w:hAnsi="宋体"/>
                <w:color w:val="auto"/>
                <w:szCs w:val="44"/>
                <w:highlight w:val="none"/>
              </w:rPr>
              <w:t>4</w:t>
            </w:r>
          </w:p>
        </w:tc>
        <w:tc>
          <w:tcPr>
            <w:tcW w:w="1432" w:type="dxa"/>
            <w:vAlign w:val="center"/>
          </w:tcPr>
          <w:p w14:paraId="39B89822">
            <w:pPr>
              <w:jc w:val="center"/>
              <w:rPr>
                <w:rFonts w:ascii="宋体" w:hAnsi="宋体"/>
                <w:color w:val="auto"/>
                <w:szCs w:val="44"/>
                <w:highlight w:val="none"/>
              </w:rPr>
            </w:pPr>
          </w:p>
        </w:tc>
        <w:tc>
          <w:tcPr>
            <w:tcW w:w="650" w:type="dxa"/>
            <w:vAlign w:val="center"/>
          </w:tcPr>
          <w:p w14:paraId="0906B752">
            <w:pPr>
              <w:jc w:val="center"/>
              <w:rPr>
                <w:color w:val="auto"/>
                <w:highlight w:val="none"/>
              </w:rPr>
            </w:pPr>
          </w:p>
        </w:tc>
        <w:tc>
          <w:tcPr>
            <w:tcW w:w="650" w:type="dxa"/>
            <w:vAlign w:val="center"/>
          </w:tcPr>
          <w:p w14:paraId="628D8701">
            <w:pPr>
              <w:jc w:val="center"/>
              <w:rPr>
                <w:rFonts w:ascii="宋体" w:hAnsi="宋体"/>
                <w:color w:val="auto"/>
                <w:szCs w:val="44"/>
                <w:highlight w:val="none"/>
              </w:rPr>
            </w:pPr>
          </w:p>
        </w:tc>
        <w:tc>
          <w:tcPr>
            <w:tcW w:w="650" w:type="dxa"/>
            <w:vAlign w:val="center"/>
          </w:tcPr>
          <w:p w14:paraId="09767770">
            <w:pPr>
              <w:jc w:val="center"/>
              <w:rPr>
                <w:rFonts w:ascii="宋体" w:hAnsi="宋体"/>
                <w:color w:val="auto"/>
                <w:szCs w:val="44"/>
                <w:highlight w:val="none"/>
              </w:rPr>
            </w:pPr>
          </w:p>
        </w:tc>
        <w:tc>
          <w:tcPr>
            <w:tcW w:w="650" w:type="dxa"/>
            <w:vAlign w:val="center"/>
          </w:tcPr>
          <w:p w14:paraId="077D44BF">
            <w:pPr>
              <w:jc w:val="center"/>
              <w:rPr>
                <w:rFonts w:ascii="宋体" w:hAnsi="宋体"/>
                <w:color w:val="auto"/>
                <w:szCs w:val="44"/>
                <w:highlight w:val="none"/>
              </w:rPr>
            </w:pPr>
          </w:p>
        </w:tc>
        <w:tc>
          <w:tcPr>
            <w:tcW w:w="650" w:type="dxa"/>
            <w:vAlign w:val="center"/>
          </w:tcPr>
          <w:p w14:paraId="53CA0D2E">
            <w:pPr>
              <w:jc w:val="center"/>
              <w:rPr>
                <w:rFonts w:ascii="宋体" w:hAnsi="宋体"/>
                <w:color w:val="auto"/>
                <w:szCs w:val="44"/>
                <w:highlight w:val="none"/>
              </w:rPr>
            </w:pPr>
          </w:p>
        </w:tc>
        <w:tc>
          <w:tcPr>
            <w:tcW w:w="650" w:type="dxa"/>
            <w:vAlign w:val="center"/>
          </w:tcPr>
          <w:p w14:paraId="46D61961">
            <w:pPr>
              <w:jc w:val="center"/>
              <w:rPr>
                <w:rFonts w:ascii="宋体" w:hAnsi="宋体"/>
                <w:color w:val="auto"/>
                <w:szCs w:val="44"/>
                <w:highlight w:val="none"/>
              </w:rPr>
            </w:pPr>
          </w:p>
        </w:tc>
        <w:tc>
          <w:tcPr>
            <w:tcW w:w="650" w:type="dxa"/>
            <w:vAlign w:val="center"/>
          </w:tcPr>
          <w:p w14:paraId="3E51603C">
            <w:pPr>
              <w:jc w:val="center"/>
              <w:rPr>
                <w:rFonts w:ascii="宋体" w:hAnsi="宋体"/>
                <w:color w:val="auto"/>
                <w:szCs w:val="44"/>
                <w:highlight w:val="none"/>
              </w:rPr>
            </w:pPr>
          </w:p>
        </w:tc>
        <w:tc>
          <w:tcPr>
            <w:tcW w:w="650" w:type="dxa"/>
            <w:vAlign w:val="center"/>
          </w:tcPr>
          <w:p w14:paraId="69EDE8CE">
            <w:pPr>
              <w:jc w:val="center"/>
              <w:rPr>
                <w:rFonts w:ascii="宋体" w:hAnsi="宋体"/>
                <w:color w:val="auto"/>
                <w:szCs w:val="44"/>
                <w:highlight w:val="none"/>
              </w:rPr>
            </w:pPr>
          </w:p>
        </w:tc>
        <w:tc>
          <w:tcPr>
            <w:tcW w:w="651" w:type="dxa"/>
            <w:vAlign w:val="center"/>
          </w:tcPr>
          <w:p w14:paraId="1C072B4B">
            <w:pPr>
              <w:jc w:val="center"/>
              <w:rPr>
                <w:rFonts w:ascii="宋体" w:hAnsi="宋体"/>
                <w:color w:val="auto"/>
                <w:szCs w:val="44"/>
                <w:highlight w:val="none"/>
              </w:rPr>
            </w:pPr>
          </w:p>
        </w:tc>
        <w:tc>
          <w:tcPr>
            <w:tcW w:w="818" w:type="dxa"/>
            <w:vAlign w:val="center"/>
          </w:tcPr>
          <w:p w14:paraId="76E533C4">
            <w:pPr>
              <w:jc w:val="center"/>
              <w:rPr>
                <w:rFonts w:ascii="宋体" w:hAnsi="宋体"/>
                <w:color w:val="auto"/>
                <w:szCs w:val="44"/>
                <w:highlight w:val="none"/>
              </w:rPr>
            </w:pPr>
          </w:p>
        </w:tc>
      </w:tr>
      <w:tr w14:paraId="05BF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7AD6C69C">
            <w:pPr>
              <w:jc w:val="center"/>
              <w:rPr>
                <w:rFonts w:ascii="宋体" w:hAnsi="宋体"/>
                <w:color w:val="auto"/>
                <w:szCs w:val="44"/>
                <w:highlight w:val="none"/>
              </w:rPr>
            </w:pPr>
            <w:r>
              <w:rPr>
                <w:rFonts w:hint="eastAsia" w:ascii="宋体" w:hAnsi="宋体"/>
                <w:color w:val="auto"/>
                <w:szCs w:val="44"/>
                <w:highlight w:val="none"/>
              </w:rPr>
              <w:t>5</w:t>
            </w:r>
          </w:p>
        </w:tc>
        <w:tc>
          <w:tcPr>
            <w:tcW w:w="1432" w:type="dxa"/>
            <w:vAlign w:val="center"/>
          </w:tcPr>
          <w:p w14:paraId="7786047B">
            <w:pPr>
              <w:jc w:val="center"/>
              <w:rPr>
                <w:rFonts w:ascii="宋体" w:hAnsi="宋体"/>
                <w:color w:val="auto"/>
                <w:szCs w:val="44"/>
                <w:highlight w:val="none"/>
              </w:rPr>
            </w:pPr>
          </w:p>
        </w:tc>
        <w:tc>
          <w:tcPr>
            <w:tcW w:w="650" w:type="dxa"/>
            <w:vAlign w:val="center"/>
          </w:tcPr>
          <w:p w14:paraId="766C8EC0">
            <w:pPr>
              <w:jc w:val="center"/>
              <w:rPr>
                <w:color w:val="auto"/>
                <w:highlight w:val="none"/>
              </w:rPr>
            </w:pPr>
          </w:p>
        </w:tc>
        <w:tc>
          <w:tcPr>
            <w:tcW w:w="650" w:type="dxa"/>
            <w:vAlign w:val="center"/>
          </w:tcPr>
          <w:p w14:paraId="1104830C">
            <w:pPr>
              <w:jc w:val="center"/>
              <w:rPr>
                <w:rFonts w:ascii="宋体" w:hAnsi="宋体"/>
                <w:color w:val="auto"/>
                <w:szCs w:val="44"/>
                <w:highlight w:val="none"/>
              </w:rPr>
            </w:pPr>
          </w:p>
        </w:tc>
        <w:tc>
          <w:tcPr>
            <w:tcW w:w="650" w:type="dxa"/>
            <w:vAlign w:val="center"/>
          </w:tcPr>
          <w:p w14:paraId="2F8CCC76">
            <w:pPr>
              <w:jc w:val="center"/>
              <w:rPr>
                <w:rFonts w:ascii="宋体" w:hAnsi="宋体"/>
                <w:color w:val="auto"/>
                <w:szCs w:val="44"/>
                <w:highlight w:val="none"/>
              </w:rPr>
            </w:pPr>
          </w:p>
        </w:tc>
        <w:tc>
          <w:tcPr>
            <w:tcW w:w="650" w:type="dxa"/>
            <w:vAlign w:val="center"/>
          </w:tcPr>
          <w:p w14:paraId="688EFBA9">
            <w:pPr>
              <w:jc w:val="center"/>
              <w:rPr>
                <w:rFonts w:ascii="宋体" w:hAnsi="宋体"/>
                <w:color w:val="auto"/>
                <w:szCs w:val="44"/>
                <w:highlight w:val="none"/>
              </w:rPr>
            </w:pPr>
          </w:p>
        </w:tc>
        <w:tc>
          <w:tcPr>
            <w:tcW w:w="650" w:type="dxa"/>
            <w:vAlign w:val="center"/>
          </w:tcPr>
          <w:p w14:paraId="02D75CCD">
            <w:pPr>
              <w:jc w:val="center"/>
              <w:rPr>
                <w:rFonts w:ascii="宋体" w:hAnsi="宋体"/>
                <w:color w:val="auto"/>
                <w:szCs w:val="44"/>
                <w:highlight w:val="none"/>
              </w:rPr>
            </w:pPr>
          </w:p>
        </w:tc>
        <w:tc>
          <w:tcPr>
            <w:tcW w:w="650" w:type="dxa"/>
            <w:vAlign w:val="center"/>
          </w:tcPr>
          <w:p w14:paraId="7EA0A5BD">
            <w:pPr>
              <w:jc w:val="center"/>
              <w:rPr>
                <w:rFonts w:ascii="宋体" w:hAnsi="宋体"/>
                <w:color w:val="auto"/>
                <w:szCs w:val="44"/>
                <w:highlight w:val="none"/>
              </w:rPr>
            </w:pPr>
          </w:p>
        </w:tc>
        <w:tc>
          <w:tcPr>
            <w:tcW w:w="650" w:type="dxa"/>
            <w:vAlign w:val="center"/>
          </w:tcPr>
          <w:p w14:paraId="7822FF2B">
            <w:pPr>
              <w:jc w:val="center"/>
              <w:rPr>
                <w:rFonts w:ascii="宋体" w:hAnsi="宋体"/>
                <w:color w:val="auto"/>
                <w:szCs w:val="44"/>
                <w:highlight w:val="none"/>
              </w:rPr>
            </w:pPr>
          </w:p>
        </w:tc>
        <w:tc>
          <w:tcPr>
            <w:tcW w:w="650" w:type="dxa"/>
            <w:vAlign w:val="center"/>
          </w:tcPr>
          <w:p w14:paraId="3352F13F">
            <w:pPr>
              <w:jc w:val="center"/>
              <w:rPr>
                <w:rFonts w:ascii="宋体" w:hAnsi="宋体"/>
                <w:color w:val="auto"/>
                <w:szCs w:val="44"/>
                <w:highlight w:val="none"/>
              </w:rPr>
            </w:pPr>
          </w:p>
        </w:tc>
        <w:tc>
          <w:tcPr>
            <w:tcW w:w="651" w:type="dxa"/>
            <w:vAlign w:val="center"/>
          </w:tcPr>
          <w:p w14:paraId="115C064E">
            <w:pPr>
              <w:jc w:val="center"/>
              <w:rPr>
                <w:rFonts w:ascii="宋体" w:hAnsi="宋体"/>
                <w:color w:val="auto"/>
                <w:szCs w:val="44"/>
                <w:highlight w:val="none"/>
              </w:rPr>
            </w:pPr>
          </w:p>
        </w:tc>
        <w:tc>
          <w:tcPr>
            <w:tcW w:w="818" w:type="dxa"/>
            <w:vAlign w:val="center"/>
          </w:tcPr>
          <w:p w14:paraId="6C511DE3">
            <w:pPr>
              <w:jc w:val="center"/>
              <w:rPr>
                <w:rFonts w:ascii="宋体" w:hAnsi="宋体"/>
                <w:color w:val="auto"/>
                <w:szCs w:val="44"/>
                <w:highlight w:val="none"/>
              </w:rPr>
            </w:pPr>
          </w:p>
        </w:tc>
      </w:tr>
      <w:tr w14:paraId="2AE1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60E7DD28">
            <w:pPr>
              <w:jc w:val="center"/>
              <w:rPr>
                <w:rFonts w:ascii="宋体" w:hAnsi="宋体"/>
                <w:color w:val="auto"/>
                <w:szCs w:val="44"/>
                <w:highlight w:val="none"/>
              </w:rPr>
            </w:pPr>
            <w:r>
              <w:rPr>
                <w:rFonts w:hint="eastAsia" w:ascii="宋体" w:hAnsi="宋体"/>
                <w:color w:val="auto"/>
                <w:szCs w:val="44"/>
                <w:highlight w:val="none"/>
              </w:rPr>
              <w:t>6</w:t>
            </w:r>
          </w:p>
        </w:tc>
        <w:tc>
          <w:tcPr>
            <w:tcW w:w="1432" w:type="dxa"/>
            <w:vAlign w:val="center"/>
          </w:tcPr>
          <w:p w14:paraId="6CC0374B">
            <w:pPr>
              <w:jc w:val="center"/>
              <w:rPr>
                <w:rFonts w:ascii="宋体" w:hAnsi="宋体"/>
                <w:color w:val="auto"/>
                <w:szCs w:val="44"/>
                <w:highlight w:val="none"/>
              </w:rPr>
            </w:pPr>
          </w:p>
        </w:tc>
        <w:tc>
          <w:tcPr>
            <w:tcW w:w="650" w:type="dxa"/>
            <w:vAlign w:val="center"/>
          </w:tcPr>
          <w:p w14:paraId="0506D8B8">
            <w:pPr>
              <w:jc w:val="center"/>
              <w:rPr>
                <w:color w:val="auto"/>
                <w:highlight w:val="none"/>
              </w:rPr>
            </w:pPr>
          </w:p>
        </w:tc>
        <w:tc>
          <w:tcPr>
            <w:tcW w:w="650" w:type="dxa"/>
            <w:vAlign w:val="center"/>
          </w:tcPr>
          <w:p w14:paraId="1D06B209">
            <w:pPr>
              <w:jc w:val="center"/>
              <w:rPr>
                <w:rFonts w:ascii="宋体" w:hAnsi="宋体"/>
                <w:color w:val="auto"/>
                <w:szCs w:val="44"/>
                <w:highlight w:val="none"/>
              </w:rPr>
            </w:pPr>
          </w:p>
        </w:tc>
        <w:tc>
          <w:tcPr>
            <w:tcW w:w="650" w:type="dxa"/>
            <w:vAlign w:val="center"/>
          </w:tcPr>
          <w:p w14:paraId="40EBE7FD">
            <w:pPr>
              <w:jc w:val="center"/>
              <w:rPr>
                <w:rFonts w:ascii="宋体" w:hAnsi="宋体"/>
                <w:color w:val="auto"/>
                <w:szCs w:val="44"/>
                <w:highlight w:val="none"/>
              </w:rPr>
            </w:pPr>
          </w:p>
        </w:tc>
        <w:tc>
          <w:tcPr>
            <w:tcW w:w="650" w:type="dxa"/>
            <w:vAlign w:val="center"/>
          </w:tcPr>
          <w:p w14:paraId="1819CB20">
            <w:pPr>
              <w:jc w:val="center"/>
              <w:rPr>
                <w:rFonts w:ascii="宋体" w:hAnsi="宋体"/>
                <w:color w:val="auto"/>
                <w:szCs w:val="44"/>
                <w:highlight w:val="none"/>
              </w:rPr>
            </w:pPr>
          </w:p>
        </w:tc>
        <w:tc>
          <w:tcPr>
            <w:tcW w:w="650" w:type="dxa"/>
            <w:vAlign w:val="center"/>
          </w:tcPr>
          <w:p w14:paraId="7567D082">
            <w:pPr>
              <w:jc w:val="center"/>
              <w:rPr>
                <w:rFonts w:ascii="宋体" w:hAnsi="宋体"/>
                <w:color w:val="auto"/>
                <w:szCs w:val="44"/>
                <w:highlight w:val="none"/>
              </w:rPr>
            </w:pPr>
          </w:p>
        </w:tc>
        <w:tc>
          <w:tcPr>
            <w:tcW w:w="650" w:type="dxa"/>
            <w:vAlign w:val="center"/>
          </w:tcPr>
          <w:p w14:paraId="1087E322">
            <w:pPr>
              <w:jc w:val="center"/>
              <w:rPr>
                <w:rFonts w:ascii="宋体" w:hAnsi="宋体"/>
                <w:color w:val="auto"/>
                <w:szCs w:val="44"/>
                <w:highlight w:val="none"/>
              </w:rPr>
            </w:pPr>
          </w:p>
        </w:tc>
        <w:tc>
          <w:tcPr>
            <w:tcW w:w="650" w:type="dxa"/>
            <w:vAlign w:val="center"/>
          </w:tcPr>
          <w:p w14:paraId="6834DC63">
            <w:pPr>
              <w:jc w:val="center"/>
              <w:rPr>
                <w:rFonts w:ascii="宋体" w:hAnsi="宋体"/>
                <w:color w:val="auto"/>
                <w:szCs w:val="44"/>
                <w:highlight w:val="none"/>
              </w:rPr>
            </w:pPr>
          </w:p>
        </w:tc>
        <w:tc>
          <w:tcPr>
            <w:tcW w:w="650" w:type="dxa"/>
            <w:vAlign w:val="center"/>
          </w:tcPr>
          <w:p w14:paraId="350031E4">
            <w:pPr>
              <w:jc w:val="center"/>
              <w:rPr>
                <w:rFonts w:ascii="宋体" w:hAnsi="宋体"/>
                <w:color w:val="auto"/>
                <w:szCs w:val="44"/>
                <w:highlight w:val="none"/>
              </w:rPr>
            </w:pPr>
          </w:p>
        </w:tc>
        <w:tc>
          <w:tcPr>
            <w:tcW w:w="651" w:type="dxa"/>
            <w:vAlign w:val="center"/>
          </w:tcPr>
          <w:p w14:paraId="309359A5">
            <w:pPr>
              <w:jc w:val="center"/>
              <w:rPr>
                <w:rFonts w:ascii="宋体" w:hAnsi="宋体"/>
                <w:color w:val="auto"/>
                <w:szCs w:val="44"/>
                <w:highlight w:val="none"/>
              </w:rPr>
            </w:pPr>
          </w:p>
        </w:tc>
        <w:tc>
          <w:tcPr>
            <w:tcW w:w="818" w:type="dxa"/>
            <w:vAlign w:val="center"/>
          </w:tcPr>
          <w:p w14:paraId="2447219F">
            <w:pPr>
              <w:jc w:val="center"/>
              <w:rPr>
                <w:rFonts w:ascii="宋体" w:hAnsi="宋体"/>
                <w:color w:val="auto"/>
                <w:szCs w:val="44"/>
                <w:highlight w:val="none"/>
              </w:rPr>
            </w:pPr>
          </w:p>
        </w:tc>
      </w:tr>
      <w:tr w14:paraId="17AA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6F750326">
            <w:pPr>
              <w:jc w:val="center"/>
              <w:rPr>
                <w:rFonts w:ascii="宋体" w:hAnsi="宋体"/>
                <w:color w:val="auto"/>
                <w:szCs w:val="44"/>
                <w:highlight w:val="none"/>
              </w:rPr>
            </w:pPr>
            <w:r>
              <w:rPr>
                <w:rFonts w:hint="eastAsia" w:ascii="宋体" w:hAnsi="宋体"/>
                <w:color w:val="auto"/>
                <w:szCs w:val="44"/>
                <w:highlight w:val="none"/>
              </w:rPr>
              <w:t>…</w:t>
            </w:r>
          </w:p>
        </w:tc>
        <w:tc>
          <w:tcPr>
            <w:tcW w:w="1432" w:type="dxa"/>
            <w:vAlign w:val="center"/>
          </w:tcPr>
          <w:p w14:paraId="3D3F79CD">
            <w:pPr>
              <w:rPr>
                <w:rFonts w:ascii="宋体" w:hAnsi="宋体"/>
                <w:color w:val="auto"/>
                <w:szCs w:val="21"/>
                <w:highlight w:val="none"/>
              </w:rPr>
            </w:pPr>
          </w:p>
        </w:tc>
        <w:tc>
          <w:tcPr>
            <w:tcW w:w="650" w:type="dxa"/>
            <w:vAlign w:val="center"/>
          </w:tcPr>
          <w:p w14:paraId="7F964E97">
            <w:pPr>
              <w:jc w:val="center"/>
              <w:rPr>
                <w:color w:val="auto"/>
                <w:highlight w:val="none"/>
              </w:rPr>
            </w:pPr>
          </w:p>
        </w:tc>
        <w:tc>
          <w:tcPr>
            <w:tcW w:w="650" w:type="dxa"/>
            <w:vAlign w:val="center"/>
          </w:tcPr>
          <w:p w14:paraId="42BD69B4">
            <w:pPr>
              <w:jc w:val="center"/>
              <w:rPr>
                <w:rFonts w:ascii="宋体" w:hAnsi="宋体"/>
                <w:color w:val="auto"/>
                <w:szCs w:val="44"/>
                <w:highlight w:val="none"/>
              </w:rPr>
            </w:pPr>
          </w:p>
        </w:tc>
        <w:tc>
          <w:tcPr>
            <w:tcW w:w="650" w:type="dxa"/>
            <w:vAlign w:val="center"/>
          </w:tcPr>
          <w:p w14:paraId="33BFA2A4">
            <w:pPr>
              <w:jc w:val="center"/>
              <w:rPr>
                <w:rFonts w:ascii="宋体" w:hAnsi="宋体"/>
                <w:color w:val="auto"/>
                <w:szCs w:val="44"/>
                <w:highlight w:val="none"/>
              </w:rPr>
            </w:pPr>
          </w:p>
        </w:tc>
        <w:tc>
          <w:tcPr>
            <w:tcW w:w="650" w:type="dxa"/>
            <w:vAlign w:val="center"/>
          </w:tcPr>
          <w:p w14:paraId="5CA97CB8">
            <w:pPr>
              <w:jc w:val="center"/>
              <w:rPr>
                <w:rFonts w:ascii="宋体" w:hAnsi="宋体"/>
                <w:color w:val="auto"/>
                <w:szCs w:val="44"/>
                <w:highlight w:val="none"/>
              </w:rPr>
            </w:pPr>
          </w:p>
        </w:tc>
        <w:tc>
          <w:tcPr>
            <w:tcW w:w="650" w:type="dxa"/>
            <w:vAlign w:val="center"/>
          </w:tcPr>
          <w:p w14:paraId="0CF9D23C">
            <w:pPr>
              <w:jc w:val="center"/>
              <w:rPr>
                <w:rFonts w:ascii="宋体" w:hAnsi="宋体"/>
                <w:color w:val="auto"/>
                <w:szCs w:val="44"/>
                <w:highlight w:val="none"/>
              </w:rPr>
            </w:pPr>
          </w:p>
        </w:tc>
        <w:tc>
          <w:tcPr>
            <w:tcW w:w="650" w:type="dxa"/>
            <w:vAlign w:val="center"/>
          </w:tcPr>
          <w:p w14:paraId="4EC117C7">
            <w:pPr>
              <w:jc w:val="center"/>
              <w:rPr>
                <w:rFonts w:ascii="宋体" w:hAnsi="宋体"/>
                <w:color w:val="auto"/>
                <w:szCs w:val="44"/>
                <w:highlight w:val="none"/>
              </w:rPr>
            </w:pPr>
          </w:p>
        </w:tc>
        <w:tc>
          <w:tcPr>
            <w:tcW w:w="650" w:type="dxa"/>
            <w:vAlign w:val="center"/>
          </w:tcPr>
          <w:p w14:paraId="51230903">
            <w:pPr>
              <w:jc w:val="center"/>
              <w:rPr>
                <w:rFonts w:ascii="宋体" w:hAnsi="宋体"/>
                <w:color w:val="auto"/>
                <w:szCs w:val="44"/>
                <w:highlight w:val="none"/>
              </w:rPr>
            </w:pPr>
          </w:p>
        </w:tc>
        <w:tc>
          <w:tcPr>
            <w:tcW w:w="650" w:type="dxa"/>
            <w:vAlign w:val="center"/>
          </w:tcPr>
          <w:p w14:paraId="4CAAAB64">
            <w:pPr>
              <w:jc w:val="center"/>
              <w:rPr>
                <w:rFonts w:ascii="宋体" w:hAnsi="宋体"/>
                <w:color w:val="auto"/>
                <w:szCs w:val="44"/>
                <w:highlight w:val="none"/>
              </w:rPr>
            </w:pPr>
          </w:p>
        </w:tc>
        <w:tc>
          <w:tcPr>
            <w:tcW w:w="651" w:type="dxa"/>
            <w:vAlign w:val="center"/>
          </w:tcPr>
          <w:p w14:paraId="1674C81F">
            <w:pPr>
              <w:jc w:val="center"/>
              <w:rPr>
                <w:rFonts w:ascii="宋体" w:hAnsi="宋体"/>
                <w:color w:val="auto"/>
                <w:szCs w:val="44"/>
                <w:highlight w:val="none"/>
              </w:rPr>
            </w:pPr>
          </w:p>
        </w:tc>
        <w:tc>
          <w:tcPr>
            <w:tcW w:w="818" w:type="dxa"/>
            <w:vAlign w:val="center"/>
          </w:tcPr>
          <w:p w14:paraId="3BFF2C7E">
            <w:pPr>
              <w:jc w:val="center"/>
              <w:rPr>
                <w:rFonts w:ascii="宋体" w:hAnsi="宋体"/>
                <w:color w:val="auto"/>
                <w:szCs w:val="44"/>
                <w:highlight w:val="none"/>
              </w:rPr>
            </w:pPr>
          </w:p>
        </w:tc>
      </w:tr>
      <w:tr w14:paraId="2AD2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14:paraId="152841D6">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00138E8A">
            <w:pPr>
              <w:jc w:val="left"/>
              <w:rPr>
                <w:rFonts w:ascii="宋体" w:hAnsi="宋体"/>
                <w:color w:val="auto"/>
                <w:szCs w:val="44"/>
                <w:highlight w:val="none"/>
              </w:rPr>
            </w:pPr>
          </w:p>
          <w:p w14:paraId="0A161878">
            <w:pPr>
              <w:jc w:val="left"/>
              <w:rPr>
                <w:rFonts w:ascii="宋体" w:hAnsi="宋体"/>
                <w:color w:val="auto"/>
                <w:szCs w:val="44"/>
                <w:highlight w:val="none"/>
              </w:rPr>
            </w:pPr>
          </w:p>
          <w:p w14:paraId="02A8C379">
            <w:pPr>
              <w:jc w:val="left"/>
              <w:rPr>
                <w:rFonts w:ascii="宋体" w:hAnsi="宋体"/>
                <w:color w:val="auto"/>
                <w:szCs w:val="44"/>
                <w:highlight w:val="none"/>
              </w:rPr>
            </w:pPr>
          </w:p>
          <w:p w14:paraId="5A799C9F">
            <w:pPr>
              <w:jc w:val="center"/>
              <w:rPr>
                <w:rFonts w:ascii="宋体" w:hAnsi="宋体"/>
                <w:color w:val="auto"/>
                <w:szCs w:val="44"/>
                <w:highlight w:val="none"/>
              </w:rPr>
            </w:pPr>
          </w:p>
        </w:tc>
      </w:tr>
    </w:tbl>
    <w:p w14:paraId="3916B507">
      <w:pPr>
        <w:rPr>
          <w:rFonts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14:paraId="01243EAB">
      <w:pPr>
        <w:spacing w:after="240" w:afterLines="100"/>
        <w:rPr>
          <w:rFonts w:ascii="宋体" w:hAnsi="宋体"/>
          <w:color w:val="auto"/>
          <w:szCs w:val="44"/>
          <w:highlight w:val="none"/>
        </w:rPr>
      </w:pPr>
      <w:r>
        <w:rPr>
          <w:rFonts w:ascii="宋体" w:hAnsi="宋体"/>
          <w:color w:val="auto"/>
          <w:szCs w:val="44"/>
          <w:highlight w:val="none"/>
        </w:rPr>
        <w:br w:type="page"/>
      </w:r>
    </w:p>
    <w:p w14:paraId="0D090519">
      <w:pPr>
        <w:pStyle w:val="25"/>
        <w:rPr>
          <w:color w:val="auto"/>
          <w:highlight w:val="none"/>
        </w:rPr>
      </w:pPr>
      <w:bookmarkStart w:id="535" w:name="_Toc19040"/>
      <w:bookmarkStart w:id="536" w:name="_Toc1101"/>
      <w:bookmarkStart w:id="537" w:name="_Toc26120"/>
      <w:bookmarkStart w:id="538" w:name="_Toc31276"/>
      <w:bookmarkStart w:id="539" w:name="_Toc165804452"/>
      <w:bookmarkStart w:id="540" w:name="_Toc256000135"/>
      <w:r>
        <w:rPr>
          <w:rFonts w:hint="eastAsia"/>
          <w:color w:val="auto"/>
          <w:highlight w:val="none"/>
        </w:rPr>
        <w:t>附表A-6：响应性评审记录表</w:t>
      </w:r>
      <w:bookmarkEnd w:id="535"/>
      <w:bookmarkEnd w:id="536"/>
      <w:bookmarkEnd w:id="537"/>
      <w:bookmarkEnd w:id="538"/>
      <w:bookmarkEnd w:id="539"/>
      <w:bookmarkEnd w:id="540"/>
    </w:p>
    <w:p w14:paraId="4379F3FF">
      <w:pPr>
        <w:spacing w:after="240" w:afterLines="100"/>
        <w:jc w:val="center"/>
        <w:rPr>
          <w:rFonts w:ascii="黑体" w:hAnsi="宋体" w:eastAsia="黑体"/>
          <w:color w:val="auto"/>
          <w:sz w:val="36"/>
          <w:szCs w:val="36"/>
          <w:highlight w:val="none"/>
        </w:rPr>
      </w:pPr>
    </w:p>
    <w:p w14:paraId="14E9C05B">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541" w:name="_Toc148976158"/>
      <w:bookmarkStart w:id="542" w:name="_Toc148971950"/>
      <w:bookmarkStart w:id="543" w:name="_Toc9622"/>
      <w:r>
        <w:rPr>
          <w:rFonts w:hint="eastAsia" w:ascii="黑体" w:hAnsi="黑体" w:eastAsia="黑体"/>
          <w:color w:val="auto"/>
          <w:sz w:val="36"/>
          <w:szCs w:val="36"/>
          <w:highlight w:val="none"/>
        </w:rPr>
        <w:t>响应性评审记录表</w:t>
      </w:r>
      <w:bookmarkEnd w:id="541"/>
      <w:bookmarkEnd w:id="542"/>
      <w:bookmarkEnd w:id="543"/>
    </w:p>
    <w:p w14:paraId="5AA515CF">
      <w:pPr>
        <w:rPr>
          <w:rFonts w:ascii="宋体" w:hAnsi="宋体"/>
          <w:color w:val="auto"/>
          <w:szCs w:val="44"/>
          <w:highlight w:val="none"/>
        </w:rPr>
      </w:pPr>
      <w:r>
        <w:rPr>
          <w:rFonts w:hint="eastAsia" w:ascii="宋体" w:hAnsi="宋体"/>
          <w:color w:val="auto"/>
          <w:szCs w:val="44"/>
          <w:highlight w:val="none"/>
        </w:rPr>
        <w:t>标段名称：</w:t>
      </w:r>
    </w:p>
    <w:p w14:paraId="2A1843D5">
      <w:pPr>
        <w:rPr>
          <w:rFonts w:ascii="宋体" w:hAnsi="宋体"/>
          <w:color w:val="auto"/>
          <w:szCs w:val="44"/>
          <w:highlight w:val="none"/>
        </w:rPr>
      </w:pPr>
      <w:r>
        <w:rPr>
          <w:rFonts w:hint="eastAsia"/>
          <w:color w:val="auto"/>
          <w:szCs w:val="44"/>
          <w:highlight w:val="none"/>
        </w:rPr>
        <w:t>标段唯一标识码：</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14:paraId="7F26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14:paraId="0A23D8C0">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293" w:type="dxa"/>
            <w:vMerge w:val="restart"/>
            <w:vAlign w:val="center"/>
          </w:tcPr>
          <w:p w14:paraId="04E69110">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2F19EBC0">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4946AD4C">
            <w:pPr>
              <w:jc w:val="center"/>
              <w:rPr>
                <w:rFonts w:ascii="宋体" w:hAnsi="宋体"/>
                <w:b/>
                <w:bCs/>
                <w:color w:val="auto"/>
                <w:szCs w:val="44"/>
                <w:highlight w:val="none"/>
              </w:rPr>
            </w:pPr>
            <w:r>
              <w:rPr>
                <w:rFonts w:ascii="宋体" w:hAnsi="宋体"/>
                <w:b/>
                <w:bCs/>
                <w:color w:val="auto"/>
                <w:szCs w:val="21"/>
                <w:highlight w:val="none"/>
              </w:rPr>
              <w:t>评审结论</w:t>
            </w:r>
          </w:p>
        </w:tc>
      </w:tr>
      <w:tr w14:paraId="1B3C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14:paraId="3C0A5D45">
            <w:pPr>
              <w:jc w:val="center"/>
              <w:rPr>
                <w:rFonts w:ascii="宋体" w:hAnsi="宋体"/>
                <w:color w:val="auto"/>
                <w:szCs w:val="44"/>
                <w:highlight w:val="none"/>
              </w:rPr>
            </w:pPr>
          </w:p>
        </w:tc>
        <w:tc>
          <w:tcPr>
            <w:tcW w:w="1293" w:type="dxa"/>
            <w:vMerge w:val="continue"/>
          </w:tcPr>
          <w:p w14:paraId="3E9A7215">
            <w:pPr>
              <w:jc w:val="center"/>
              <w:rPr>
                <w:rFonts w:ascii="宋体" w:hAnsi="宋体"/>
                <w:color w:val="auto"/>
                <w:szCs w:val="44"/>
                <w:highlight w:val="none"/>
              </w:rPr>
            </w:pPr>
          </w:p>
        </w:tc>
        <w:tc>
          <w:tcPr>
            <w:tcW w:w="650" w:type="dxa"/>
            <w:vAlign w:val="center"/>
          </w:tcPr>
          <w:p w14:paraId="24EE270F">
            <w:pPr>
              <w:jc w:val="center"/>
              <w:rPr>
                <w:rFonts w:ascii="宋体" w:hAnsi="宋体"/>
                <w:color w:val="auto"/>
                <w:szCs w:val="44"/>
                <w:highlight w:val="none"/>
              </w:rPr>
            </w:pPr>
          </w:p>
        </w:tc>
        <w:tc>
          <w:tcPr>
            <w:tcW w:w="650" w:type="dxa"/>
            <w:vAlign w:val="center"/>
          </w:tcPr>
          <w:p w14:paraId="2A4BDE29">
            <w:pPr>
              <w:jc w:val="center"/>
              <w:rPr>
                <w:rFonts w:ascii="宋体" w:hAnsi="宋体"/>
                <w:color w:val="auto"/>
                <w:szCs w:val="44"/>
                <w:highlight w:val="none"/>
              </w:rPr>
            </w:pPr>
          </w:p>
        </w:tc>
        <w:tc>
          <w:tcPr>
            <w:tcW w:w="650" w:type="dxa"/>
            <w:vAlign w:val="center"/>
          </w:tcPr>
          <w:p w14:paraId="0CF5D7E7">
            <w:pPr>
              <w:jc w:val="center"/>
              <w:rPr>
                <w:rFonts w:ascii="宋体" w:hAnsi="宋体"/>
                <w:color w:val="auto"/>
                <w:szCs w:val="44"/>
                <w:highlight w:val="none"/>
              </w:rPr>
            </w:pPr>
          </w:p>
        </w:tc>
        <w:tc>
          <w:tcPr>
            <w:tcW w:w="650" w:type="dxa"/>
            <w:vAlign w:val="center"/>
          </w:tcPr>
          <w:p w14:paraId="68E807FD">
            <w:pPr>
              <w:jc w:val="center"/>
              <w:rPr>
                <w:rFonts w:ascii="宋体" w:hAnsi="宋体"/>
                <w:color w:val="auto"/>
                <w:szCs w:val="44"/>
                <w:highlight w:val="none"/>
              </w:rPr>
            </w:pPr>
          </w:p>
        </w:tc>
        <w:tc>
          <w:tcPr>
            <w:tcW w:w="650" w:type="dxa"/>
            <w:vAlign w:val="center"/>
          </w:tcPr>
          <w:p w14:paraId="0CAAFB69">
            <w:pPr>
              <w:jc w:val="center"/>
              <w:rPr>
                <w:rFonts w:ascii="宋体" w:hAnsi="宋体"/>
                <w:color w:val="auto"/>
                <w:szCs w:val="44"/>
                <w:highlight w:val="none"/>
              </w:rPr>
            </w:pPr>
          </w:p>
        </w:tc>
        <w:tc>
          <w:tcPr>
            <w:tcW w:w="650" w:type="dxa"/>
            <w:vAlign w:val="center"/>
          </w:tcPr>
          <w:p w14:paraId="3A43E4E9">
            <w:pPr>
              <w:jc w:val="center"/>
              <w:rPr>
                <w:rFonts w:ascii="宋体" w:hAnsi="宋体"/>
                <w:color w:val="auto"/>
                <w:szCs w:val="44"/>
                <w:highlight w:val="none"/>
              </w:rPr>
            </w:pPr>
          </w:p>
        </w:tc>
        <w:tc>
          <w:tcPr>
            <w:tcW w:w="650" w:type="dxa"/>
            <w:vAlign w:val="center"/>
          </w:tcPr>
          <w:p w14:paraId="45DD5095">
            <w:pPr>
              <w:jc w:val="center"/>
              <w:rPr>
                <w:rFonts w:ascii="宋体" w:hAnsi="宋体"/>
                <w:color w:val="auto"/>
                <w:szCs w:val="44"/>
                <w:highlight w:val="none"/>
              </w:rPr>
            </w:pPr>
          </w:p>
        </w:tc>
        <w:tc>
          <w:tcPr>
            <w:tcW w:w="650" w:type="dxa"/>
            <w:vAlign w:val="center"/>
          </w:tcPr>
          <w:p w14:paraId="4C00EF08">
            <w:pPr>
              <w:jc w:val="center"/>
              <w:rPr>
                <w:rFonts w:ascii="宋体" w:hAnsi="宋体"/>
                <w:color w:val="auto"/>
                <w:szCs w:val="44"/>
                <w:highlight w:val="none"/>
              </w:rPr>
            </w:pPr>
          </w:p>
        </w:tc>
        <w:tc>
          <w:tcPr>
            <w:tcW w:w="651" w:type="dxa"/>
            <w:vAlign w:val="center"/>
          </w:tcPr>
          <w:p w14:paraId="23B2AB8E">
            <w:pPr>
              <w:jc w:val="center"/>
              <w:rPr>
                <w:rFonts w:ascii="宋体" w:hAnsi="宋体"/>
                <w:color w:val="auto"/>
                <w:szCs w:val="44"/>
                <w:highlight w:val="none"/>
              </w:rPr>
            </w:pPr>
          </w:p>
        </w:tc>
        <w:tc>
          <w:tcPr>
            <w:tcW w:w="818" w:type="dxa"/>
            <w:vMerge w:val="continue"/>
            <w:vAlign w:val="center"/>
          </w:tcPr>
          <w:p w14:paraId="03F8E49E">
            <w:pPr>
              <w:jc w:val="center"/>
              <w:rPr>
                <w:rFonts w:ascii="宋体" w:hAnsi="宋体"/>
                <w:color w:val="auto"/>
                <w:szCs w:val="44"/>
                <w:highlight w:val="none"/>
              </w:rPr>
            </w:pPr>
          </w:p>
        </w:tc>
      </w:tr>
      <w:tr w14:paraId="7A49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680D4598">
            <w:pPr>
              <w:jc w:val="center"/>
              <w:rPr>
                <w:rFonts w:ascii="宋体" w:hAnsi="宋体"/>
                <w:color w:val="auto"/>
                <w:szCs w:val="44"/>
                <w:highlight w:val="none"/>
              </w:rPr>
            </w:pPr>
            <w:r>
              <w:rPr>
                <w:rFonts w:hint="eastAsia" w:ascii="宋体" w:hAnsi="宋体"/>
                <w:color w:val="auto"/>
                <w:szCs w:val="44"/>
                <w:highlight w:val="none"/>
              </w:rPr>
              <w:t>1</w:t>
            </w:r>
          </w:p>
        </w:tc>
        <w:tc>
          <w:tcPr>
            <w:tcW w:w="1293" w:type="dxa"/>
            <w:vAlign w:val="center"/>
          </w:tcPr>
          <w:p w14:paraId="43C081AA">
            <w:pPr>
              <w:jc w:val="center"/>
              <w:rPr>
                <w:rFonts w:ascii="宋体" w:hAnsi="宋体"/>
                <w:color w:val="auto"/>
                <w:szCs w:val="21"/>
                <w:highlight w:val="none"/>
              </w:rPr>
            </w:pPr>
          </w:p>
        </w:tc>
        <w:tc>
          <w:tcPr>
            <w:tcW w:w="650" w:type="dxa"/>
            <w:vAlign w:val="center"/>
          </w:tcPr>
          <w:p w14:paraId="3F712E06">
            <w:pPr>
              <w:jc w:val="center"/>
              <w:rPr>
                <w:rFonts w:ascii="宋体" w:hAnsi="宋体"/>
                <w:color w:val="auto"/>
                <w:szCs w:val="21"/>
                <w:highlight w:val="none"/>
              </w:rPr>
            </w:pPr>
          </w:p>
        </w:tc>
        <w:tc>
          <w:tcPr>
            <w:tcW w:w="650" w:type="dxa"/>
            <w:vAlign w:val="center"/>
          </w:tcPr>
          <w:p w14:paraId="5B366B72">
            <w:pPr>
              <w:jc w:val="center"/>
              <w:rPr>
                <w:rFonts w:ascii="宋体" w:hAnsi="宋体"/>
                <w:color w:val="auto"/>
                <w:szCs w:val="44"/>
                <w:highlight w:val="none"/>
              </w:rPr>
            </w:pPr>
          </w:p>
        </w:tc>
        <w:tc>
          <w:tcPr>
            <w:tcW w:w="650" w:type="dxa"/>
            <w:vAlign w:val="center"/>
          </w:tcPr>
          <w:p w14:paraId="1A95A26A">
            <w:pPr>
              <w:jc w:val="center"/>
              <w:rPr>
                <w:rFonts w:ascii="宋体" w:hAnsi="宋体"/>
                <w:color w:val="auto"/>
                <w:szCs w:val="44"/>
                <w:highlight w:val="none"/>
              </w:rPr>
            </w:pPr>
          </w:p>
        </w:tc>
        <w:tc>
          <w:tcPr>
            <w:tcW w:w="650" w:type="dxa"/>
            <w:vAlign w:val="center"/>
          </w:tcPr>
          <w:p w14:paraId="46163748">
            <w:pPr>
              <w:jc w:val="center"/>
              <w:rPr>
                <w:rFonts w:ascii="宋体" w:hAnsi="宋体"/>
                <w:color w:val="auto"/>
                <w:szCs w:val="44"/>
                <w:highlight w:val="none"/>
              </w:rPr>
            </w:pPr>
          </w:p>
        </w:tc>
        <w:tc>
          <w:tcPr>
            <w:tcW w:w="650" w:type="dxa"/>
            <w:vAlign w:val="center"/>
          </w:tcPr>
          <w:p w14:paraId="528EA995">
            <w:pPr>
              <w:jc w:val="center"/>
              <w:rPr>
                <w:rFonts w:ascii="宋体" w:hAnsi="宋体"/>
                <w:color w:val="auto"/>
                <w:szCs w:val="44"/>
                <w:highlight w:val="none"/>
              </w:rPr>
            </w:pPr>
          </w:p>
        </w:tc>
        <w:tc>
          <w:tcPr>
            <w:tcW w:w="650" w:type="dxa"/>
            <w:vAlign w:val="center"/>
          </w:tcPr>
          <w:p w14:paraId="652FA9C2">
            <w:pPr>
              <w:jc w:val="center"/>
              <w:rPr>
                <w:rFonts w:ascii="宋体" w:hAnsi="宋体"/>
                <w:color w:val="auto"/>
                <w:szCs w:val="44"/>
                <w:highlight w:val="none"/>
              </w:rPr>
            </w:pPr>
          </w:p>
        </w:tc>
        <w:tc>
          <w:tcPr>
            <w:tcW w:w="650" w:type="dxa"/>
            <w:vAlign w:val="center"/>
          </w:tcPr>
          <w:p w14:paraId="5FAE4A4A">
            <w:pPr>
              <w:jc w:val="center"/>
              <w:rPr>
                <w:rFonts w:ascii="宋体" w:hAnsi="宋体"/>
                <w:color w:val="auto"/>
                <w:szCs w:val="44"/>
                <w:highlight w:val="none"/>
              </w:rPr>
            </w:pPr>
          </w:p>
        </w:tc>
        <w:tc>
          <w:tcPr>
            <w:tcW w:w="650" w:type="dxa"/>
            <w:vAlign w:val="center"/>
          </w:tcPr>
          <w:p w14:paraId="701EAC44">
            <w:pPr>
              <w:jc w:val="center"/>
              <w:rPr>
                <w:rFonts w:ascii="宋体" w:hAnsi="宋体"/>
                <w:color w:val="auto"/>
                <w:szCs w:val="44"/>
                <w:highlight w:val="none"/>
              </w:rPr>
            </w:pPr>
          </w:p>
        </w:tc>
        <w:tc>
          <w:tcPr>
            <w:tcW w:w="651" w:type="dxa"/>
            <w:vAlign w:val="center"/>
          </w:tcPr>
          <w:p w14:paraId="4354930A">
            <w:pPr>
              <w:jc w:val="center"/>
              <w:rPr>
                <w:rFonts w:ascii="宋体" w:hAnsi="宋体"/>
                <w:color w:val="auto"/>
                <w:szCs w:val="44"/>
                <w:highlight w:val="none"/>
              </w:rPr>
            </w:pPr>
          </w:p>
        </w:tc>
        <w:tc>
          <w:tcPr>
            <w:tcW w:w="818" w:type="dxa"/>
            <w:vAlign w:val="center"/>
          </w:tcPr>
          <w:p w14:paraId="59B274FA">
            <w:pPr>
              <w:jc w:val="center"/>
              <w:rPr>
                <w:rFonts w:ascii="宋体" w:hAnsi="宋体"/>
                <w:color w:val="auto"/>
                <w:szCs w:val="44"/>
                <w:highlight w:val="none"/>
              </w:rPr>
            </w:pPr>
          </w:p>
        </w:tc>
      </w:tr>
      <w:tr w14:paraId="0EFE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40F963C4">
            <w:pPr>
              <w:jc w:val="center"/>
              <w:rPr>
                <w:rFonts w:ascii="宋体" w:hAnsi="宋体"/>
                <w:color w:val="auto"/>
                <w:szCs w:val="44"/>
                <w:highlight w:val="none"/>
              </w:rPr>
            </w:pPr>
            <w:r>
              <w:rPr>
                <w:rFonts w:hint="eastAsia" w:ascii="宋体" w:hAnsi="宋体"/>
                <w:color w:val="auto"/>
                <w:szCs w:val="44"/>
                <w:highlight w:val="none"/>
              </w:rPr>
              <w:t>2</w:t>
            </w:r>
          </w:p>
        </w:tc>
        <w:tc>
          <w:tcPr>
            <w:tcW w:w="1293" w:type="dxa"/>
            <w:vAlign w:val="center"/>
          </w:tcPr>
          <w:p w14:paraId="71DAB64E">
            <w:pPr>
              <w:jc w:val="center"/>
              <w:rPr>
                <w:rFonts w:ascii="宋体" w:hAnsi="宋体"/>
                <w:color w:val="auto"/>
                <w:szCs w:val="44"/>
                <w:highlight w:val="none"/>
              </w:rPr>
            </w:pPr>
          </w:p>
        </w:tc>
        <w:tc>
          <w:tcPr>
            <w:tcW w:w="650" w:type="dxa"/>
            <w:vAlign w:val="center"/>
          </w:tcPr>
          <w:p w14:paraId="1D6EAF63">
            <w:pPr>
              <w:jc w:val="center"/>
              <w:rPr>
                <w:color w:val="auto"/>
                <w:highlight w:val="none"/>
              </w:rPr>
            </w:pPr>
          </w:p>
        </w:tc>
        <w:tc>
          <w:tcPr>
            <w:tcW w:w="650" w:type="dxa"/>
            <w:vAlign w:val="center"/>
          </w:tcPr>
          <w:p w14:paraId="40274201">
            <w:pPr>
              <w:jc w:val="center"/>
              <w:rPr>
                <w:rFonts w:ascii="宋体" w:hAnsi="宋体"/>
                <w:color w:val="auto"/>
                <w:szCs w:val="44"/>
                <w:highlight w:val="none"/>
              </w:rPr>
            </w:pPr>
          </w:p>
        </w:tc>
        <w:tc>
          <w:tcPr>
            <w:tcW w:w="650" w:type="dxa"/>
            <w:vAlign w:val="center"/>
          </w:tcPr>
          <w:p w14:paraId="5A919DEC">
            <w:pPr>
              <w:jc w:val="center"/>
              <w:rPr>
                <w:rFonts w:ascii="宋体" w:hAnsi="宋体"/>
                <w:color w:val="auto"/>
                <w:szCs w:val="44"/>
                <w:highlight w:val="none"/>
              </w:rPr>
            </w:pPr>
          </w:p>
        </w:tc>
        <w:tc>
          <w:tcPr>
            <w:tcW w:w="650" w:type="dxa"/>
            <w:vAlign w:val="center"/>
          </w:tcPr>
          <w:p w14:paraId="34B4166C">
            <w:pPr>
              <w:jc w:val="center"/>
              <w:rPr>
                <w:rFonts w:ascii="宋体" w:hAnsi="宋体"/>
                <w:color w:val="auto"/>
                <w:szCs w:val="44"/>
                <w:highlight w:val="none"/>
              </w:rPr>
            </w:pPr>
          </w:p>
        </w:tc>
        <w:tc>
          <w:tcPr>
            <w:tcW w:w="650" w:type="dxa"/>
            <w:vAlign w:val="center"/>
          </w:tcPr>
          <w:p w14:paraId="7D5511FD">
            <w:pPr>
              <w:jc w:val="center"/>
              <w:rPr>
                <w:rFonts w:ascii="宋体" w:hAnsi="宋体"/>
                <w:color w:val="auto"/>
                <w:szCs w:val="44"/>
                <w:highlight w:val="none"/>
              </w:rPr>
            </w:pPr>
          </w:p>
        </w:tc>
        <w:tc>
          <w:tcPr>
            <w:tcW w:w="650" w:type="dxa"/>
            <w:vAlign w:val="center"/>
          </w:tcPr>
          <w:p w14:paraId="05069953">
            <w:pPr>
              <w:jc w:val="center"/>
              <w:rPr>
                <w:rFonts w:ascii="宋体" w:hAnsi="宋体"/>
                <w:color w:val="auto"/>
                <w:szCs w:val="44"/>
                <w:highlight w:val="none"/>
              </w:rPr>
            </w:pPr>
          </w:p>
        </w:tc>
        <w:tc>
          <w:tcPr>
            <w:tcW w:w="650" w:type="dxa"/>
            <w:vAlign w:val="center"/>
          </w:tcPr>
          <w:p w14:paraId="3D76F470">
            <w:pPr>
              <w:jc w:val="center"/>
              <w:rPr>
                <w:rFonts w:ascii="宋体" w:hAnsi="宋体"/>
                <w:color w:val="auto"/>
                <w:szCs w:val="44"/>
                <w:highlight w:val="none"/>
              </w:rPr>
            </w:pPr>
          </w:p>
        </w:tc>
        <w:tc>
          <w:tcPr>
            <w:tcW w:w="650" w:type="dxa"/>
            <w:vAlign w:val="center"/>
          </w:tcPr>
          <w:p w14:paraId="2FEA2305">
            <w:pPr>
              <w:jc w:val="center"/>
              <w:rPr>
                <w:rFonts w:ascii="宋体" w:hAnsi="宋体"/>
                <w:color w:val="auto"/>
                <w:szCs w:val="44"/>
                <w:highlight w:val="none"/>
              </w:rPr>
            </w:pPr>
          </w:p>
        </w:tc>
        <w:tc>
          <w:tcPr>
            <w:tcW w:w="651" w:type="dxa"/>
            <w:vAlign w:val="center"/>
          </w:tcPr>
          <w:p w14:paraId="26C57A25">
            <w:pPr>
              <w:jc w:val="center"/>
              <w:rPr>
                <w:rFonts w:ascii="宋体" w:hAnsi="宋体"/>
                <w:color w:val="auto"/>
                <w:szCs w:val="44"/>
                <w:highlight w:val="none"/>
              </w:rPr>
            </w:pPr>
          </w:p>
        </w:tc>
        <w:tc>
          <w:tcPr>
            <w:tcW w:w="818" w:type="dxa"/>
            <w:vAlign w:val="center"/>
          </w:tcPr>
          <w:p w14:paraId="41F647F7">
            <w:pPr>
              <w:jc w:val="center"/>
              <w:rPr>
                <w:rFonts w:ascii="宋体" w:hAnsi="宋体"/>
                <w:color w:val="auto"/>
                <w:szCs w:val="44"/>
                <w:highlight w:val="none"/>
              </w:rPr>
            </w:pPr>
          </w:p>
        </w:tc>
      </w:tr>
      <w:tr w14:paraId="1EA8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61581C2E">
            <w:pPr>
              <w:jc w:val="center"/>
              <w:rPr>
                <w:rFonts w:ascii="宋体" w:hAnsi="宋体"/>
                <w:color w:val="auto"/>
                <w:szCs w:val="44"/>
                <w:highlight w:val="none"/>
              </w:rPr>
            </w:pPr>
            <w:r>
              <w:rPr>
                <w:rFonts w:hint="eastAsia" w:ascii="宋体" w:hAnsi="宋体"/>
                <w:color w:val="auto"/>
                <w:szCs w:val="44"/>
                <w:highlight w:val="none"/>
              </w:rPr>
              <w:t>3</w:t>
            </w:r>
          </w:p>
        </w:tc>
        <w:tc>
          <w:tcPr>
            <w:tcW w:w="1293" w:type="dxa"/>
            <w:vAlign w:val="center"/>
          </w:tcPr>
          <w:p w14:paraId="4B17FDA0">
            <w:pPr>
              <w:jc w:val="center"/>
              <w:rPr>
                <w:rFonts w:ascii="宋体" w:hAnsi="宋体"/>
                <w:color w:val="auto"/>
                <w:szCs w:val="44"/>
                <w:highlight w:val="none"/>
              </w:rPr>
            </w:pPr>
          </w:p>
        </w:tc>
        <w:tc>
          <w:tcPr>
            <w:tcW w:w="650" w:type="dxa"/>
            <w:vAlign w:val="center"/>
          </w:tcPr>
          <w:p w14:paraId="2E35935A">
            <w:pPr>
              <w:jc w:val="center"/>
              <w:rPr>
                <w:color w:val="auto"/>
                <w:highlight w:val="none"/>
              </w:rPr>
            </w:pPr>
          </w:p>
        </w:tc>
        <w:tc>
          <w:tcPr>
            <w:tcW w:w="650" w:type="dxa"/>
            <w:vAlign w:val="center"/>
          </w:tcPr>
          <w:p w14:paraId="6585701A">
            <w:pPr>
              <w:jc w:val="center"/>
              <w:rPr>
                <w:rFonts w:ascii="宋体" w:hAnsi="宋体"/>
                <w:color w:val="auto"/>
                <w:szCs w:val="44"/>
                <w:highlight w:val="none"/>
              </w:rPr>
            </w:pPr>
          </w:p>
        </w:tc>
        <w:tc>
          <w:tcPr>
            <w:tcW w:w="650" w:type="dxa"/>
            <w:vAlign w:val="center"/>
          </w:tcPr>
          <w:p w14:paraId="5CF3742D">
            <w:pPr>
              <w:jc w:val="center"/>
              <w:rPr>
                <w:rFonts w:ascii="宋体" w:hAnsi="宋体"/>
                <w:color w:val="auto"/>
                <w:szCs w:val="44"/>
                <w:highlight w:val="none"/>
              </w:rPr>
            </w:pPr>
          </w:p>
        </w:tc>
        <w:tc>
          <w:tcPr>
            <w:tcW w:w="650" w:type="dxa"/>
            <w:vAlign w:val="center"/>
          </w:tcPr>
          <w:p w14:paraId="17CB5BED">
            <w:pPr>
              <w:jc w:val="center"/>
              <w:rPr>
                <w:rFonts w:ascii="宋体" w:hAnsi="宋体"/>
                <w:color w:val="auto"/>
                <w:szCs w:val="44"/>
                <w:highlight w:val="none"/>
              </w:rPr>
            </w:pPr>
          </w:p>
        </w:tc>
        <w:tc>
          <w:tcPr>
            <w:tcW w:w="650" w:type="dxa"/>
            <w:vAlign w:val="center"/>
          </w:tcPr>
          <w:p w14:paraId="1CA2539B">
            <w:pPr>
              <w:jc w:val="center"/>
              <w:rPr>
                <w:rFonts w:ascii="宋体" w:hAnsi="宋体"/>
                <w:color w:val="auto"/>
                <w:szCs w:val="44"/>
                <w:highlight w:val="none"/>
              </w:rPr>
            </w:pPr>
          </w:p>
        </w:tc>
        <w:tc>
          <w:tcPr>
            <w:tcW w:w="650" w:type="dxa"/>
            <w:vAlign w:val="center"/>
          </w:tcPr>
          <w:p w14:paraId="539D489D">
            <w:pPr>
              <w:jc w:val="center"/>
              <w:rPr>
                <w:rFonts w:ascii="宋体" w:hAnsi="宋体"/>
                <w:color w:val="auto"/>
                <w:szCs w:val="44"/>
                <w:highlight w:val="none"/>
              </w:rPr>
            </w:pPr>
          </w:p>
        </w:tc>
        <w:tc>
          <w:tcPr>
            <w:tcW w:w="650" w:type="dxa"/>
            <w:vAlign w:val="center"/>
          </w:tcPr>
          <w:p w14:paraId="3677CB86">
            <w:pPr>
              <w:jc w:val="center"/>
              <w:rPr>
                <w:rFonts w:ascii="宋体" w:hAnsi="宋体"/>
                <w:color w:val="auto"/>
                <w:szCs w:val="44"/>
                <w:highlight w:val="none"/>
              </w:rPr>
            </w:pPr>
          </w:p>
        </w:tc>
        <w:tc>
          <w:tcPr>
            <w:tcW w:w="650" w:type="dxa"/>
            <w:vAlign w:val="center"/>
          </w:tcPr>
          <w:p w14:paraId="39407730">
            <w:pPr>
              <w:jc w:val="center"/>
              <w:rPr>
                <w:rFonts w:ascii="宋体" w:hAnsi="宋体"/>
                <w:color w:val="auto"/>
                <w:szCs w:val="44"/>
                <w:highlight w:val="none"/>
              </w:rPr>
            </w:pPr>
          </w:p>
        </w:tc>
        <w:tc>
          <w:tcPr>
            <w:tcW w:w="651" w:type="dxa"/>
            <w:vAlign w:val="center"/>
          </w:tcPr>
          <w:p w14:paraId="3A243850">
            <w:pPr>
              <w:jc w:val="center"/>
              <w:rPr>
                <w:rFonts w:ascii="宋体" w:hAnsi="宋体"/>
                <w:color w:val="auto"/>
                <w:szCs w:val="44"/>
                <w:highlight w:val="none"/>
              </w:rPr>
            </w:pPr>
          </w:p>
        </w:tc>
        <w:tc>
          <w:tcPr>
            <w:tcW w:w="818" w:type="dxa"/>
            <w:vAlign w:val="center"/>
          </w:tcPr>
          <w:p w14:paraId="27F3AA06">
            <w:pPr>
              <w:jc w:val="center"/>
              <w:rPr>
                <w:rFonts w:ascii="宋体" w:hAnsi="宋体"/>
                <w:color w:val="auto"/>
                <w:szCs w:val="44"/>
                <w:highlight w:val="none"/>
              </w:rPr>
            </w:pPr>
          </w:p>
        </w:tc>
      </w:tr>
      <w:tr w14:paraId="221D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35F161BF">
            <w:pPr>
              <w:jc w:val="center"/>
              <w:rPr>
                <w:rFonts w:ascii="宋体" w:hAnsi="宋体"/>
                <w:color w:val="auto"/>
                <w:szCs w:val="44"/>
                <w:highlight w:val="none"/>
              </w:rPr>
            </w:pPr>
            <w:r>
              <w:rPr>
                <w:rFonts w:hint="eastAsia" w:ascii="宋体" w:hAnsi="宋体"/>
                <w:color w:val="auto"/>
                <w:szCs w:val="44"/>
                <w:highlight w:val="none"/>
              </w:rPr>
              <w:t>4</w:t>
            </w:r>
          </w:p>
        </w:tc>
        <w:tc>
          <w:tcPr>
            <w:tcW w:w="1293" w:type="dxa"/>
            <w:vAlign w:val="center"/>
          </w:tcPr>
          <w:p w14:paraId="387E0603">
            <w:pPr>
              <w:jc w:val="center"/>
              <w:rPr>
                <w:rFonts w:ascii="宋体" w:hAnsi="宋体"/>
                <w:color w:val="auto"/>
                <w:szCs w:val="44"/>
                <w:highlight w:val="none"/>
              </w:rPr>
            </w:pPr>
          </w:p>
        </w:tc>
        <w:tc>
          <w:tcPr>
            <w:tcW w:w="650" w:type="dxa"/>
            <w:vAlign w:val="center"/>
          </w:tcPr>
          <w:p w14:paraId="3E2E634A">
            <w:pPr>
              <w:jc w:val="center"/>
              <w:rPr>
                <w:color w:val="auto"/>
                <w:highlight w:val="none"/>
              </w:rPr>
            </w:pPr>
          </w:p>
        </w:tc>
        <w:tc>
          <w:tcPr>
            <w:tcW w:w="650" w:type="dxa"/>
            <w:vAlign w:val="center"/>
          </w:tcPr>
          <w:p w14:paraId="4C7AC427">
            <w:pPr>
              <w:jc w:val="center"/>
              <w:rPr>
                <w:rFonts w:ascii="宋体" w:hAnsi="宋体"/>
                <w:color w:val="auto"/>
                <w:szCs w:val="44"/>
                <w:highlight w:val="none"/>
              </w:rPr>
            </w:pPr>
          </w:p>
        </w:tc>
        <w:tc>
          <w:tcPr>
            <w:tcW w:w="650" w:type="dxa"/>
            <w:vAlign w:val="center"/>
          </w:tcPr>
          <w:p w14:paraId="474F5C69">
            <w:pPr>
              <w:jc w:val="center"/>
              <w:rPr>
                <w:rFonts w:ascii="宋体" w:hAnsi="宋体"/>
                <w:color w:val="auto"/>
                <w:szCs w:val="44"/>
                <w:highlight w:val="none"/>
              </w:rPr>
            </w:pPr>
          </w:p>
        </w:tc>
        <w:tc>
          <w:tcPr>
            <w:tcW w:w="650" w:type="dxa"/>
            <w:vAlign w:val="center"/>
          </w:tcPr>
          <w:p w14:paraId="1DFE3BDF">
            <w:pPr>
              <w:jc w:val="center"/>
              <w:rPr>
                <w:rFonts w:ascii="宋体" w:hAnsi="宋体"/>
                <w:color w:val="auto"/>
                <w:szCs w:val="44"/>
                <w:highlight w:val="none"/>
              </w:rPr>
            </w:pPr>
          </w:p>
        </w:tc>
        <w:tc>
          <w:tcPr>
            <w:tcW w:w="650" w:type="dxa"/>
            <w:vAlign w:val="center"/>
          </w:tcPr>
          <w:p w14:paraId="04F1FCDF">
            <w:pPr>
              <w:jc w:val="center"/>
              <w:rPr>
                <w:rFonts w:ascii="宋体" w:hAnsi="宋体"/>
                <w:color w:val="auto"/>
                <w:szCs w:val="44"/>
                <w:highlight w:val="none"/>
              </w:rPr>
            </w:pPr>
          </w:p>
        </w:tc>
        <w:tc>
          <w:tcPr>
            <w:tcW w:w="650" w:type="dxa"/>
            <w:vAlign w:val="center"/>
          </w:tcPr>
          <w:p w14:paraId="3318D935">
            <w:pPr>
              <w:jc w:val="center"/>
              <w:rPr>
                <w:rFonts w:ascii="宋体" w:hAnsi="宋体"/>
                <w:color w:val="auto"/>
                <w:szCs w:val="44"/>
                <w:highlight w:val="none"/>
              </w:rPr>
            </w:pPr>
          </w:p>
        </w:tc>
        <w:tc>
          <w:tcPr>
            <w:tcW w:w="650" w:type="dxa"/>
            <w:vAlign w:val="center"/>
          </w:tcPr>
          <w:p w14:paraId="2B928484">
            <w:pPr>
              <w:jc w:val="center"/>
              <w:rPr>
                <w:rFonts w:ascii="宋体" w:hAnsi="宋体"/>
                <w:color w:val="auto"/>
                <w:szCs w:val="44"/>
                <w:highlight w:val="none"/>
              </w:rPr>
            </w:pPr>
          </w:p>
        </w:tc>
        <w:tc>
          <w:tcPr>
            <w:tcW w:w="650" w:type="dxa"/>
            <w:vAlign w:val="center"/>
          </w:tcPr>
          <w:p w14:paraId="76D16A05">
            <w:pPr>
              <w:jc w:val="center"/>
              <w:rPr>
                <w:rFonts w:ascii="宋体" w:hAnsi="宋体"/>
                <w:color w:val="auto"/>
                <w:szCs w:val="44"/>
                <w:highlight w:val="none"/>
              </w:rPr>
            </w:pPr>
          </w:p>
        </w:tc>
        <w:tc>
          <w:tcPr>
            <w:tcW w:w="651" w:type="dxa"/>
            <w:vAlign w:val="center"/>
          </w:tcPr>
          <w:p w14:paraId="4A455BBF">
            <w:pPr>
              <w:jc w:val="center"/>
              <w:rPr>
                <w:rFonts w:ascii="宋体" w:hAnsi="宋体"/>
                <w:color w:val="auto"/>
                <w:szCs w:val="44"/>
                <w:highlight w:val="none"/>
              </w:rPr>
            </w:pPr>
          </w:p>
        </w:tc>
        <w:tc>
          <w:tcPr>
            <w:tcW w:w="818" w:type="dxa"/>
            <w:vAlign w:val="center"/>
          </w:tcPr>
          <w:p w14:paraId="44ED98DA">
            <w:pPr>
              <w:jc w:val="center"/>
              <w:rPr>
                <w:rFonts w:ascii="宋体" w:hAnsi="宋体"/>
                <w:color w:val="auto"/>
                <w:szCs w:val="44"/>
                <w:highlight w:val="none"/>
              </w:rPr>
            </w:pPr>
          </w:p>
        </w:tc>
      </w:tr>
      <w:tr w14:paraId="1722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461A6B8C">
            <w:pPr>
              <w:jc w:val="center"/>
              <w:rPr>
                <w:rFonts w:ascii="宋体" w:hAnsi="宋体"/>
                <w:color w:val="auto"/>
                <w:szCs w:val="44"/>
                <w:highlight w:val="none"/>
              </w:rPr>
            </w:pPr>
            <w:r>
              <w:rPr>
                <w:rFonts w:hint="eastAsia" w:ascii="宋体" w:hAnsi="宋体"/>
                <w:color w:val="auto"/>
                <w:szCs w:val="44"/>
                <w:highlight w:val="none"/>
              </w:rPr>
              <w:t>5</w:t>
            </w:r>
          </w:p>
        </w:tc>
        <w:tc>
          <w:tcPr>
            <w:tcW w:w="1293" w:type="dxa"/>
            <w:vAlign w:val="center"/>
          </w:tcPr>
          <w:p w14:paraId="7BB1A0C7">
            <w:pPr>
              <w:jc w:val="center"/>
              <w:rPr>
                <w:rFonts w:ascii="宋体" w:hAnsi="宋体"/>
                <w:color w:val="auto"/>
                <w:szCs w:val="44"/>
                <w:highlight w:val="none"/>
              </w:rPr>
            </w:pPr>
          </w:p>
        </w:tc>
        <w:tc>
          <w:tcPr>
            <w:tcW w:w="650" w:type="dxa"/>
            <w:vAlign w:val="center"/>
          </w:tcPr>
          <w:p w14:paraId="366ECF2B">
            <w:pPr>
              <w:jc w:val="center"/>
              <w:rPr>
                <w:color w:val="auto"/>
                <w:highlight w:val="none"/>
              </w:rPr>
            </w:pPr>
          </w:p>
        </w:tc>
        <w:tc>
          <w:tcPr>
            <w:tcW w:w="650" w:type="dxa"/>
            <w:vAlign w:val="center"/>
          </w:tcPr>
          <w:p w14:paraId="6E49AE76">
            <w:pPr>
              <w:jc w:val="center"/>
              <w:rPr>
                <w:rFonts w:ascii="宋体" w:hAnsi="宋体"/>
                <w:color w:val="auto"/>
                <w:szCs w:val="44"/>
                <w:highlight w:val="none"/>
              </w:rPr>
            </w:pPr>
          </w:p>
        </w:tc>
        <w:tc>
          <w:tcPr>
            <w:tcW w:w="650" w:type="dxa"/>
            <w:vAlign w:val="center"/>
          </w:tcPr>
          <w:p w14:paraId="1A9CE8D8">
            <w:pPr>
              <w:jc w:val="center"/>
              <w:rPr>
                <w:rFonts w:ascii="宋体" w:hAnsi="宋体"/>
                <w:color w:val="auto"/>
                <w:szCs w:val="44"/>
                <w:highlight w:val="none"/>
              </w:rPr>
            </w:pPr>
          </w:p>
        </w:tc>
        <w:tc>
          <w:tcPr>
            <w:tcW w:w="650" w:type="dxa"/>
            <w:vAlign w:val="center"/>
          </w:tcPr>
          <w:p w14:paraId="67F7182C">
            <w:pPr>
              <w:jc w:val="center"/>
              <w:rPr>
                <w:rFonts w:ascii="宋体" w:hAnsi="宋体"/>
                <w:color w:val="auto"/>
                <w:szCs w:val="44"/>
                <w:highlight w:val="none"/>
              </w:rPr>
            </w:pPr>
          </w:p>
        </w:tc>
        <w:tc>
          <w:tcPr>
            <w:tcW w:w="650" w:type="dxa"/>
            <w:vAlign w:val="center"/>
          </w:tcPr>
          <w:p w14:paraId="24B22808">
            <w:pPr>
              <w:jc w:val="center"/>
              <w:rPr>
                <w:rFonts w:ascii="宋体" w:hAnsi="宋体"/>
                <w:color w:val="auto"/>
                <w:szCs w:val="44"/>
                <w:highlight w:val="none"/>
              </w:rPr>
            </w:pPr>
          </w:p>
        </w:tc>
        <w:tc>
          <w:tcPr>
            <w:tcW w:w="650" w:type="dxa"/>
            <w:vAlign w:val="center"/>
          </w:tcPr>
          <w:p w14:paraId="5D6FB9A8">
            <w:pPr>
              <w:jc w:val="center"/>
              <w:rPr>
                <w:rFonts w:ascii="宋体" w:hAnsi="宋体"/>
                <w:color w:val="auto"/>
                <w:szCs w:val="44"/>
                <w:highlight w:val="none"/>
              </w:rPr>
            </w:pPr>
          </w:p>
        </w:tc>
        <w:tc>
          <w:tcPr>
            <w:tcW w:w="650" w:type="dxa"/>
            <w:vAlign w:val="center"/>
          </w:tcPr>
          <w:p w14:paraId="1C184E34">
            <w:pPr>
              <w:jc w:val="center"/>
              <w:rPr>
                <w:rFonts w:ascii="宋体" w:hAnsi="宋体"/>
                <w:color w:val="auto"/>
                <w:szCs w:val="44"/>
                <w:highlight w:val="none"/>
              </w:rPr>
            </w:pPr>
          </w:p>
        </w:tc>
        <w:tc>
          <w:tcPr>
            <w:tcW w:w="650" w:type="dxa"/>
            <w:vAlign w:val="center"/>
          </w:tcPr>
          <w:p w14:paraId="4A59D43B">
            <w:pPr>
              <w:jc w:val="center"/>
              <w:rPr>
                <w:rFonts w:ascii="宋体" w:hAnsi="宋体"/>
                <w:color w:val="auto"/>
                <w:szCs w:val="44"/>
                <w:highlight w:val="none"/>
              </w:rPr>
            </w:pPr>
          </w:p>
        </w:tc>
        <w:tc>
          <w:tcPr>
            <w:tcW w:w="651" w:type="dxa"/>
            <w:vAlign w:val="center"/>
          </w:tcPr>
          <w:p w14:paraId="348091E1">
            <w:pPr>
              <w:jc w:val="center"/>
              <w:rPr>
                <w:rFonts w:ascii="宋体" w:hAnsi="宋体"/>
                <w:color w:val="auto"/>
                <w:szCs w:val="44"/>
                <w:highlight w:val="none"/>
              </w:rPr>
            </w:pPr>
          </w:p>
        </w:tc>
        <w:tc>
          <w:tcPr>
            <w:tcW w:w="818" w:type="dxa"/>
            <w:vAlign w:val="center"/>
          </w:tcPr>
          <w:p w14:paraId="32EB1CA7">
            <w:pPr>
              <w:jc w:val="center"/>
              <w:rPr>
                <w:rFonts w:ascii="宋体" w:hAnsi="宋体"/>
                <w:color w:val="auto"/>
                <w:szCs w:val="44"/>
                <w:highlight w:val="none"/>
              </w:rPr>
            </w:pPr>
          </w:p>
        </w:tc>
      </w:tr>
      <w:tr w14:paraId="0358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69E890C3">
            <w:pPr>
              <w:jc w:val="center"/>
              <w:rPr>
                <w:rFonts w:ascii="宋体" w:hAnsi="宋体"/>
                <w:color w:val="auto"/>
                <w:szCs w:val="44"/>
                <w:highlight w:val="none"/>
              </w:rPr>
            </w:pPr>
            <w:r>
              <w:rPr>
                <w:rFonts w:hint="eastAsia" w:ascii="宋体" w:hAnsi="宋体"/>
                <w:color w:val="auto"/>
                <w:szCs w:val="44"/>
                <w:highlight w:val="none"/>
              </w:rPr>
              <w:t>6</w:t>
            </w:r>
          </w:p>
        </w:tc>
        <w:tc>
          <w:tcPr>
            <w:tcW w:w="1293" w:type="dxa"/>
            <w:vAlign w:val="center"/>
          </w:tcPr>
          <w:p w14:paraId="05F6E70B">
            <w:pPr>
              <w:jc w:val="center"/>
              <w:rPr>
                <w:rFonts w:ascii="宋体" w:hAnsi="宋体"/>
                <w:color w:val="auto"/>
                <w:szCs w:val="44"/>
                <w:highlight w:val="none"/>
              </w:rPr>
            </w:pPr>
          </w:p>
        </w:tc>
        <w:tc>
          <w:tcPr>
            <w:tcW w:w="650" w:type="dxa"/>
            <w:vAlign w:val="center"/>
          </w:tcPr>
          <w:p w14:paraId="4332AF8B">
            <w:pPr>
              <w:jc w:val="center"/>
              <w:rPr>
                <w:color w:val="auto"/>
                <w:highlight w:val="none"/>
              </w:rPr>
            </w:pPr>
          </w:p>
        </w:tc>
        <w:tc>
          <w:tcPr>
            <w:tcW w:w="650" w:type="dxa"/>
            <w:vAlign w:val="center"/>
          </w:tcPr>
          <w:p w14:paraId="469FD19B">
            <w:pPr>
              <w:jc w:val="center"/>
              <w:rPr>
                <w:rFonts w:ascii="宋体" w:hAnsi="宋体"/>
                <w:color w:val="auto"/>
                <w:szCs w:val="44"/>
                <w:highlight w:val="none"/>
              </w:rPr>
            </w:pPr>
          </w:p>
        </w:tc>
        <w:tc>
          <w:tcPr>
            <w:tcW w:w="650" w:type="dxa"/>
            <w:vAlign w:val="center"/>
          </w:tcPr>
          <w:p w14:paraId="0E92F525">
            <w:pPr>
              <w:jc w:val="center"/>
              <w:rPr>
                <w:rFonts w:ascii="宋体" w:hAnsi="宋体"/>
                <w:color w:val="auto"/>
                <w:szCs w:val="44"/>
                <w:highlight w:val="none"/>
              </w:rPr>
            </w:pPr>
          </w:p>
        </w:tc>
        <w:tc>
          <w:tcPr>
            <w:tcW w:w="650" w:type="dxa"/>
            <w:vAlign w:val="center"/>
          </w:tcPr>
          <w:p w14:paraId="750906AA">
            <w:pPr>
              <w:jc w:val="center"/>
              <w:rPr>
                <w:rFonts w:ascii="宋体" w:hAnsi="宋体"/>
                <w:color w:val="auto"/>
                <w:szCs w:val="44"/>
                <w:highlight w:val="none"/>
              </w:rPr>
            </w:pPr>
          </w:p>
        </w:tc>
        <w:tc>
          <w:tcPr>
            <w:tcW w:w="650" w:type="dxa"/>
            <w:vAlign w:val="center"/>
          </w:tcPr>
          <w:p w14:paraId="490DF7F2">
            <w:pPr>
              <w:jc w:val="center"/>
              <w:rPr>
                <w:rFonts w:ascii="宋体" w:hAnsi="宋体"/>
                <w:color w:val="auto"/>
                <w:szCs w:val="44"/>
                <w:highlight w:val="none"/>
              </w:rPr>
            </w:pPr>
          </w:p>
        </w:tc>
        <w:tc>
          <w:tcPr>
            <w:tcW w:w="650" w:type="dxa"/>
            <w:vAlign w:val="center"/>
          </w:tcPr>
          <w:p w14:paraId="626448DA">
            <w:pPr>
              <w:jc w:val="center"/>
              <w:rPr>
                <w:rFonts w:ascii="宋体" w:hAnsi="宋体"/>
                <w:color w:val="auto"/>
                <w:szCs w:val="44"/>
                <w:highlight w:val="none"/>
              </w:rPr>
            </w:pPr>
          </w:p>
        </w:tc>
        <w:tc>
          <w:tcPr>
            <w:tcW w:w="650" w:type="dxa"/>
            <w:vAlign w:val="center"/>
          </w:tcPr>
          <w:p w14:paraId="25CF4A00">
            <w:pPr>
              <w:jc w:val="center"/>
              <w:rPr>
                <w:rFonts w:ascii="宋体" w:hAnsi="宋体"/>
                <w:color w:val="auto"/>
                <w:szCs w:val="44"/>
                <w:highlight w:val="none"/>
              </w:rPr>
            </w:pPr>
          </w:p>
        </w:tc>
        <w:tc>
          <w:tcPr>
            <w:tcW w:w="650" w:type="dxa"/>
            <w:vAlign w:val="center"/>
          </w:tcPr>
          <w:p w14:paraId="008B39D8">
            <w:pPr>
              <w:jc w:val="center"/>
              <w:rPr>
                <w:rFonts w:ascii="宋体" w:hAnsi="宋体"/>
                <w:color w:val="auto"/>
                <w:szCs w:val="44"/>
                <w:highlight w:val="none"/>
              </w:rPr>
            </w:pPr>
          </w:p>
        </w:tc>
        <w:tc>
          <w:tcPr>
            <w:tcW w:w="651" w:type="dxa"/>
            <w:vAlign w:val="center"/>
          </w:tcPr>
          <w:p w14:paraId="283F157F">
            <w:pPr>
              <w:jc w:val="center"/>
              <w:rPr>
                <w:rFonts w:ascii="宋体" w:hAnsi="宋体"/>
                <w:color w:val="auto"/>
                <w:szCs w:val="44"/>
                <w:highlight w:val="none"/>
              </w:rPr>
            </w:pPr>
          </w:p>
        </w:tc>
        <w:tc>
          <w:tcPr>
            <w:tcW w:w="818" w:type="dxa"/>
            <w:vAlign w:val="center"/>
          </w:tcPr>
          <w:p w14:paraId="20541EB4">
            <w:pPr>
              <w:jc w:val="center"/>
              <w:rPr>
                <w:rFonts w:ascii="宋体" w:hAnsi="宋体"/>
                <w:color w:val="auto"/>
                <w:szCs w:val="44"/>
                <w:highlight w:val="none"/>
              </w:rPr>
            </w:pPr>
          </w:p>
        </w:tc>
      </w:tr>
      <w:tr w14:paraId="458C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53232524">
            <w:pPr>
              <w:jc w:val="center"/>
              <w:rPr>
                <w:rFonts w:ascii="宋体" w:hAnsi="宋体"/>
                <w:color w:val="auto"/>
                <w:szCs w:val="44"/>
                <w:highlight w:val="none"/>
              </w:rPr>
            </w:pPr>
            <w:r>
              <w:rPr>
                <w:rFonts w:hint="eastAsia" w:ascii="宋体" w:hAnsi="宋体"/>
                <w:color w:val="auto"/>
                <w:szCs w:val="44"/>
                <w:highlight w:val="none"/>
              </w:rPr>
              <w:t>…</w:t>
            </w:r>
          </w:p>
        </w:tc>
        <w:tc>
          <w:tcPr>
            <w:tcW w:w="1293" w:type="dxa"/>
            <w:vAlign w:val="center"/>
          </w:tcPr>
          <w:p w14:paraId="37DDD95B">
            <w:pPr>
              <w:rPr>
                <w:rFonts w:ascii="宋体" w:hAnsi="宋体"/>
                <w:color w:val="auto"/>
                <w:szCs w:val="21"/>
                <w:highlight w:val="none"/>
              </w:rPr>
            </w:pPr>
          </w:p>
        </w:tc>
        <w:tc>
          <w:tcPr>
            <w:tcW w:w="650" w:type="dxa"/>
            <w:vAlign w:val="center"/>
          </w:tcPr>
          <w:p w14:paraId="3F083C8D">
            <w:pPr>
              <w:jc w:val="center"/>
              <w:rPr>
                <w:color w:val="auto"/>
                <w:highlight w:val="none"/>
              </w:rPr>
            </w:pPr>
          </w:p>
        </w:tc>
        <w:tc>
          <w:tcPr>
            <w:tcW w:w="650" w:type="dxa"/>
            <w:vAlign w:val="center"/>
          </w:tcPr>
          <w:p w14:paraId="46C17082">
            <w:pPr>
              <w:jc w:val="center"/>
              <w:rPr>
                <w:rFonts w:ascii="宋体" w:hAnsi="宋体"/>
                <w:color w:val="auto"/>
                <w:szCs w:val="44"/>
                <w:highlight w:val="none"/>
              </w:rPr>
            </w:pPr>
          </w:p>
        </w:tc>
        <w:tc>
          <w:tcPr>
            <w:tcW w:w="650" w:type="dxa"/>
            <w:vAlign w:val="center"/>
          </w:tcPr>
          <w:p w14:paraId="0F52B139">
            <w:pPr>
              <w:jc w:val="center"/>
              <w:rPr>
                <w:rFonts w:ascii="宋体" w:hAnsi="宋体"/>
                <w:color w:val="auto"/>
                <w:szCs w:val="44"/>
                <w:highlight w:val="none"/>
              </w:rPr>
            </w:pPr>
          </w:p>
        </w:tc>
        <w:tc>
          <w:tcPr>
            <w:tcW w:w="650" w:type="dxa"/>
            <w:vAlign w:val="center"/>
          </w:tcPr>
          <w:p w14:paraId="5C41A47E">
            <w:pPr>
              <w:jc w:val="center"/>
              <w:rPr>
                <w:rFonts w:ascii="宋体" w:hAnsi="宋体"/>
                <w:color w:val="auto"/>
                <w:szCs w:val="44"/>
                <w:highlight w:val="none"/>
              </w:rPr>
            </w:pPr>
          </w:p>
        </w:tc>
        <w:tc>
          <w:tcPr>
            <w:tcW w:w="650" w:type="dxa"/>
            <w:vAlign w:val="center"/>
          </w:tcPr>
          <w:p w14:paraId="7CD3743D">
            <w:pPr>
              <w:jc w:val="center"/>
              <w:rPr>
                <w:rFonts w:ascii="宋体" w:hAnsi="宋体"/>
                <w:color w:val="auto"/>
                <w:szCs w:val="44"/>
                <w:highlight w:val="none"/>
              </w:rPr>
            </w:pPr>
          </w:p>
        </w:tc>
        <w:tc>
          <w:tcPr>
            <w:tcW w:w="650" w:type="dxa"/>
            <w:vAlign w:val="center"/>
          </w:tcPr>
          <w:p w14:paraId="643706C9">
            <w:pPr>
              <w:jc w:val="center"/>
              <w:rPr>
                <w:rFonts w:ascii="宋体" w:hAnsi="宋体"/>
                <w:color w:val="auto"/>
                <w:szCs w:val="44"/>
                <w:highlight w:val="none"/>
              </w:rPr>
            </w:pPr>
          </w:p>
        </w:tc>
        <w:tc>
          <w:tcPr>
            <w:tcW w:w="650" w:type="dxa"/>
            <w:vAlign w:val="center"/>
          </w:tcPr>
          <w:p w14:paraId="725513AD">
            <w:pPr>
              <w:jc w:val="center"/>
              <w:rPr>
                <w:rFonts w:ascii="宋体" w:hAnsi="宋体"/>
                <w:color w:val="auto"/>
                <w:szCs w:val="44"/>
                <w:highlight w:val="none"/>
              </w:rPr>
            </w:pPr>
          </w:p>
        </w:tc>
        <w:tc>
          <w:tcPr>
            <w:tcW w:w="650" w:type="dxa"/>
            <w:vAlign w:val="center"/>
          </w:tcPr>
          <w:p w14:paraId="36A04CDF">
            <w:pPr>
              <w:jc w:val="center"/>
              <w:rPr>
                <w:rFonts w:ascii="宋体" w:hAnsi="宋体"/>
                <w:color w:val="auto"/>
                <w:szCs w:val="44"/>
                <w:highlight w:val="none"/>
              </w:rPr>
            </w:pPr>
          </w:p>
        </w:tc>
        <w:tc>
          <w:tcPr>
            <w:tcW w:w="651" w:type="dxa"/>
            <w:vAlign w:val="center"/>
          </w:tcPr>
          <w:p w14:paraId="5486B798">
            <w:pPr>
              <w:jc w:val="center"/>
              <w:rPr>
                <w:rFonts w:ascii="宋体" w:hAnsi="宋体"/>
                <w:color w:val="auto"/>
                <w:szCs w:val="44"/>
                <w:highlight w:val="none"/>
              </w:rPr>
            </w:pPr>
          </w:p>
        </w:tc>
        <w:tc>
          <w:tcPr>
            <w:tcW w:w="818" w:type="dxa"/>
            <w:vAlign w:val="center"/>
          </w:tcPr>
          <w:p w14:paraId="3D6953B2">
            <w:pPr>
              <w:jc w:val="center"/>
              <w:rPr>
                <w:rFonts w:ascii="宋体" w:hAnsi="宋体"/>
                <w:color w:val="auto"/>
                <w:szCs w:val="44"/>
                <w:highlight w:val="none"/>
              </w:rPr>
            </w:pPr>
          </w:p>
        </w:tc>
      </w:tr>
      <w:tr w14:paraId="5DD8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14:paraId="717AF33D">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57BEF643">
            <w:pPr>
              <w:jc w:val="left"/>
              <w:rPr>
                <w:rFonts w:ascii="宋体" w:hAnsi="宋体"/>
                <w:color w:val="auto"/>
                <w:szCs w:val="44"/>
                <w:highlight w:val="none"/>
              </w:rPr>
            </w:pPr>
          </w:p>
          <w:p w14:paraId="7CC8E79F">
            <w:pPr>
              <w:jc w:val="left"/>
              <w:rPr>
                <w:rFonts w:ascii="宋体" w:hAnsi="宋体"/>
                <w:color w:val="auto"/>
                <w:szCs w:val="44"/>
                <w:highlight w:val="none"/>
              </w:rPr>
            </w:pPr>
          </w:p>
          <w:p w14:paraId="2A9558E8">
            <w:pPr>
              <w:jc w:val="left"/>
              <w:rPr>
                <w:rFonts w:ascii="宋体" w:hAnsi="宋体"/>
                <w:color w:val="auto"/>
                <w:szCs w:val="44"/>
                <w:highlight w:val="none"/>
              </w:rPr>
            </w:pPr>
          </w:p>
          <w:p w14:paraId="5D8874AF">
            <w:pPr>
              <w:jc w:val="left"/>
              <w:rPr>
                <w:rFonts w:ascii="宋体" w:hAnsi="宋体"/>
                <w:color w:val="auto"/>
                <w:szCs w:val="44"/>
                <w:highlight w:val="none"/>
              </w:rPr>
            </w:pPr>
          </w:p>
          <w:p w14:paraId="1162D073">
            <w:pPr>
              <w:jc w:val="left"/>
              <w:rPr>
                <w:rFonts w:ascii="宋体" w:hAnsi="宋体"/>
                <w:color w:val="auto"/>
                <w:szCs w:val="44"/>
                <w:highlight w:val="none"/>
              </w:rPr>
            </w:pPr>
          </w:p>
          <w:p w14:paraId="154F5913">
            <w:pPr>
              <w:jc w:val="left"/>
              <w:rPr>
                <w:rFonts w:ascii="宋体" w:hAnsi="宋体"/>
                <w:color w:val="auto"/>
                <w:szCs w:val="44"/>
                <w:highlight w:val="none"/>
              </w:rPr>
            </w:pPr>
          </w:p>
          <w:p w14:paraId="24089254">
            <w:pPr>
              <w:jc w:val="center"/>
              <w:rPr>
                <w:rFonts w:ascii="宋体" w:hAnsi="宋体"/>
                <w:color w:val="auto"/>
                <w:szCs w:val="44"/>
                <w:highlight w:val="none"/>
              </w:rPr>
            </w:pPr>
          </w:p>
        </w:tc>
      </w:tr>
    </w:tbl>
    <w:p w14:paraId="7ED0FB3A">
      <w:pPr>
        <w:rPr>
          <w:rFonts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14:paraId="7ECA014F">
      <w:pPr>
        <w:spacing w:after="240" w:afterLines="100"/>
        <w:rPr>
          <w:rFonts w:ascii="宋体" w:hAnsi="宋体"/>
          <w:color w:val="auto"/>
          <w:szCs w:val="44"/>
          <w:highlight w:val="none"/>
        </w:rPr>
      </w:pPr>
    </w:p>
    <w:p w14:paraId="19250EB4">
      <w:pPr>
        <w:rPr>
          <w:rFonts w:ascii="宋体" w:hAnsi="宋体"/>
          <w:color w:val="auto"/>
          <w:szCs w:val="44"/>
          <w:highlight w:val="none"/>
        </w:rPr>
      </w:pPr>
      <w:r>
        <w:rPr>
          <w:rFonts w:ascii="宋体" w:hAnsi="宋体"/>
          <w:color w:val="auto"/>
          <w:szCs w:val="44"/>
          <w:highlight w:val="none"/>
        </w:rPr>
        <w:br w:type="page"/>
      </w:r>
    </w:p>
    <w:p w14:paraId="1DD0BC69">
      <w:pPr>
        <w:pStyle w:val="25"/>
        <w:rPr>
          <w:color w:val="auto"/>
          <w:highlight w:val="none"/>
        </w:rPr>
      </w:pPr>
      <w:bookmarkStart w:id="544" w:name="_Toc26564"/>
      <w:bookmarkStart w:id="545" w:name="_Toc165804453"/>
      <w:bookmarkStart w:id="546" w:name="_Toc17446"/>
      <w:bookmarkStart w:id="547" w:name="_Toc256000136"/>
      <w:bookmarkStart w:id="548" w:name="_Toc27977"/>
      <w:bookmarkStart w:id="549" w:name="_Toc27055"/>
      <w:r>
        <w:rPr>
          <w:rFonts w:hint="eastAsia"/>
          <w:color w:val="auto"/>
          <w:highlight w:val="none"/>
        </w:rPr>
        <w:t>附表A-7：技术标评审记录表（合格性）</w:t>
      </w:r>
      <w:bookmarkEnd w:id="544"/>
      <w:bookmarkEnd w:id="545"/>
      <w:bookmarkEnd w:id="546"/>
      <w:bookmarkEnd w:id="547"/>
      <w:bookmarkEnd w:id="548"/>
      <w:bookmarkEnd w:id="549"/>
    </w:p>
    <w:p w14:paraId="0C33905C">
      <w:pPr>
        <w:spacing w:after="240" w:afterLines="100"/>
        <w:jc w:val="center"/>
        <w:rPr>
          <w:rFonts w:ascii="黑体" w:hAnsi="宋体" w:eastAsia="黑体"/>
          <w:color w:val="auto"/>
          <w:sz w:val="36"/>
          <w:szCs w:val="36"/>
          <w:highlight w:val="none"/>
        </w:rPr>
      </w:pPr>
    </w:p>
    <w:p w14:paraId="2181D0BC">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14:paraId="106554C0">
      <w:pPr>
        <w:spacing w:line="400" w:lineRule="exact"/>
        <w:jc w:val="center"/>
        <w:rPr>
          <w:rFonts w:ascii="宋体" w:hAnsi="宋体"/>
          <w:color w:val="auto"/>
          <w:szCs w:val="44"/>
          <w:highlight w:val="none"/>
        </w:rPr>
      </w:pPr>
      <w:r>
        <w:rPr>
          <w:rFonts w:hint="eastAsia" w:ascii="黑体" w:hAnsi="宋体" w:eastAsia="黑体"/>
          <w:color w:val="auto"/>
          <w:sz w:val="36"/>
          <w:szCs w:val="36"/>
          <w:highlight w:val="none"/>
        </w:rPr>
        <w:t>（适用于经评审的最低投标价法）</w:t>
      </w:r>
    </w:p>
    <w:p w14:paraId="0ED3C5F4">
      <w:pPr>
        <w:rPr>
          <w:rFonts w:ascii="宋体" w:hAnsi="宋体"/>
          <w:color w:val="auto"/>
          <w:szCs w:val="44"/>
          <w:highlight w:val="none"/>
        </w:rPr>
      </w:pPr>
      <w:r>
        <w:rPr>
          <w:rFonts w:hint="eastAsia" w:ascii="宋体" w:hAnsi="宋体"/>
          <w:color w:val="auto"/>
          <w:szCs w:val="44"/>
          <w:highlight w:val="none"/>
        </w:rPr>
        <w:t>标段名称：</w:t>
      </w:r>
    </w:p>
    <w:p w14:paraId="6E42BC5C">
      <w:pPr>
        <w:rPr>
          <w:rFonts w:ascii="宋体" w:hAnsi="宋体"/>
          <w:color w:val="auto"/>
          <w:szCs w:val="44"/>
          <w:highlight w:val="none"/>
        </w:rPr>
      </w:pPr>
      <w:r>
        <w:rPr>
          <w:rFonts w:hint="eastAsia"/>
          <w:color w:val="auto"/>
          <w:szCs w:val="44"/>
          <w:highlight w:val="none"/>
        </w:rPr>
        <w:t>标段唯一标识码：</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14:paraId="6274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14:paraId="02CF3E14">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340" w:type="dxa"/>
            <w:vMerge w:val="restart"/>
            <w:vAlign w:val="center"/>
          </w:tcPr>
          <w:p w14:paraId="3836FF92">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6A121513">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72FF98A6">
            <w:pPr>
              <w:jc w:val="center"/>
              <w:rPr>
                <w:rFonts w:ascii="宋体" w:hAnsi="宋体"/>
                <w:b/>
                <w:bCs/>
                <w:color w:val="auto"/>
                <w:szCs w:val="44"/>
                <w:highlight w:val="none"/>
              </w:rPr>
            </w:pPr>
            <w:r>
              <w:rPr>
                <w:rFonts w:ascii="宋体" w:hAnsi="宋体"/>
                <w:b/>
                <w:bCs/>
                <w:color w:val="auto"/>
                <w:szCs w:val="21"/>
                <w:highlight w:val="none"/>
              </w:rPr>
              <w:t>评审结论</w:t>
            </w:r>
          </w:p>
        </w:tc>
      </w:tr>
      <w:tr w14:paraId="7F8B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14:paraId="531CD14E">
            <w:pPr>
              <w:jc w:val="center"/>
              <w:rPr>
                <w:rFonts w:ascii="宋体" w:hAnsi="宋体"/>
                <w:color w:val="auto"/>
                <w:szCs w:val="44"/>
                <w:highlight w:val="none"/>
              </w:rPr>
            </w:pPr>
          </w:p>
        </w:tc>
        <w:tc>
          <w:tcPr>
            <w:tcW w:w="1340" w:type="dxa"/>
            <w:vMerge w:val="continue"/>
          </w:tcPr>
          <w:p w14:paraId="524600A0">
            <w:pPr>
              <w:jc w:val="center"/>
              <w:rPr>
                <w:rFonts w:ascii="宋体" w:hAnsi="宋体"/>
                <w:color w:val="auto"/>
                <w:szCs w:val="44"/>
                <w:highlight w:val="none"/>
              </w:rPr>
            </w:pPr>
          </w:p>
        </w:tc>
        <w:tc>
          <w:tcPr>
            <w:tcW w:w="650" w:type="dxa"/>
            <w:vAlign w:val="center"/>
          </w:tcPr>
          <w:p w14:paraId="096BB710">
            <w:pPr>
              <w:jc w:val="center"/>
              <w:rPr>
                <w:rFonts w:ascii="宋体" w:hAnsi="宋体"/>
                <w:color w:val="auto"/>
                <w:szCs w:val="44"/>
                <w:highlight w:val="none"/>
              </w:rPr>
            </w:pPr>
          </w:p>
        </w:tc>
        <w:tc>
          <w:tcPr>
            <w:tcW w:w="650" w:type="dxa"/>
            <w:vAlign w:val="center"/>
          </w:tcPr>
          <w:p w14:paraId="2DAED057">
            <w:pPr>
              <w:jc w:val="center"/>
              <w:rPr>
                <w:rFonts w:ascii="宋体" w:hAnsi="宋体"/>
                <w:color w:val="auto"/>
                <w:szCs w:val="44"/>
                <w:highlight w:val="none"/>
              </w:rPr>
            </w:pPr>
          </w:p>
        </w:tc>
        <w:tc>
          <w:tcPr>
            <w:tcW w:w="650" w:type="dxa"/>
            <w:vAlign w:val="center"/>
          </w:tcPr>
          <w:p w14:paraId="56663406">
            <w:pPr>
              <w:jc w:val="center"/>
              <w:rPr>
                <w:rFonts w:ascii="宋体" w:hAnsi="宋体"/>
                <w:color w:val="auto"/>
                <w:szCs w:val="44"/>
                <w:highlight w:val="none"/>
              </w:rPr>
            </w:pPr>
          </w:p>
        </w:tc>
        <w:tc>
          <w:tcPr>
            <w:tcW w:w="650" w:type="dxa"/>
            <w:vAlign w:val="center"/>
          </w:tcPr>
          <w:p w14:paraId="19A93E0E">
            <w:pPr>
              <w:jc w:val="center"/>
              <w:rPr>
                <w:rFonts w:ascii="宋体" w:hAnsi="宋体"/>
                <w:color w:val="auto"/>
                <w:szCs w:val="44"/>
                <w:highlight w:val="none"/>
              </w:rPr>
            </w:pPr>
          </w:p>
        </w:tc>
        <w:tc>
          <w:tcPr>
            <w:tcW w:w="650" w:type="dxa"/>
            <w:vAlign w:val="center"/>
          </w:tcPr>
          <w:p w14:paraId="67BB145F">
            <w:pPr>
              <w:jc w:val="center"/>
              <w:rPr>
                <w:rFonts w:ascii="宋体" w:hAnsi="宋体"/>
                <w:color w:val="auto"/>
                <w:szCs w:val="44"/>
                <w:highlight w:val="none"/>
              </w:rPr>
            </w:pPr>
          </w:p>
        </w:tc>
        <w:tc>
          <w:tcPr>
            <w:tcW w:w="650" w:type="dxa"/>
            <w:vAlign w:val="center"/>
          </w:tcPr>
          <w:p w14:paraId="674A5CFB">
            <w:pPr>
              <w:jc w:val="center"/>
              <w:rPr>
                <w:rFonts w:ascii="宋体" w:hAnsi="宋体"/>
                <w:color w:val="auto"/>
                <w:szCs w:val="44"/>
                <w:highlight w:val="none"/>
              </w:rPr>
            </w:pPr>
          </w:p>
        </w:tc>
        <w:tc>
          <w:tcPr>
            <w:tcW w:w="650" w:type="dxa"/>
            <w:vAlign w:val="center"/>
          </w:tcPr>
          <w:p w14:paraId="6070C964">
            <w:pPr>
              <w:jc w:val="center"/>
              <w:rPr>
                <w:rFonts w:ascii="宋体" w:hAnsi="宋体"/>
                <w:color w:val="auto"/>
                <w:szCs w:val="44"/>
                <w:highlight w:val="none"/>
              </w:rPr>
            </w:pPr>
          </w:p>
        </w:tc>
        <w:tc>
          <w:tcPr>
            <w:tcW w:w="650" w:type="dxa"/>
            <w:vAlign w:val="center"/>
          </w:tcPr>
          <w:p w14:paraId="6ABD503D">
            <w:pPr>
              <w:jc w:val="center"/>
              <w:rPr>
                <w:rFonts w:ascii="宋体" w:hAnsi="宋体"/>
                <w:color w:val="auto"/>
                <w:szCs w:val="44"/>
                <w:highlight w:val="none"/>
              </w:rPr>
            </w:pPr>
          </w:p>
        </w:tc>
        <w:tc>
          <w:tcPr>
            <w:tcW w:w="651" w:type="dxa"/>
            <w:vAlign w:val="center"/>
          </w:tcPr>
          <w:p w14:paraId="2359DCBA">
            <w:pPr>
              <w:jc w:val="center"/>
              <w:rPr>
                <w:rFonts w:ascii="宋体" w:hAnsi="宋体"/>
                <w:color w:val="auto"/>
                <w:szCs w:val="44"/>
                <w:highlight w:val="none"/>
              </w:rPr>
            </w:pPr>
          </w:p>
        </w:tc>
        <w:tc>
          <w:tcPr>
            <w:tcW w:w="818" w:type="dxa"/>
            <w:vMerge w:val="continue"/>
            <w:vAlign w:val="center"/>
          </w:tcPr>
          <w:p w14:paraId="0366181C">
            <w:pPr>
              <w:jc w:val="center"/>
              <w:rPr>
                <w:rFonts w:ascii="宋体" w:hAnsi="宋体"/>
                <w:color w:val="auto"/>
                <w:szCs w:val="44"/>
                <w:highlight w:val="none"/>
              </w:rPr>
            </w:pPr>
          </w:p>
        </w:tc>
      </w:tr>
      <w:tr w14:paraId="0782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410A42A1">
            <w:pPr>
              <w:jc w:val="center"/>
              <w:rPr>
                <w:rFonts w:ascii="宋体" w:hAnsi="宋体"/>
                <w:color w:val="auto"/>
                <w:szCs w:val="44"/>
                <w:highlight w:val="none"/>
              </w:rPr>
            </w:pPr>
            <w:r>
              <w:rPr>
                <w:rFonts w:hint="eastAsia" w:ascii="宋体" w:hAnsi="宋体"/>
                <w:color w:val="auto"/>
                <w:szCs w:val="44"/>
                <w:highlight w:val="none"/>
              </w:rPr>
              <w:t>1</w:t>
            </w:r>
          </w:p>
        </w:tc>
        <w:tc>
          <w:tcPr>
            <w:tcW w:w="1340" w:type="dxa"/>
            <w:vAlign w:val="center"/>
          </w:tcPr>
          <w:p w14:paraId="55BAB6D4">
            <w:pPr>
              <w:jc w:val="center"/>
              <w:rPr>
                <w:rFonts w:ascii="宋体" w:hAnsi="宋体"/>
                <w:color w:val="auto"/>
                <w:szCs w:val="21"/>
                <w:highlight w:val="none"/>
              </w:rPr>
            </w:pPr>
          </w:p>
        </w:tc>
        <w:tc>
          <w:tcPr>
            <w:tcW w:w="650" w:type="dxa"/>
            <w:vAlign w:val="center"/>
          </w:tcPr>
          <w:p w14:paraId="0870F385">
            <w:pPr>
              <w:jc w:val="center"/>
              <w:rPr>
                <w:rFonts w:ascii="宋体" w:hAnsi="宋体"/>
                <w:color w:val="auto"/>
                <w:szCs w:val="21"/>
                <w:highlight w:val="none"/>
              </w:rPr>
            </w:pPr>
          </w:p>
        </w:tc>
        <w:tc>
          <w:tcPr>
            <w:tcW w:w="650" w:type="dxa"/>
            <w:vAlign w:val="center"/>
          </w:tcPr>
          <w:p w14:paraId="677CD3C3">
            <w:pPr>
              <w:jc w:val="center"/>
              <w:rPr>
                <w:rFonts w:ascii="宋体" w:hAnsi="宋体"/>
                <w:color w:val="auto"/>
                <w:szCs w:val="44"/>
                <w:highlight w:val="none"/>
              </w:rPr>
            </w:pPr>
          </w:p>
        </w:tc>
        <w:tc>
          <w:tcPr>
            <w:tcW w:w="650" w:type="dxa"/>
            <w:vAlign w:val="center"/>
          </w:tcPr>
          <w:p w14:paraId="71D1B1D3">
            <w:pPr>
              <w:jc w:val="center"/>
              <w:rPr>
                <w:rFonts w:ascii="宋体" w:hAnsi="宋体"/>
                <w:color w:val="auto"/>
                <w:szCs w:val="44"/>
                <w:highlight w:val="none"/>
              </w:rPr>
            </w:pPr>
          </w:p>
        </w:tc>
        <w:tc>
          <w:tcPr>
            <w:tcW w:w="650" w:type="dxa"/>
            <w:vAlign w:val="center"/>
          </w:tcPr>
          <w:p w14:paraId="4989CAD0">
            <w:pPr>
              <w:jc w:val="center"/>
              <w:rPr>
                <w:rFonts w:ascii="宋体" w:hAnsi="宋体"/>
                <w:color w:val="auto"/>
                <w:szCs w:val="44"/>
                <w:highlight w:val="none"/>
              </w:rPr>
            </w:pPr>
          </w:p>
        </w:tc>
        <w:tc>
          <w:tcPr>
            <w:tcW w:w="650" w:type="dxa"/>
            <w:vAlign w:val="center"/>
          </w:tcPr>
          <w:p w14:paraId="3231D370">
            <w:pPr>
              <w:jc w:val="center"/>
              <w:rPr>
                <w:rFonts w:ascii="宋体" w:hAnsi="宋体"/>
                <w:color w:val="auto"/>
                <w:szCs w:val="44"/>
                <w:highlight w:val="none"/>
              </w:rPr>
            </w:pPr>
          </w:p>
        </w:tc>
        <w:tc>
          <w:tcPr>
            <w:tcW w:w="650" w:type="dxa"/>
            <w:vAlign w:val="center"/>
          </w:tcPr>
          <w:p w14:paraId="29F5D898">
            <w:pPr>
              <w:jc w:val="center"/>
              <w:rPr>
                <w:rFonts w:ascii="宋体" w:hAnsi="宋体"/>
                <w:color w:val="auto"/>
                <w:szCs w:val="44"/>
                <w:highlight w:val="none"/>
              </w:rPr>
            </w:pPr>
          </w:p>
        </w:tc>
        <w:tc>
          <w:tcPr>
            <w:tcW w:w="650" w:type="dxa"/>
            <w:vAlign w:val="center"/>
          </w:tcPr>
          <w:p w14:paraId="0EB3C29A">
            <w:pPr>
              <w:jc w:val="center"/>
              <w:rPr>
                <w:rFonts w:ascii="宋体" w:hAnsi="宋体"/>
                <w:color w:val="auto"/>
                <w:szCs w:val="44"/>
                <w:highlight w:val="none"/>
              </w:rPr>
            </w:pPr>
          </w:p>
        </w:tc>
        <w:tc>
          <w:tcPr>
            <w:tcW w:w="650" w:type="dxa"/>
            <w:vAlign w:val="center"/>
          </w:tcPr>
          <w:p w14:paraId="5FD6913A">
            <w:pPr>
              <w:jc w:val="center"/>
              <w:rPr>
                <w:rFonts w:ascii="宋体" w:hAnsi="宋体"/>
                <w:color w:val="auto"/>
                <w:szCs w:val="44"/>
                <w:highlight w:val="none"/>
              </w:rPr>
            </w:pPr>
          </w:p>
        </w:tc>
        <w:tc>
          <w:tcPr>
            <w:tcW w:w="651" w:type="dxa"/>
            <w:vAlign w:val="center"/>
          </w:tcPr>
          <w:p w14:paraId="3B624AF4">
            <w:pPr>
              <w:jc w:val="center"/>
              <w:rPr>
                <w:rFonts w:ascii="宋体" w:hAnsi="宋体"/>
                <w:color w:val="auto"/>
                <w:szCs w:val="44"/>
                <w:highlight w:val="none"/>
              </w:rPr>
            </w:pPr>
          </w:p>
        </w:tc>
        <w:tc>
          <w:tcPr>
            <w:tcW w:w="818" w:type="dxa"/>
            <w:vAlign w:val="center"/>
          </w:tcPr>
          <w:p w14:paraId="58C3E49C">
            <w:pPr>
              <w:jc w:val="center"/>
              <w:rPr>
                <w:rFonts w:ascii="宋体" w:hAnsi="宋体"/>
                <w:color w:val="auto"/>
                <w:szCs w:val="44"/>
                <w:highlight w:val="none"/>
              </w:rPr>
            </w:pPr>
          </w:p>
        </w:tc>
      </w:tr>
      <w:tr w14:paraId="79FD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350865BD">
            <w:pPr>
              <w:jc w:val="center"/>
              <w:rPr>
                <w:rFonts w:ascii="宋体" w:hAnsi="宋体"/>
                <w:color w:val="auto"/>
                <w:szCs w:val="44"/>
                <w:highlight w:val="none"/>
              </w:rPr>
            </w:pPr>
            <w:r>
              <w:rPr>
                <w:rFonts w:hint="eastAsia" w:ascii="宋体" w:hAnsi="宋体"/>
                <w:color w:val="auto"/>
                <w:szCs w:val="44"/>
                <w:highlight w:val="none"/>
              </w:rPr>
              <w:t>2</w:t>
            </w:r>
          </w:p>
        </w:tc>
        <w:tc>
          <w:tcPr>
            <w:tcW w:w="1340" w:type="dxa"/>
            <w:vAlign w:val="center"/>
          </w:tcPr>
          <w:p w14:paraId="0E53B399">
            <w:pPr>
              <w:jc w:val="center"/>
              <w:rPr>
                <w:rFonts w:ascii="宋体" w:hAnsi="宋体"/>
                <w:color w:val="auto"/>
                <w:szCs w:val="44"/>
                <w:highlight w:val="none"/>
              </w:rPr>
            </w:pPr>
          </w:p>
        </w:tc>
        <w:tc>
          <w:tcPr>
            <w:tcW w:w="650" w:type="dxa"/>
            <w:vAlign w:val="center"/>
          </w:tcPr>
          <w:p w14:paraId="61490A2B">
            <w:pPr>
              <w:jc w:val="center"/>
              <w:rPr>
                <w:color w:val="auto"/>
                <w:highlight w:val="none"/>
              </w:rPr>
            </w:pPr>
          </w:p>
        </w:tc>
        <w:tc>
          <w:tcPr>
            <w:tcW w:w="650" w:type="dxa"/>
            <w:vAlign w:val="center"/>
          </w:tcPr>
          <w:p w14:paraId="253EEE9C">
            <w:pPr>
              <w:jc w:val="center"/>
              <w:rPr>
                <w:rFonts w:ascii="宋体" w:hAnsi="宋体"/>
                <w:color w:val="auto"/>
                <w:szCs w:val="44"/>
                <w:highlight w:val="none"/>
              </w:rPr>
            </w:pPr>
          </w:p>
        </w:tc>
        <w:tc>
          <w:tcPr>
            <w:tcW w:w="650" w:type="dxa"/>
            <w:vAlign w:val="center"/>
          </w:tcPr>
          <w:p w14:paraId="10FF252D">
            <w:pPr>
              <w:jc w:val="center"/>
              <w:rPr>
                <w:rFonts w:ascii="宋体" w:hAnsi="宋体"/>
                <w:color w:val="auto"/>
                <w:szCs w:val="44"/>
                <w:highlight w:val="none"/>
              </w:rPr>
            </w:pPr>
          </w:p>
        </w:tc>
        <w:tc>
          <w:tcPr>
            <w:tcW w:w="650" w:type="dxa"/>
            <w:vAlign w:val="center"/>
          </w:tcPr>
          <w:p w14:paraId="32A0314C">
            <w:pPr>
              <w:jc w:val="center"/>
              <w:rPr>
                <w:rFonts w:ascii="宋体" w:hAnsi="宋体"/>
                <w:color w:val="auto"/>
                <w:szCs w:val="44"/>
                <w:highlight w:val="none"/>
              </w:rPr>
            </w:pPr>
          </w:p>
        </w:tc>
        <w:tc>
          <w:tcPr>
            <w:tcW w:w="650" w:type="dxa"/>
            <w:vAlign w:val="center"/>
          </w:tcPr>
          <w:p w14:paraId="2AA6F407">
            <w:pPr>
              <w:jc w:val="center"/>
              <w:rPr>
                <w:rFonts w:ascii="宋体" w:hAnsi="宋体"/>
                <w:color w:val="auto"/>
                <w:szCs w:val="44"/>
                <w:highlight w:val="none"/>
              </w:rPr>
            </w:pPr>
          </w:p>
        </w:tc>
        <w:tc>
          <w:tcPr>
            <w:tcW w:w="650" w:type="dxa"/>
            <w:vAlign w:val="center"/>
          </w:tcPr>
          <w:p w14:paraId="377D4B6E">
            <w:pPr>
              <w:jc w:val="center"/>
              <w:rPr>
                <w:rFonts w:ascii="宋体" w:hAnsi="宋体"/>
                <w:color w:val="auto"/>
                <w:szCs w:val="44"/>
                <w:highlight w:val="none"/>
              </w:rPr>
            </w:pPr>
          </w:p>
        </w:tc>
        <w:tc>
          <w:tcPr>
            <w:tcW w:w="650" w:type="dxa"/>
            <w:vAlign w:val="center"/>
          </w:tcPr>
          <w:p w14:paraId="0F1FC7D1">
            <w:pPr>
              <w:jc w:val="center"/>
              <w:rPr>
                <w:rFonts w:ascii="宋体" w:hAnsi="宋体"/>
                <w:color w:val="auto"/>
                <w:szCs w:val="44"/>
                <w:highlight w:val="none"/>
              </w:rPr>
            </w:pPr>
          </w:p>
        </w:tc>
        <w:tc>
          <w:tcPr>
            <w:tcW w:w="650" w:type="dxa"/>
            <w:vAlign w:val="center"/>
          </w:tcPr>
          <w:p w14:paraId="77239DAC">
            <w:pPr>
              <w:jc w:val="center"/>
              <w:rPr>
                <w:rFonts w:ascii="宋体" w:hAnsi="宋体"/>
                <w:color w:val="auto"/>
                <w:szCs w:val="44"/>
                <w:highlight w:val="none"/>
              </w:rPr>
            </w:pPr>
          </w:p>
        </w:tc>
        <w:tc>
          <w:tcPr>
            <w:tcW w:w="651" w:type="dxa"/>
            <w:vAlign w:val="center"/>
          </w:tcPr>
          <w:p w14:paraId="309F0FE5">
            <w:pPr>
              <w:jc w:val="center"/>
              <w:rPr>
                <w:rFonts w:ascii="宋体" w:hAnsi="宋体"/>
                <w:color w:val="auto"/>
                <w:szCs w:val="44"/>
                <w:highlight w:val="none"/>
              </w:rPr>
            </w:pPr>
          </w:p>
        </w:tc>
        <w:tc>
          <w:tcPr>
            <w:tcW w:w="818" w:type="dxa"/>
            <w:vAlign w:val="center"/>
          </w:tcPr>
          <w:p w14:paraId="4FD70C3B">
            <w:pPr>
              <w:jc w:val="center"/>
              <w:rPr>
                <w:rFonts w:ascii="宋体" w:hAnsi="宋体"/>
                <w:color w:val="auto"/>
                <w:szCs w:val="44"/>
                <w:highlight w:val="none"/>
              </w:rPr>
            </w:pPr>
          </w:p>
        </w:tc>
      </w:tr>
      <w:tr w14:paraId="3555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1E732F03">
            <w:pPr>
              <w:jc w:val="center"/>
              <w:rPr>
                <w:rFonts w:ascii="宋体" w:hAnsi="宋体"/>
                <w:color w:val="auto"/>
                <w:szCs w:val="44"/>
                <w:highlight w:val="none"/>
              </w:rPr>
            </w:pPr>
            <w:r>
              <w:rPr>
                <w:rFonts w:hint="eastAsia" w:ascii="宋体" w:hAnsi="宋体"/>
                <w:color w:val="auto"/>
                <w:szCs w:val="44"/>
                <w:highlight w:val="none"/>
              </w:rPr>
              <w:t>3</w:t>
            </w:r>
          </w:p>
        </w:tc>
        <w:tc>
          <w:tcPr>
            <w:tcW w:w="1340" w:type="dxa"/>
            <w:vAlign w:val="center"/>
          </w:tcPr>
          <w:p w14:paraId="5E0662B8">
            <w:pPr>
              <w:jc w:val="center"/>
              <w:rPr>
                <w:rFonts w:ascii="宋体" w:hAnsi="宋体"/>
                <w:color w:val="auto"/>
                <w:szCs w:val="44"/>
                <w:highlight w:val="none"/>
              </w:rPr>
            </w:pPr>
          </w:p>
        </w:tc>
        <w:tc>
          <w:tcPr>
            <w:tcW w:w="650" w:type="dxa"/>
            <w:vAlign w:val="center"/>
          </w:tcPr>
          <w:p w14:paraId="0600B9DB">
            <w:pPr>
              <w:jc w:val="center"/>
              <w:rPr>
                <w:color w:val="auto"/>
                <w:highlight w:val="none"/>
              </w:rPr>
            </w:pPr>
          </w:p>
        </w:tc>
        <w:tc>
          <w:tcPr>
            <w:tcW w:w="650" w:type="dxa"/>
            <w:vAlign w:val="center"/>
          </w:tcPr>
          <w:p w14:paraId="5E7BE434">
            <w:pPr>
              <w:jc w:val="center"/>
              <w:rPr>
                <w:rFonts w:ascii="宋体" w:hAnsi="宋体"/>
                <w:color w:val="auto"/>
                <w:szCs w:val="44"/>
                <w:highlight w:val="none"/>
              </w:rPr>
            </w:pPr>
          </w:p>
        </w:tc>
        <w:tc>
          <w:tcPr>
            <w:tcW w:w="650" w:type="dxa"/>
            <w:vAlign w:val="center"/>
          </w:tcPr>
          <w:p w14:paraId="55272960">
            <w:pPr>
              <w:jc w:val="center"/>
              <w:rPr>
                <w:rFonts w:ascii="宋体" w:hAnsi="宋体"/>
                <w:color w:val="auto"/>
                <w:szCs w:val="44"/>
                <w:highlight w:val="none"/>
              </w:rPr>
            </w:pPr>
          </w:p>
        </w:tc>
        <w:tc>
          <w:tcPr>
            <w:tcW w:w="650" w:type="dxa"/>
            <w:vAlign w:val="center"/>
          </w:tcPr>
          <w:p w14:paraId="6A69814E">
            <w:pPr>
              <w:jc w:val="center"/>
              <w:rPr>
                <w:rFonts w:ascii="宋体" w:hAnsi="宋体"/>
                <w:color w:val="auto"/>
                <w:szCs w:val="44"/>
                <w:highlight w:val="none"/>
              </w:rPr>
            </w:pPr>
          </w:p>
        </w:tc>
        <w:tc>
          <w:tcPr>
            <w:tcW w:w="650" w:type="dxa"/>
            <w:vAlign w:val="center"/>
          </w:tcPr>
          <w:p w14:paraId="4B960A6E">
            <w:pPr>
              <w:jc w:val="center"/>
              <w:rPr>
                <w:rFonts w:ascii="宋体" w:hAnsi="宋体"/>
                <w:color w:val="auto"/>
                <w:szCs w:val="44"/>
                <w:highlight w:val="none"/>
              </w:rPr>
            </w:pPr>
          </w:p>
        </w:tc>
        <w:tc>
          <w:tcPr>
            <w:tcW w:w="650" w:type="dxa"/>
            <w:vAlign w:val="center"/>
          </w:tcPr>
          <w:p w14:paraId="00116799">
            <w:pPr>
              <w:jc w:val="center"/>
              <w:rPr>
                <w:rFonts w:ascii="宋体" w:hAnsi="宋体"/>
                <w:color w:val="auto"/>
                <w:szCs w:val="44"/>
                <w:highlight w:val="none"/>
              </w:rPr>
            </w:pPr>
          </w:p>
        </w:tc>
        <w:tc>
          <w:tcPr>
            <w:tcW w:w="650" w:type="dxa"/>
            <w:vAlign w:val="center"/>
          </w:tcPr>
          <w:p w14:paraId="35A9E7EF">
            <w:pPr>
              <w:jc w:val="center"/>
              <w:rPr>
                <w:rFonts w:ascii="宋体" w:hAnsi="宋体"/>
                <w:color w:val="auto"/>
                <w:szCs w:val="44"/>
                <w:highlight w:val="none"/>
              </w:rPr>
            </w:pPr>
          </w:p>
        </w:tc>
        <w:tc>
          <w:tcPr>
            <w:tcW w:w="650" w:type="dxa"/>
            <w:vAlign w:val="center"/>
          </w:tcPr>
          <w:p w14:paraId="738CD561">
            <w:pPr>
              <w:jc w:val="center"/>
              <w:rPr>
                <w:rFonts w:ascii="宋体" w:hAnsi="宋体"/>
                <w:color w:val="auto"/>
                <w:szCs w:val="44"/>
                <w:highlight w:val="none"/>
              </w:rPr>
            </w:pPr>
          </w:p>
        </w:tc>
        <w:tc>
          <w:tcPr>
            <w:tcW w:w="651" w:type="dxa"/>
            <w:vAlign w:val="center"/>
          </w:tcPr>
          <w:p w14:paraId="22F5CB95">
            <w:pPr>
              <w:jc w:val="center"/>
              <w:rPr>
                <w:rFonts w:ascii="宋体" w:hAnsi="宋体"/>
                <w:color w:val="auto"/>
                <w:szCs w:val="44"/>
                <w:highlight w:val="none"/>
              </w:rPr>
            </w:pPr>
          </w:p>
        </w:tc>
        <w:tc>
          <w:tcPr>
            <w:tcW w:w="818" w:type="dxa"/>
            <w:vAlign w:val="center"/>
          </w:tcPr>
          <w:p w14:paraId="2BCBD204">
            <w:pPr>
              <w:jc w:val="center"/>
              <w:rPr>
                <w:rFonts w:ascii="宋体" w:hAnsi="宋体"/>
                <w:color w:val="auto"/>
                <w:szCs w:val="44"/>
                <w:highlight w:val="none"/>
              </w:rPr>
            </w:pPr>
          </w:p>
        </w:tc>
      </w:tr>
      <w:tr w14:paraId="6C0C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7D569BC0">
            <w:pPr>
              <w:jc w:val="center"/>
              <w:rPr>
                <w:rFonts w:ascii="宋体" w:hAnsi="宋体"/>
                <w:color w:val="auto"/>
                <w:szCs w:val="44"/>
                <w:highlight w:val="none"/>
              </w:rPr>
            </w:pPr>
            <w:r>
              <w:rPr>
                <w:rFonts w:hint="eastAsia" w:ascii="宋体" w:hAnsi="宋体"/>
                <w:color w:val="auto"/>
                <w:szCs w:val="44"/>
                <w:highlight w:val="none"/>
              </w:rPr>
              <w:t>4</w:t>
            </w:r>
          </w:p>
        </w:tc>
        <w:tc>
          <w:tcPr>
            <w:tcW w:w="1340" w:type="dxa"/>
            <w:vAlign w:val="center"/>
          </w:tcPr>
          <w:p w14:paraId="0A57FA7C">
            <w:pPr>
              <w:jc w:val="center"/>
              <w:rPr>
                <w:rFonts w:ascii="宋体" w:hAnsi="宋体"/>
                <w:color w:val="auto"/>
                <w:szCs w:val="44"/>
                <w:highlight w:val="none"/>
              </w:rPr>
            </w:pPr>
          </w:p>
        </w:tc>
        <w:tc>
          <w:tcPr>
            <w:tcW w:w="650" w:type="dxa"/>
            <w:vAlign w:val="center"/>
          </w:tcPr>
          <w:p w14:paraId="1E444007">
            <w:pPr>
              <w:jc w:val="center"/>
              <w:rPr>
                <w:color w:val="auto"/>
                <w:highlight w:val="none"/>
              </w:rPr>
            </w:pPr>
          </w:p>
        </w:tc>
        <w:tc>
          <w:tcPr>
            <w:tcW w:w="650" w:type="dxa"/>
            <w:vAlign w:val="center"/>
          </w:tcPr>
          <w:p w14:paraId="27519648">
            <w:pPr>
              <w:jc w:val="center"/>
              <w:rPr>
                <w:rFonts w:ascii="宋体" w:hAnsi="宋体"/>
                <w:color w:val="auto"/>
                <w:szCs w:val="44"/>
                <w:highlight w:val="none"/>
              </w:rPr>
            </w:pPr>
          </w:p>
        </w:tc>
        <w:tc>
          <w:tcPr>
            <w:tcW w:w="650" w:type="dxa"/>
            <w:vAlign w:val="center"/>
          </w:tcPr>
          <w:p w14:paraId="5F37DDE9">
            <w:pPr>
              <w:jc w:val="center"/>
              <w:rPr>
                <w:rFonts w:ascii="宋体" w:hAnsi="宋体"/>
                <w:color w:val="auto"/>
                <w:szCs w:val="44"/>
                <w:highlight w:val="none"/>
              </w:rPr>
            </w:pPr>
          </w:p>
        </w:tc>
        <w:tc>
          <w:tcPr>
            <w:tcW w:w="650" w:type="dxa"/>
            <w:vAlign w:val="center"/>
          </w:tcPr>
          <w:p w14:paraId="07F61EFC">
            <w:pPr>
              <w:jc w:val="center"/>
              <w:rPr>
                <w:rFonts w:ascii="宋体" w:hAnsi="宋体"/>
                <w:color w:val="auto"/>
                <w:szCs w:val="44"/>
                <w:highlight w:val="none"/>
              </w:rPr>
            </w:pPr>
          </w:p>
        </w:tc>
        <w:tc>
          <w:tcPr>
            <w:tcW w:w="650" w:type="dxa"/>
            <w:vAlign w:val="center"/>
          </w:tcPr>
          <w:p w14:paraId="320DCF9C">
            <w:pPr>
              <w:jc w:val="center"/>
              <w:rPr>
                <w:rFonts w:ascii="宋体" w:hAnsi="宋体"/>
                <w:color w:val="auto"/>
                <w:szCs w:val="44"/>
                <w:highlight w:val="none"/>
              </w:rPr>
            </w:pPr>
          </w:p>
        </w:tc>
        <w:tc>
          <w:tcPr>
            <w:tcW w:w="650" w:type="dxa"/>
            <w:vAlign w:val="center"/>
          </w:tcPr>
          <w:p w14:paraId="24457DFA">
            <w:pPr>
              <w:jc w:val="center"/>
              <w:rPr>
                <w:rFonts w:ascii="宋体" w:hAnsi="宋体"/>
                <w:color w:val="auto"/>
                <w:szCs w:val="44"/>
                <w:highlight w:val="none"/>
              </w:rPr>
            </w:pPr>
          </w:p>
        </w:tc>
        <w:tc>
          <w:tcPr>
            <w:tcW w:w="650" w:type="dxa"/>
            <w:vAlign w:val="center"/>
          </w:tcPr>
          <w:p w14:paraId="23699CCA">
            <w:pPr>
              <w:jc w:val="center"/>
              <w:rPr>
                <w:rFonts w:ascii="宋体" w:hAnsi="宋体"/>
                <w:color w:val="auto"/>
                <w:szCs w:val="44"/>
                <w:highlight w:val="none"/>
              </w:rPr>
            </w:pPr>
          </w:p>
        </w:tc>
        <w:tc>
          <w:tcPr>
            <w:tcW w:w="650" w:type="dxa"/>
            <w:vAlign w:val="center"/>
          </w:tcPr>
          <w:p w14:paraId="3292D186">
            <w:pPr>
              <w:jc w:val="center"/>
              <w:rPr>
                <w:rFonts w:ascii="宋体" w:hAnsi="宋体"/>
                <w:color w:val="auto"/>
                <w:szCs w:val="44"/>
                <w:highlight w:val="none"/>
              </w:rPr>
            </w:pPr>
          </w:p>
        </w:tc>
        <w:tc>
          <w:tcPr>
            <w:tcW w:w="651" w:type="dxa"/>
            <w:vAlign w:val="center"/>
          </w:tcPr>
          <w:p w14:paraId="7DB2EA73">
            <w:pPr>
              <w:jc w:val="center"/>
              <w:rPr>
                <w:rFonts w:ascii="宋体" w:hAnsi="宋体"/>
                <w:color w:val="auto"/>
                <w:szCs w:val="44"/>
                <w:highlight w:val="none"/>
              </w:rPr>
            </w:pPr>
          </w:p>
        </w:tc>
        <w:tc>
          <w:tcPr>
            <w:tcW w:w="818" w:type="dxa"/>
            <w:vAlign w:val="center"/>
          </w:tcPr>
          <w:p w14:paraId="623FECB2">
            <w:pPr>
              <w:jc w:val="center"/>
              <w:rPr>
                <w:rFonts w:ascii="宋体" w:hAnsi="宋体"/>
                <w:color w:val="auto"/>
                <w:szCs w:val="44"/>
                <w:highlight w:val="none"/>
              </w:rPr>
            </w:pPr>
          </w:p>
        </w:tc>
      </w:tr>
      <w:tr w14:paraId="2800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42824815">
            <w:pPr>
              <w:jc w:val="center"/>
              <w:rPr>
                <w:rFonts w:ascii="宋体" w:hAnsi="宋体"/>
                <w:color w:val="auto"/>
                <w:szCs w:val="44"/>
                <w:highlight w:val="none"/>
              </w:rPr>
            </w:pPr>
            <w:r>
              <w:rPr>
                <w:rFonts w:hint="eastAsia" w:ascii="宋体" w:hAnsi="宋体"/>
                <w:color w:val="auto"/>
                <w:szCs w:val="44"/>
                <w:highlight w:val="none"/>
              </w:rPr>
              <w:t>5</w:t>
            </w:r>
          </w:p>
        </w:tc>
        <w:tc>
          <w:tcPr>
            <w:tcW w:w="1340" w:type="dxa"/>
            <w:vAlign w:val="center"/>
          </w:tcPr>
          <w:p w14:paraId="39B39545">
            <w:pPr>
              <w:jc w:val="center"/>
              <w:rPr>
                <w:rFonts w:ascii="宋体" w:hAnsi="宋体"/>
                <w:color w:val="auto"/>
                <w:szCs w:val="44"/>
                <w:highlight w:val="none"/>
              </w:rPr>
            </w:pPr>
          </w:p>
        </w:tc>
        <w:tc>
          <w:tcPr>
            <w:tcW w:w="650" w:type="dxa"/>
            <w:vAlign w:val="center"/>
          </w:tcPr>
          <w:p w14:paraId="302B721A">
            <w:pPr>
              <w:jc w:val="center"/>
              <w:rPr>
                <w:color w:val="auto"/>
                <w:highlight w:val="none"/>
              </w:rPr>
            </w:pPr>
          </w:p>
        </w:tc>
        <w:tc>
          <w:tcPr>
            <w:tcW w:w="650" w:type="dxa"/>
            <w:vAlign w:val="center"/>
          </w:tcPr>
          <w:p w14:paraId="7FDF6B17">
            <w:pPr>
              <w:jc w:val="center"/>
              <w:rPr>
                <w:rFonts w:ascii="宋体" w:hAnsi="宋体"/>
                <w:color w:val="auto"/>
                <w:szCs w:val="44"/>
                <w:highlight w:val="none"/>
              </w:rPr>
            </w:pPr>
          </w:p>
        </w:tc>
        <w:tc>
          <w:tcPr>
            <w:tcW w:w="650" w:type="dxa"/>
            <w:vAlign w:val="center"/>
          </w:tcPr>
          <w:p w14:paraId="485CB798">
            <w:pPr>
              <w:jc w:val="center"/>
              <w:rPr>
                <w:rFonts w:ascii="宋体" w:hAnsi="宋体"/>
                <w:color w:val="auto"/>
                <w:szCs w:val="44"/>
                <w:highlight w:val="none"/>
              </w:rPr>
            </w:pPr>
          </w:p>
        </w:tc>
        <w:tc>
          <w:tcPr>
            <w:tcW w:w="650" w:type="dxa"/>
            <w:vAlign w:val="center"/>
          </w:tcPr>
          <w:p w14:paraId="2E0E37AD">
            <w:pPr>
              <w:jc w:val="center"/>
              <w:rPr>
                <w:rFonts w:ascii="宋体" w:hAnsi="宋体"/>
                <w:color w:val="auto"/>
                <w:szCs w:val="44"/>
                <w:highlight w:val="none"/>
              </w:rPr>
            </w:pPr>
          </w:p>
        </w:tc>
        <w:tc>
          <w:tcPr>
            <w:tcW w:w="650" w:type="dxa"/>
            <w:vAlign w:val="center"/>
          </w:tcPr>
          <w:p w14:paraId="35A28579">
            <w:pPr>
              <w:jc w:val="center"/>
              <w:rPr>
                <w:rFonts w:ascii="宋体" w:hAnsi="宋体"/>
                <w:color w:val="auto"/>
                <w:szCs w:val="44"/>
                <w:highlight w:val="none"/>
              </w:rPr>
            </w:pPr>
          </w:p>
        </w:tc>
        <w:tc>
          <w:tcPr>
            <w:tcW w:w="650" w:type="dxa"/>
            <w:vAlign w:val="center"/>
          </w:tcPr>
          <w:p w14:paraId="60B44DED">
            <w:pPr>
              <w:jc w:val="center"/>
              <w:rPr>
                <w:rFonts w:ascii="宋体" w:hAnsi="宋体"/>
                <w:color w:val="auto"/>
                <w:szCs w:val="44"/>
                <w:highlight w:val="none"/>
              </w:rPr>
            </w:pPr>
          </w:p>
        </w:tc>
        <w:tc>
          <w:tcPr>
            <w:tcW w:w="650" w:type="dxa"/>
            <w:vAlign w:val="center"/>
          </w:tcPr>
          <w:p w14:paraId="68E3F92E">
            <w:pPr>
              <w:jc w:val="center"/>
              <w:rPr>
                <w:rFonts w:ascii="宋体" w:hAnsi="宋体"/>
                <w:color w:val="auto"/>
                <w:szCs w:val="44"/>
                <w:highlight w:val="none"/>
              </w:rPr>
            </w:pPr>
          </w:p>
        </w:tc>
        <w:tc>
          <w:tcPr>
            <w:tcW w:w="650" w:type="dxa"/>
            <w:vAlign w:val="center"/>
          </w:tcPr>
          <w:p w14:paraId="29A00535">
            <w:pPr>
              <w:jc w:val="center"/>
              <w:rPr>
                <w:rFonts w:ascii="宋体" w:hAnsi="宋体"/>
                <w:color w:val="auto"/>
                <w:szCs w:val="44"/>
                <w:highlight w:val="none"/>
              </w:rPr>
            </w:pPr>
          </w:p>
        </w:tc>
        <w:tc>
          <w:tcPr>
            <w:tcW w:w="651" w:type="dxa"/>
            <w:vAlign w:val="center"/>
          </w:tcPr>
          <w:p w14:paraId="3338FF0D">
            <w:pPr>
              <w:jc w:val="center"/>
              <w:rPr>
                <w:rFonts w:ascii="宋体" w:hAnsi="宋体"/>
                <w:color w:val="auto"/>
                <w:szCs w:val="44"/>
                <w:highlight w:val="none"/>
              </w:rPr>
            </w:pPr>
          </w:p>
        </w:tc>
        <w:tc>
          <w:tcPr>
            <w:tcW w:w="818" w:type="dxa"/>
            <w:vAlign w:val="center"/>
          </w:tcPr>
          <w:p w14:paraId="26CCA2F5">
            <w:pPr>
              <w:jc w:val="center"/>
              <w:rPr>
                <w:rFonts w:ascii="宋体" w:hAnsi="宋体"/>
                <w:color w:val="auto"/>
                <w:szCs w:val="44"/>
                <w:highlight w:val="none"/>
              </w:rPr>
            </w:pPr>
          </w:p>
        </w:tc>
      </w:tr>
      <w:tr w14:paraId="2DCF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555A7471">
            <w:pPr>
              <w:jc w:val="center"/>
              <w:rPr>
                <w:rFonts w:ascii="宋体" w:hAnsi="宋体"/>
                <w:color w:val="auto"/>
                <w:szCs w:val="44"/>
                <w:highlight w:val="none"/>
              </w:rPr>
            </w:pPr>
            <w:r>
              <w:rPr>
                <w:rFonts w:hint="eastAsia" w:ascii="宋体" w:hAnsi="宋体"/>
                <w:color w:val="auto"/>
                <w:szCs w:val="44"/>
                <w:highlight w:val="none"/>
              </w:rPr>
              <w:t>6</w:t>
            </w:r>
          </w:p>
        </w:tc>
        <w:tc>
          <w:tcPr>
            <w:tcW w:w="1340" w:type="dxa"/>
            <w:vAlign w:val="center"/>
          </w:tcPr>
          <w:p w14:paraId="7AC68423">
            <w:pPr>
              <w:jc w:val="center"/>
              <w:rPr>
                <w:rFonts w:ascii="宋体" w:hAnsi="宋体"/>
                <w:color w:val="auto"/>
                <w:szCs w:val="44"/>
                <w:highlight w:val="none"/>
              </w:rPr>
            </w:pPr>
          </w:p>
        </w:tc>
        <w:tc>
          <w:tcPr>
            <w:tcW w:w="650" w:type="dxa"/>
            <w:vAlign w:val="center"/>
          </w:tcPr>
          <w:p w14:paraId="21D1AC6E">
            <w:pPr>
              <w:jc w:val="center"/>
              <w:rPr>
                <w:color w:val="auto"/>
                <w:highlight w:val="none"/>
              </w:rPr>
            </w:pPr>
          </w:p>
        </w:tc>
        <w:tc>
          <w:tcPr>
            <w:tcW w:w="650" w:type="dxa"/>
            <w:vAlign w:val="center"/>
          </w:tcPr>
          <w:p w14:paraId="2E902225">
            <w:pPr>
              <w:jc w:val="center"/>
              <w:rPr>
                <w:rFonts w:ascii="宋体" w:hAnsi="宋体"/>
                <w:color w:val="auto"/>
                <w:szCs w:val="44"/>
                <w:highlight w:val="none"/>
              </w:rPr>
            </w:pPr>
          </w:p>
        </w:tc>
        <w:tc>
          <w:tcPr>
            <w:tcW w:w="650" w:type="dxa"/>
            <w:vAlign w:val="center"/>
          </w:tcPr>
          <w:p w14:paraId="024E9C5C">
            <w:pPr>
              <w:jc w:val="center"/>
              <w:rPr>
                <w:rFonts w:ascii="宋体" w:hAnsi="宋体"/>
                <w:color w:val="auto"/>
                <w:szCs w:val="44"/>
                <w:highlight w:val="none"/>
              </w:rPr>
            </w:pPr>
          </w:p>
        </w:tc>
        <w:tc>
          <w:tcPr>
            <w:tcW w:w="650" w:type="dxa"/>
            <w:vAlign w:val="center"/>
          </w:tcPr>
          <w:p w14:paraId="1294C4FB">
            <w:pPr>
              <w:jc w:val="center"/>
              <w:rPr>
                <w:rFonts w:ascii="宋体" w:hAnsi="宋体"/>
                <w:color w:val="auto"/>
                <w:szCs w:val="44"/>
                <w:highlight w:val="none"/>
              </w:rPr>
            </w:pPr>
          </w:p>
        </w:tc>
        <w:tc>
          <w:tcPr>
            <w:tcW w:w="650" w:type="dxa"/>
            <w:vAlign w:val="center"/>
          </w:tcPr>
          <w:p w14:paraId="5AE8CA05">
            <w:pPr>
              <w:jc w:val="center"/>
              <w:rPr>
                <w:rFonts w:ascii="宋体" w:hAnsi="宋体"/>
                <w:color w:val="auto"/>
                <w:szCs w:val="44"/>
                <w:highlight w:val="none"/>
              </w:rPr>
            </w:pPr>
          </w:p>
        </w:tc>
        <w:tc>
          <w:tcPr>
            <w:tcW w:w="650" w:type="dxa"/>
            <w:vAlign w:val="center"/>
          </w:tcPr>
          <w:p w14:paraId="00109BF6">
            <w:pPr>
              <w:jc w:val="center"/>
              <w:rPr>
                <w:rFonts w:ascii="宋体" w:hAnsi="宋体"/>
                <w:color w:val="auto"/>
                <w:szCs w:val="44"/>
                <w:highlight w:val="none"/>
              </w:rPr>
            </w:pPr>
          </w:p>
        </w:tc>
        <w:tc>
          <w:tcPr>
            <w:tcW w:w="650" w:type="dxa"/>
            <w:vAlign w:val="center"/>
          </w:tcPr>
          <w:p w14:paraId="518C5BAB">
            <w:pPr>
              <w:jc w:val="center"/>
              <w:rPr>
                <w:rFonts w:ascii="宋体" w:hAnsi="宋体"/>
                <w:color w:val="auto"/>
                <w:szCs w:val="44"/>
                <w:highlight w:val="none"/>
              </w:rPr>
            </w:pPr>
          </w:p>
        </w:tc>
        <w:tc>
          <w:tcPr>
            <w:tcW w:w="650" w:type="dxa"/>
            <w:vAlign w:val="center"/>
          </w:tcPr>
          <w:p w14:paraId="046FF97A">
            <w:pPr>
              <w:jc w:val="center"/>
              <w:rPr>
                <w:rFonts w:ascii="宋体" w:hAnsi="宋体"/>
                <w:color w:val="auto"/>
                <w:szCs w:val="44"/>
                <w:highlight w:val="none"/>
              </w:rPr>
            </w:pPr>
          </w:p>
        </w:tc>
        <w:tc>
          <w:tcPr>
            <w:tcW w:w="651" w:type="dxa"/>
            <w:vAlign w:val="center"/>
          </w:tcPr>
          <w:p w14:paraId="4692D923">
            <w:pPr>
              <w:jc w:val="center"/>
              <w:rPr>
                <w:rFonts w:ascii="宋体" w:hAnsi="宋体"/>
                <w:color w:val="auto"/>
                <w:szCs w:val="44"/>
                <w:highlight w:val="none"/>
              </w:rPr>
            </w:pPr>
          </w:p>
        </w:tc>
        <w:tc>
          <w:tcPr>
            <w:tcW w:w="818" w:type="dxa"/>
            <w:vAlign w:val="center"/>
          </w:tcPr>
          <w:p w14:paraId="457389BC">
            <w:pPr>
              <w:jc w:val="center"/>
              <w:rPr>
                <w:rFonts w:ascii="宋体" w:hAnsi="宋体"/>
                <w:color w:val="auto"/>
                <w:szCs w:val="44"/>
                <w:highlight w:val="none"/>
              </w:rPr>
            </w:pPr>
          </w:p>
        </w:tc>
      </w:tr>
      <w:tr w14:paraId="1C7B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752A8A79">
            <w:pPr>
              <w:jc w:val="center"/>
              <w:rPr>
                <w:rFonts w:ascii="宋体" w:hAnsi="宋体"/>
                <w:color w:val="auto"/>
                <w:szCs w:val="44"/>
                <w:highlight w:val="none"/>
              </w:rPr>
            </w:pPr>
            <w:r>
              <w:rPr>
                <w:rFonts w:hint="eastAsia" w:ascii="宋体" w:hAnsi="宋体"/>
                <w:color w:val="auto"/>
                <w:szCs w:val="44"/>
                <w:highlight w:val="none"/>
              </w:rPr>
              <w:t>…</w:t>
            </w:r>
          </w:p>
        </w:tc>
        <w:tc>
          <w:tcPr>
            <w:tcW w:w="1340" w:type="dxa"/>
            <w:vAlign w:val="center"/>
          </w:tcPr>
          <w:p w14:paraId="5089D191">
            <w:pPr>
              <w:rPr>
                <w:rFonts w:ascii="宋体" w:hAnsi="宋体"/>
                <w:color w:val="auto"/>
                <w:szCs w:val="21"/>
                <w:highlight w:val="none"/>
              </w:rPr>
            </w:pPr>
          </w:p>
        </w:tc>
        <w:tc>
          <w:tcPr>
            <w:tcW w:w="650" w:type="dxa"/>
            <w:vAlign w:val="center"/>
          </w:tcPr>
          <w:p w14:paraId="00BB17B7">
            <w:pPr>
              <w:jc w:val="center"/>
              <w:rPr>
                <w:color w:val="auto"/>
                <w:highlight w:val="none"/>
              </w:rPr>
            </w:pPr>
          </w:p>
        </w:tc>
        <w:tc>
          <w:tcPr>
            <w:tcW w:w="650" w:type="dxa"/>
            <w:vAlign w:val="center"/>
          </w:tcPr>
          <w:p w14:paraId="53DC187A">
            <w:pPr>
              <w:jc w:val="center"/>
              <w:rPr>
                <w:rFonts w:ascii="宋体" w:hAnsi="宋体"/>
                <w:color w:val="auto"/>
                <w:szCs w:val="44"/>
                <w:highlight w:val="none"/>
              </w:rPr>
            </w:pPr>
          </w:p>
        </w:tc>
        <w:tc>
          <w:tcPr>
            <w:tcW w:w="650" w:type="dxa"/>
            <w:vAlign w:val="center"/>
          </w:tcPr>
          <w:p w14:paraId="1382F007">
            <w:pPr>
              <w:jc w:val="center"/>
              <w:rPr>
                <w:rFonts w:ascii="宋体" w:hAnsi="宋体"/>
                <w:color w:val="auto"/>
                <w:szCs w:val="44"/>
                <w:highlight w:val="none"/>
              </w:rPr>
            </w:pPr>
          </w:p>
        </w:tc>
        <w:tc>
          <w:tcPr>
            <w:tcW w:w="650" w:type="dxa"/>
            <w:vAlign w:val="center"/>
          </w:tcPr>
          <w:p w14:paraId="46454DE1">
            <w:pPr>
              <w:jc w:val="center"/>
              <w:rPr>
                <w:rFonts w:ascii="宋体" w:hAnsi="宋体"/>
                <w:color w:val="auto"/>
                <w:szCs w:val="44"/>
                <w:highlight w:val="none"/>
              </w:rPr>
            </w:pPr>
          </w:p>
        </w:tc>
        <w:tc>
          <w:tcPr>
            <w:tcW w:w="650" w:type="dxa"/>
            <w:vAlign w:val="center"/>
          </w:tcPr>
          <w:p w14:paraId="47E9F26C">
            <w:pPr>
              <w:jc w:val="center"/>
              <w:rPr>
                <w:rFonts w:ascii="宋体" w:hAnsi="宋体"/>
                <w:color w:val="auto"/>
                <w:szCs w:val="44"/>
                <w:highlight w:val="none"/>
              </w:rPr>
            </w:pPr>
          </w:p>
        </w:tc>
        <w:tc>
          <w:tcPr>
            <w:tcW w:w="650" w:type="dxa"/>
            <w:vAlign w:val="center"/>
          </w:tcPr>
          <w:p w14:paraId="2B022A8F">
            <w:pPr>
              <w:jc w:val="center"/>
              <w:rPr>
                <w:rFonts w:ascii="宋体" w:hAnsi="宋体"/>
                <w:color w:val="auto"/>
                <w:szCs w:val="44"/>
                <w:highlight w:val="none"/>
              </w:rPr>
            </w:pPr>
          </w:p>
        </w:tc>
        <w:tc>
          <w:tcPr>
            <w:tcW w:w="650" w:type="dxa"/>
            <w:vAlign w:val="center"/>
          </w:tcPr>
          <w:p w14:paraId="68EB637E">
            <w:pPr>
              <w:jc w:val="center"/>
              <w:rPr>
                <w:rFonts w:ascii="宋体" w:hAnsi="宋体"/>
                <w:color w:val="auto"/>
                <w:szCs w:val="44"/>
                <w:highlight w:val="none"/>
              </w:rPr>
            </w:pPr>
          </w:p>
        </w:tc>
        <w:tc>
          <w:tcPr>
            <w:tcW w:w="650" w:type="dxa"/>
            <w:vAlign w:val="center"/>
          </w:tcPr>
          <w:p w14:paraId="7B17DEF4">
            <w:pPr>
              <w:jc w:val="center"/>
              <w:rPr>
                <w:rFonts w:ascii="宋体" w:hAnsi="宋体"/>
                <w:color w:val="auto"/>
                <w:szCs w:val="44"/>
                <w:highlight w:val="none"/>
              </w:rPr>
            </w:pPr>
          </w:p>
        </w:tc>
        <w:tc>
          <w:tcPr>
            <w:tcW w:w="651" w:type="dxa"/>
            <w:vAlign w:val="center"/>
          </w:tcPr>
          <w:p w14:paraId="66EC5F96">
            <w:pPr>
              <w:jc w:val="center"/>
              <w:rPr>
                <w:rFonts w:ascii="宋体" w:hAnsi="宋体"/>
                <w:color w:val="auto"/>
                <w:szCs w:val="44"/>
                <w:highlight w:val="none"/>
              </w:rPr>
            </w:pPr>
          </w:p>
        </w:tc>
        <w:tc>
          <w:tcPr>
            <w:tcW w:w="818" w:type="dxa"/>
            <w:vAlign w:val="center"/>
          </w:tcPr>
          <w:p w14:paraId="16858878">
            <w:pPr>
              <w:jc w:val="center"/>
              <w:rPr>
                <w:rFonts w:ascii="宋体" w:hAnsi="宋体"/>
                <w:color w:val="auto"/>
                <w:szCs w:val="44"/>
                <w:highlight w:val="none"/>
              </w:rPr>
            </w:pPr>
          </w:p>
        </w:tc>
      </w:tr>
      <w:tr w14:paraId="5B0C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14:paraId="21DEB914">
            <w:pPr>
              <w:jc w:val="left"/>
              <w:rPr>
                <w:rFonts w:ascii="宋体" w:hAnsi="宋体"/>
                <w:color w:val="auto"/>
                <w:szCs w:val="44"/>
                <w:highlight w:val="none"/>
              </w:rPr>
            </w:pPr>
            <w:r>
              <w:rPr>
                <w:rFonts w:hint="eastAsia"/>
                <w:color w:val="auto"/>
                <w:highlight w:val="none"/>
              </w:rPr>
              <w:t xml:space="preserve">评标委员会全体成员签名： </w:t>
            </w:r>
          </w:p>
          <w:p w14:paraId="0B7FC63A">
            <w:pPr>
              <w:jc w:val="left"/>
              <w:rPr>
                <w:rFonts w:ascii="宋体" w:hAnsi="宋体"/>
                <w:color w:val="auto"/>
                <w:szCs w:val="44"/>
                <w:highlight w:val="none"/>
              </w:rPr>
            </w:pPr>
          </w:p>
          <w:p w14:paraId="149A7DE8">
            <w:pPr>
              <w:jc w:val="left"/>
              <w:rPr>
                <w:rFonts w:ascii="宋体" w:hAnsi="宋体"/>
                <w:color w:val="auto"/>
                <w:szCs w:val="44"/>
                <w:highlight w:val="none"/>
              </w:rPr>
            </w:pPr>
          </w:p>
          <w:p w14:paraId="6C68A00E">
            <w:pPr>
              <w:jc w:val="left"/>
              <w:rPr>
                <w:rFonts w:ascii="宋体" w:hAnsi="宋体"/>
                <w:color w:val="auto"/>
                <w:szCs w:val="44"/>
                <w:highlight w:val="none"/>
              </w:rPr>
            </w:pPr>
          </w:p>
          <w:p w14:paraId="7B0E9089">
            <w:pPr>
              <w:jc w:val="left"/>
              <w:rPr>
                <w:rFonts w:ascii="宋体" w:hAnsi="宋体"/>
                <w:color w:val="auto"/>
                <w:szCs w:val="44"/>
                <w:highlight w:val="none"/>
              </w:rPr>
            </w:pPr>
          </w:p>
          <w:p w14:paraId="4F8BE9D6">
            <w:pPr>
              <w:jc w:val="left"/>
              <w:rPr>
                <w:rFonts w:ascii="宋体" w:hAnsi="宋体"/>
                <w:color w:val="auto"/>
                <w:szCs w:val="44"/>
                <w:highlight w:val="none"/>
              </w:rPr>
            </w:pPr>
          </w:p>
          <w:p w14:paraId="42915028">
            <w:pPr>
              <w:jc w:val="left"/>
              <w:rPr>
                <w:rFonts w:ascii="宋体" w:hAnsi="宋体"/>
                <w:color w:val="auto"/>
                <w:szCs w:val="44"/>
                <w:highlight w:val="none"/>
              </w:rPr>
            </w:pPr>
          </w:p>
          <w:p w14:paraId="502F326F">
            <w:pPr>
              <w:jc w:val="center"/>
              <w:rPr>
                <w:rFonts w:ascii="宋体" w:hAnsi="宋体"/>
                <w:color w:val="auto"/>
                <w:szCs w:val="44"/>
                <w:highlight w:val="none"/>
              </w:rPr>
            </w:pPr>
          </w:p>
        </w:tc>
      </w:tr>
    </w:tbl>
    <w:p w14:paraId="67B470C2">
      <w:pPr>
        <w:spacing w:line="400" w:lineRule="exact"/>
        <w:ind w:left="840" w:leftChars="400" w:firstLine="4410" w:firstLineChars="2100"/>
        <w:rPr>
          <w:rFonts w:ascii="宋体" w:hAnsi="宋体"/>
          <w:color w:val="auto"/>
          <w:szCs w:val="44"/>
          <w:highlight w:val="none"/>
        </w:rPr>
      </w:pPr>
      <w:r>
        <w:rPr>
          <w:rFonts w:hint="eastAsia" w:ascii="宋体" w:hAnsi="宋体"/>
          <w:color w:val="auto"/>
          <w:szCs w:val="44"/>
          <w:highlight w:val="none"/>
        </w:rPr>
        <w:t xml:space="preserve">   日期：    年    月    日</w:t>
      </w:r>
    </w:p>
    <w:p w14:paraId="1D2C0B7F">
      <w:pPr>
        <w:rPr>
          <w:color w:val="auto"/>
          <w:highlight w:val="none"/>
        </w:rPr>
      </w:pPr>
      <w:r>
        <w:rPr>
          <w:color w:val="auto"/>
          <w:highlight w:val="none"/>
        </w:rPr>
        <w:br w:type="page"/>
      </w:r>
    </w:p>
    <w:p w14:paraId="1B426759">
      <w:pPr>
        <w:pStyle w:val="25"/>
        <w:rPr>
          <w:color w:val="auto"/>
          <w:highlight w:val="none"/>
        </w:rPr>
      </w:pPr>
      <w:bookmarkStart w:id="550" w:name="_Toc256000137"/>
      <w:bookmarkStart w:id="551" w:name="_Toc20474"/>
      <w:bookmarkStart w:id="552" w:name="_Toc165804454"/>
      <w:bookmarkStart w:id="553" w:name="_Toc27845"/>
      <w:bookmarkStart w:id="554" w:name="_Toc1316"/>
      <w:bookmarkStart w:id="555" w:name="_Toc9188"/>
      <w:r>
        <w:rPr>
          <w:rFonts w:hint="eastAsia"/>
          <w:color w:val="auto"/>
          <w:highlight w:val="none"/>
        </w:rPr>
        <w:t>附表A-</w:t>
      </w:r>
      <w:r>
        <w:rPr>
          <w:color w:val="auto"/>
          <w:highlight w:val="none"/>
        </w:rPr>
        <w:t>8</w:t>
      </w:r>
      <w:r>
        <w:rPr>
          <w:rFonts w:hint="eastAsia"/>
          <w:color w:val="auto"/>
          <w:highlight w:val="none"/>
        </w:rPr>
        <w:t>：初步评审汇总记录表</w:t>
      </w:r>
      <w:bookmarkEnd w:id="550"/>
      <w:bookmarkEnd w:id="551"/>
      <w:bookmarkEnd w:id="552"/>
      <w:bookmarkEnd w:id="553"/>
      <w:bookmarkEnd w:id="554"/>
      <w:bookmarkEnd w:id="555"/>
    </w:p>
    <w:p w14:paraId="7D4E2DB4">
      <w:pPr>
        <w:spacing w:after="240" w:afterLines="100"/>
        <w:jc w:val="center"/>
        <w:rPr>
          <w:rFonts w:ascii="黑体" w:hAnsi="宋体" w:eastAsia="黑体"/>
          <w:color w:val="auto"/>
          <w:sz w:val="36"/>
          <w:szCs w:val="36"/>
          <w:highlight w:val="none"/>
        </w:rPr>
      </w:pPr>
    </w:p>
    <w:p w14:paraId="77E4C48E">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初步评审汇总记录表</w:t>
      </w:r>
    </w:p>
    <w:p w14:paraId="7A5A71AE">
      <w:pPr>
        <w:rPr>
          <w:rFonts w:ascii="宋体" w:hAnsi="宋体"/>
          <w:color w:val="auto"/>
          <w:szCs w:val="44"/>
          <w:highlight w:val="none"/>
        </w:rPr>
      </w:pPr>
      <w:r>
        <w:rPr>
          <w:rFonts w:hint="eastAsia" w:ascii="宋体" w:hAnsi="宋体"/>
          <w:color w:val="auto"/>
          <w:szCs w:val="44"/>
          <w:highlight w:val="none"/>
        </w:rPr>
        <w:t>标段名称：</w:t>
      </w:r>
    </w:p>
    <w:p w14:paraId="606499BF">
      <w:pPr>
        <w:rPr>
          <w:color w:val="auto"/>
          <w:highlight w:val="none"/>
        </w:rPr>
      </w:pPr>
      <w:r>
        <w:rPr>
          <w:rFonts w:hint="eastAsia"/>
          <w:color w:val="auto"/>
          <w:szCs w:val="44"/>
          <w:highlight w:val="none"/>
        </w:rPr>
        <w:t>标段唯一标识码：</w:t>
      </w:r>
      <w:r>
        <w:rPr>
          <w:color w:val="auto"/>
          <w:szCs w:val="44"/>
          <w:highlight w:val="none"/>
        </w:rPr>
        <w:t xml:space="preserve">                                              </w:t>
      </w:r>
      <w:r>
        <w:rPr>
          <w:rFonts w:hint="eastAsia"/>
          <w:color w:val="auto"/>
          <w:highlight w:val="none"/>
        </w:rPr>
        <w:t>单位：人民币元</w:t>
      </w: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14:paraId="3408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05BC029D">
            <w:pPr>
              <w:jc w:val="center"/>
              <w:rPr>
                <w:b/>
                <w:bCs/>
                <w:color w:val="auto"/>
                <w:highlight w:val="none"/>
              </w:rPr>
            </w:pPr>
            <w:r>
              <w:rPr>
                <w:rFonts w:hint="eastAsia"/>
                <w:b/>
                <w:bCs/>
                <w:color w:val="auto"/>
                <w:highlight w:val="none"/>
              </w:rPr>
              <w:t>序号</w:t>
            </w:r>
          </w:p>
        </w:tc>
        <w:tc>
          <w:tcPr>
            <w:tcW w:w="1009" w:type="dxa"/>
            <w:vAlign w:val="center"/>
          </w:tcPr>
          <w:p w14:paraId="4F3D4FC1">
            <w:pPr>
              <w:jc w:val="center"/>
              <w:rPr>
                <w:b/>
                <w:bCs/>
                <w:color w:val="auto"/>
                <w:highlight w:val="none"/>
              </w:rPr>
            </w:pPr>
            <w:r>
              <w:rPr>
                <w:rFonts w:hint="eastAsia"/>
                <w:b/>
                <w:bCs/>
                <w:color w:val="auto"/>
                <w:highlight w:val="none"/>
              </w:rPr>
              <w:t>投标人名称</w:t>
            </w:r>
          </w:p>
        </w:tc>
        <w:tc>
          <w:tcPr>
            <w:tcW w:w="1010" w:type="dxa"/>
            <w:vAlign w:val="center"/>
          </w:tcPr>
          <w:p w14:paraId="53D76B4F">
            <w:pPr>
              <w:jc w:val="center"/>
              <w:rPr>
                <w:b/>
                <w:bCs/>
                <w:color w:val="auto"/>
                <w:highlight w:val="none"/>
              </w:rPr>
            </w:pPr>
            <w:r>
              <w:rPr>
                <w:rFonts w:hint="eastAsia"/>
                <w:b/>
                <w:bCs/>
                <w:color w:val="auto"/>
                <w:highlight w:val="none"/>
              </w:rPr>
              <w:t>形式评审结果</w:t>
            </w:r>
          </w:p>
        </w:tc>
        <w:tc>
          <w:tcPr>
            <w:tcW w:w="1009" w:type="dxa"/>
            <w:vAlign w:val="center"/>
          </w:tcPr>
          <w:p w14:paraId="74BEFD37">
            <w:pPr>
              <w:jc w:val="center"/>
              <w:rPr>
                <w:b/>
                <w:bCs/>
                <w:color w:val="auto"/>
                <w:highlight w:val="none"/>
              </w:rPr>
            </w:pPr>
            <w:r>
              <w:rPr>
                <w:rFonts w:hint="eastAsia"/>
                <w:b/>
                <w:bCs/>
                <w:color w:val="auto"/>
                <w:highlight w:val="none"/>
              </w:rPr>
              <w:t>资格评审结果</w:t>
            </w:r>
          </w:p>
        </w:tc>
        <w:tc>
          <w:tcPr>
            <w:tcW w:w="1097" w:type="dxa"/>
            <w:vAlign w:val="center"/>
          </w:tcPr>
          <w:p w14:paraId="46FDB563">
            <w:pPr>
              <w:jc w:val="center"/>
              <w:rPr>
                <w:b/>
                <w:bCs/>
                <w:color w:val="auto"/>
                <w:highlight w:val="none"/>
              </w:rPr>
            </w:pPr>
            <w:r>
              <w:rPr>
                <w:rFonts w:hint="eastAsia"/>
                <w:b/>
                <w:bCs/>
                <w:color w:val="auto"/>
                <w:highlight w:val="none"/>
              </w:rPr>
              <w:t>响应性评审结果</w:t>
            </w:r>
          </w:p>
        </w:tc>
        <w:tc>
          <w:tcPr>
            <w:tcW w:w="2022" w:type="dxa"/>
            <w:vAlign w:val="center"/>
          </w:tcPr>
          <w:p w14:paraId="7ECBA5C8">
            <w:pPr>
              <w:jc w:val="center"/>
              <w:rPr>
                <w:b/>
                <w:bCs/>
                <w:color w:val="auto"/>
                <w:highlight w:val="none"/>
              </w:rPr>
            </w:pPr>
            <w:r>
              <w:rPr>
                <w:rFonts w:hint="eastAsia"/>
                <w:b/>
                <w:bCs/>
                <w:color w:val="auto"/>
                <w:highlight w:val="none"/>
              </w:rPr>
              <w:t>技术标评审结果（如有）</w:t>
            </w:r>
          </w:p>
        </w:tc>
        <w:tc>
          <w:tcPr>
            <w:tcW w:w="886" w:type="dxa"/>
            <w:vAlign w:val="center"/>
          </w:tcPr>
          <w:p w14:paraId="4701550E">
            <w:pPr>
              <w:ind w:right="-105"/>
              <w:jc w:val="center"/>
              <w:rPr>
                <w:rFonts w:ascii="宋体" w:hAnsi="宋体"/>
                <w:b/>
                <w:bCs/>
                <w:color w:val="auto"/>
                <w:szCs w:val="21"/>
                <w:highlight w:val="none"/>
              </w:rPr>
            </w:pPr>
            <w:r>
              <w:rPr>
                <w:rFonts w:hint="eastAsia" w:ascii="宋体" w:hAnsi="宋体"/>
                <w:b/>
                <w:bCs/>
                <w:color w:val="auto"/>
                <w:szCs w:val="21"/>
                <w:highlight w:val="none"/>
              </w:rPr>
              <w:t>投标报价</w:t>
            </w:r>
          </w:p>
        </w:tc>
        <w:tc>
          <w:tcPr>
            <w:tcW w:w="867" w:type="dxa"/>
            <w:vAlign w:val="center"/>
          </w:tcPr>
          <w:p w14:paraId="0203F40F">
            <w:pPr>
              <w:ind w:right="-111"/>
              <w:jc w:val="center"/>
              <w:rPr>
                <w:rFonts w:ascii="宋体" w:hAnsi="宋体"/>
                <w:b/>
                <w:bCs/>
                <w:color w:val="auto"/>
                <w:szCs w:val="21"/>
                <w:highlight w:val="none"/>
              </w:rPr>
            </w:pPr>
            <w:r>
              <w:rPr>
                <w:rFonts w:hint="eastAsia" w:ascii="宋体" w:hAnsi="宋体"/>
                <w:b/>
                <w:bCs/>
                <w:color w:val="auto"/>
                <w:szCs w:val="21"/>
                <w:highlight w:val="none"/>
              </w:rPr>
              <w:t>评审结论</w:t>
            </w:r>
          </w:p>
        </w:tc>
      </w:tr>
      <w:tr w14:paraId="384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4E6166F1">
            <w:pPr>
              <w:jc w:val="center"/>
              <w:rPr>
                <w:color w:val="auto"/>
                <w:highlight w:val="none"/>
              </w:rPr>
            </w:pPr>
            <w:r>
              <w:rPr>
                <w:rFonts w:hint="eastAsia" w:ascii="黑体" w:hAnsi="宋体" w:eastAsia="黑体"/>
                <w:color w:val="auto"/>
                <w:szCs w:val="44"/>
                <w:highlight w:val="none"/>
              </w:rPr>
              <w:t>1</w:t>
            </w:r>
          </w:p>
        </w:tc>
        <w:tc>
          <w:tcPr>
            <w:tcW w:w="1009" w:type="dxa"/>
            <w:vAlign w:val="center"/>
          </w:tcPr>
          <w:p w14:paraId="61F39460">
            <w:pPr>
              <w:jc w:val="center"/>
              <w:rPr>
                <w:color w:val="auto"/>
                <w:highlight w:val="none"/>
              </w:rPr>
            </w:pPr>
          </w:p>
        </w:tc>
        <w:tc>
          <w:tcPr>
            <w:tcW w:w="1010" w:type="dxa"/>
            <w:vAlign w:val="center"/>
          </w:tcPr>
          <w:p w14:paraId="2B621A5D">
            <w:pPr>
              <w:jc w:val="center"/>
              <w:rPr>
                <w:color w:val="auto"/>
                <w:highlight w:val="none"/>
              </w:rPr>
            </w:pPr>
          </w:p>
        </w:tc>
        <w:tc>
          <w:tcPr>
            <w:tcW w:w="1009" w:type="dxa"/>
            <w:vAlign w:val="center"/>
          </w:tcPr>
          <w:p w14:paraId="0EA1CD6D">
            <w:pPr>
              <w:jc w:val="center"/>
              <w:rPr>
                <w:color w:val="auto"/>
                <w:highlight w:val="none"/>
              </w:rPr>
            </w:pPr>
          </w:p>
        </w:tc>
        <w:tc>
          <w:tcPr>
            <w:tcW w:w="1097" w:type="dxa"/>
            <w:vAlign w:val="center"/>
          </w:tcPr>
          <w:p w14:paraId="6FFFCD3F">
            <w:pPr>
              <w:jc w:val="center"/>
              <w:rPr>
                <w:color w:val="auto"/>
                <w:highlight w:val="none"/>
              </w:rPr>
            </w:pPr>
          </w:p>
        </w:tc>
        <w:tc>
          <w:tcPr>
            <w:tcW w:w="2022" w:type="dxa"/>
            <w:vAlign w:val="center"/>
          </w:tcPr>
          <w:p w14:paraId="3E5DA2AA">
            <w:pPr>
              <w:jc w:val="center"/>
              <w:rPr>
                <w:color w:val="auto"/>
                <w:highlight w:val="none"/>
              </w:rPr>
            </w:pPr>
          </w:p>
        </w:tc>
        <w:tc>
          <w:tcPr>
            <w:tcW w:w="886" w:type="dxa"/>
            <w:vAlign w:val="center"/>
          </w:tcPr>
          <w:p w14:paraId="7769EBC9">
            <w:pPr>
              <w:ind w:right="-105"/>
              <w:jc w:val="center"/>
              <w:rPr>
                <w:rFonts w:ascii="宋体" w:hAnsi="宋体"/>
                <w:color w:val="auto"/>
                <w:szCs w:val="21"/>
                <w:highlight w:val="none"/>
              </w:rPr>
            </w:pPr>
          </w:p>
        </w:tc>
        <w:tc>
          <w:tcPr>
            <w:tcW w:w="867" w:type="dxa"/>
            <w:vAlign w:val="center"/>
          </w:tcPr>
          <w:p w14:paraId="3A8CB5A5">
            <w:pPr>
              <w:ind w:right="-111"/>
              <w:jc w:val="center"/>
              <w:rPr>
                <w:rFonts w:ascii="宋体" w:hAnsi="宋体"/>
                <w:color w:val="auto"/>
                <w:szCs w:val="21"/>
                <w:highlight w:val="none"/>
              </w:rPr>
            </w:pPr>
          </w:p>
        </w:tc>
      </w:tr>
      <w:tr w14:paraId="78CF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5974B936">
            <w:pPr>
              <w:jc w:val="center"/>
              <w:rPr>
                <w:color w:val="auto"/>
                <w:highlight w:val="none"/>
              </w:rPr>
            </w:pPr>
            <w:r>
              <w:rPr>
                <w:rFonts w:hint="eastAsia" w:ascii="黑体" w:hAnsi="宋体" w:eastAsia="黑体"/>
                <w:color w:val="auto"/>
                <w:szCs w:val="44"/>
                <w:highlight w:val="none"/>
              </w:rPr>
              <w:t>2</w:t>
            </w:r>
          </w:p>
        </w:tc>
        <w:tc>
          <w:tcPr>
            <w:tcW w:w="1009" w:type="dxa"/>
            <w:vAlign w:val="center"/>
          </w:tcPr>
          <w:p w14:paraId="290D1043">
            <w:pPr>
              <w:jc w:val="center"/>
              <w:rPr>
                <w:color w:val="auto"/>
                <w:highlight w:val="none"/>
              </w:rPr>
            </w:pPr>
          </w:p>
        </w:tc>
        <w:tc>
          <w:tcPr>
            <w:tcW w:w="1010" w:type="dxa"/>
            <w:vAlign w:val="center"/>
          </w:tcPr>
          <w:p w14:paraId="35D28CF8">
            <w:pPr>
              <w:jc w:val="center"/>
              <w:rPr>
                <w:color w:val="auto"/>
                <w:highlight w:val="none"/>
              </w:rPr>
            </w:pPr>
          </w:p>
        </w:tc>
        <w:tc>
          <w:tcPr>
            <w:tcW w:w="1009" w:type="dxa"/>
            <w:vAlign w:val="center"/>
          </w:tcPr>
          <w:p w14:paraId="5DD2035A">
            <w:pPr>
              <w:jc w:val="center"/>
              <w:rPr>
                <w:color w:val="auto"/>
                <w:highlight w:val="none"/>
              </w:rPr>
            </w:pPr>
          </w:p>
        </w:tc>
        <w:tc>
          <w:tcPr>
            <w:tcW w:w="1097" w:type="dxa"/>
            <w:vAlign w:val="center"/>
          </w:tcPr>
          <w:p w14:paraId="08BFF103">
            <w:pPr>
              <w:jc w:val="center"/>
              <w:rPr>
                <w:color w:val="auto"/>
                <w:highlight w:val="none"/>
              </w:rPr>
            </w:pPr>
          </w:p>
        </w:tc>
        <w:tc>
          <w:tcPr>
            <w:tcW w:w="2022" w:type="dxa"/>
            <w:vAlign w:val="center"/>
          </w:tcPr>
          <w:p w14:paraId="6837497E">
            <w:pPr>
              <w:jc w:val="center"/>
              <w:rPr>
                <w:color w:val="auto"/>
                <w:highlight w:val="none"/>
              </w:rPr>
            </w:pPr>
          </w:p>
        </w:tc>
        <w:tc>
          <w:tcPr>
            <w:tcW w:w="886" w:type="dxa"/>
            <w:vAlign w:val="center"/>
          </w:tcPr>
          <w:p w14:paraId="10DB2568">
            <w:pPr>
              <w:ind w:right="-105"/>
              <w:jc w:val="center"/>
              <w:rPr>
                <w:rFonts w:ascii="宋体" w:hAnsi="宋体"/>
                <w:color w:val="auto"/>
                <w:szCs w:val="21"/>
                <w:highlight w:val="none"/>
              </w:rPr>
            </w:pPr>
          </w:p>
        </w:tc>
        <w:tc>
          <w:tcPr>
            <w:tcW w:w="867" w:type="dxa"/>
            <w:vAlign w:val="center"/>
          </w:tcPr>
          <w:p w14:paraId="0FEC4E16">
            <w:pPr>
              <w:ind w:right="-111"/>
              <w:jc w:val="center"/>
              <w:rPr>
                <w:rFonts w:ascii="宋体" w:hAnsi="宋体"/>
                <w:color w:val="auto"/>
                <w:szCs w:val="21"/>
                <w:highlight w:val="none"/>
              </w:rPr>
            </w:pPr>
          </w:p>
        </w:tc>
      </w:tr>
      <w:tr w14:paraId="4B39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6C5DFC8B">
            <w:pPr>
              <w:jc w:val="center"/>
              <w:rPr>
                <w:color w:val="auto"/>
                <w:highlight w:val="none"/>
              </w:rPr>
            </w:pPr>
            <w:r>
              <w:rPr>
                <w:rFonts w:hint="eastAsia" w:ascii="黑体" w:hAnsi="宋体" w:eastAsia="黑体"/>
                <w:color w:val="auto"/>
                <w:szCs w:val="44"/>
                <w:highlight w:val="none"/>
              </w:rPr>
              <w:t>3</w:t>
            </w:r>
          </w:p>
        </w:tc>
        <w:tc>
          <w:tcPr>
            <w:tcW w:w="1009" w:type="dxa"/>
            <w:vAlign w:val="center"/>
          </w:tcPr>
          <w:p w14:paraId="2D6A6DF8">
            <w:pPr>
              <w:jc w:val="center"/>
              <w:rPr>
                <w:color w:val="auto"/>
                <w:highlight w:val="none"/>
              </w:rPr>
            </w:pPr>
          </w:p>
        </w:tc>
        <w:tc>
          <w:tcPr>
            <w:tcW w:w="1010" w:type="dxa"/>
            <w:vAlign w:val="center"/>
          </w:tcPr>
          <w:p w14:paraId="4E87A4E1">
            <w:pPr>
              <w:jc w:val="center"/>
              <w:rPr>
                <w:color w:val="auto"/>
                <w:highlight w:val="none"/>
              </w:rPr>
            </w:pPr>
          </w:p>
        </w:tc>
        <w:tc>
          <w:tcPr>
            <w:tcW w:w="1009" w:type="dxa"/>
            <w:vAlign w:val="center"/>
          </w:tcPr>
          <w:p w14:paraId="5501BFD8">
            <w:pPr>
              <w:jc w:val="center"/>
              <w:rPr>
                <w:color w:val="auto"/>
                <w:highlight w:val="none"/>
              </w:rPr>
            </w:pPr>
          </w:p>
        </w:tc>
        <w:tc>
          <w:tcPr>
            <w:tcW w:w="1097" w:type="dxa"/>
            <w:vAlign w:val="center"/>
          </w:tcPr>
          <w:p w14:paraId="5138A56D">
            <w:pPr>
              <w:jc w:val="center"/>
              <w:rPr>
                <w:color w:val="auto"/>
                <w:highlight w:val="none"/>
              </w:rPr>
            </w:pPr>
          </w:p>
        </w:tc>
        <w:tc>
          <w:tcPr>
            <w:tcW w:w="2022" w:type="dxa"/>
            <w:vAlign w:val="center"/>
          </w:tcPr>
          <w:p w14:paraId="29DABE31">
            <w:pPr>
              <w:jc w:val="center"/>
              <w:rPr>
                <w:color w:val="auto"/>
                <w:highlight w:val="none"/>
              </w:rPr>
            </w:pPr>
          </w:p>
        </w:tc>
        <w:tc>
          <w:tcPr>
            <w:tcW w:w="886" w:type="dxa"/>
            <w:vAlign w:val="center"/>
          </w:tcPr>
          <w:p w14:paraId="1B31AD6C">
            <w:pPr>
              <w:ind w:right="-105"/>
              <w:jc w:val="center"/>
              <w:rPr>
                <w:rFonts w:ascii="宋体" w:hAnsi="宋体"/>
                <w:color w:val="auto"/>
                <w:szCs w:val="21"/>
                <w:highlight w:val="none"/>
              </w:rPr>
            </w:pPr>
          </w:p>
        </w:tc>
        <w:tc>
          <w:tcPr>
            <w:tcW w:w="867" w:type="dxa"/>
            <w:vAlign w:val="center"/>
          </w:tcPr>
          <w:p w14:paraId="232F3DDB">
            <w:pPr>
              <w:ind w:right="-111"/>
              <w:jc w:val="center"/>
              <w:rPr>
                <w:rFonts w:ascii="宋体" w:hAnsi="宋体"/>
                <w:color w:val="auto"/>
                <w:szCs w:val="21"/>
                <w:highlight w:val="none"/>
              </w:rPr>
            </w:pPr>
          </w:p>
        </w:tc>
      </w:tr>
      <w:tr w14:paraId="0502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69FE8FEB">
            <w:pPr>
              <w:jc w:val="center"/>
              <w:rPr>
                <w:color w:val="auto"/>
                <w:highlight w:val="none"/>
              </w:rPr>
            </w:pPr>
            <w:r>
              <w:rPr>
                <w:rFonts w:hint="eastAsia" w:ascii="黑体" w:hAnsi="宋体" w:eastAsia="黑体"/>
                <w:color w:val="auto"/>
                <w:szCs w:val="44"/>
                <w:highlight w:val="none"/>
              </w:rPr>
              <w:t>4</w:t>
            </w:r>
          </w:p>
        </w:tc>
        <w:tc>
          <w:tcPr>
            <w:tcW w:w="1009" w:type="dxa"/>
            <w:vAlign w:val="center"/>
          </w:tcPr>
          <w:p w14:paraId="76B5BF58">
            <w:pPr>
              <w:jc w:val="center"/>
              <w:rPr>
                <w:color w:val="auto"/>
                <w:highlight w:val="none"/>
              </w:rPr>
            </w:pPr>
          </w:p>
        </w:tc>
        <w:tc>
          <w:tcPr>
            <w:tcW w:w="1010" w:type="dxa"/>
            <w:vAlign w:val="center"/>
          </w:tcPr>
          <w:p w14:paraId="3D3D5A54">
            <w:pPr>
              <w:jc w:val="center"/>
              <w:rPr>
                <w:color w:val="auto"/>
                <w:highlight w:val="none"/>
              </w:rPr>
            </w:pPr>
          </w:p>
        </w:tc>
        <w:tc>
          <w:tcPr>
            <w:tcW w:w="1009" w:type="dxa"/>
            <w:vAlign w:val="center"/>
          </w:tcPr>
          <w:p w14:paraId="36299A34">
            <w:pPr>
              <w:jc w:val="center"/>
              <w:rPr>
                <w:color w:val="auto"/>
                <w:highlight w:val="none"/>
              </w:rPr>
            </w:pPr>
          </w:p>
        </w:tc>
        <w:tc>
          <w:tcPr>
            <w:tcW w:w="1097" w:type="dxa"/>
            <w:vAlign w:val="center"/>
          </w:tcPr>
          <w:p w14:paraId="13BE070D">
            <w:pPr>
              <w:jc w:val="center"/>
              <w:rPr>
                <w:color w:val="auto"/>
                <w:highlight w:val="none"/>
              </w:rPr>
            </w:pPr>
          </w:p>
        </w:tc>
        <w:tc>
          <w:tcPr>
            <w:tcW w:w="2022" w:type="dxa"/>
            <w:vAlign w:val="center"/>
          </w:tcPr>
          <w:p w14:paraId="4E5DB528">
            <w:pPr>
              <w:jc w:val="center"/>
              <w:rPr>
                <w:color w:val="auto"/>
                <w:highlight w:val="none"/>
              </w:rPr>
            </w:pPr>
          </w:p>
        </w:tc>
        <w:tc>
          <w:tcPr>
            <w:tcW w:w="886" w:type="dxa"/>
            <w:vAlign w:val="center"/>
          </w:tcPr>
          <w:p w14:paraId="1D348C18">
            <w:pPr>
              <w:ind w:right="-105"/>
              <w:jc w:val="center"/>
              <w:rPr>
                <w:rFonts w:ascii="宋体" w:hAnsi="宋体"/>
                <w:color w:val="auto"/>
                <w:szCs w:val="21"/>
                <w:highlight w:val="none"/>
              </w:rPr>
            </w:pPr>
          </w:p>
        </w:tc>
        <w:tc>
          <w:tcPr>
            <w:tcW w:w="867" w:type="dxa"/>
            <w:vAlign w:val="center"/>
          </w:tcPr>
          <w:p w14:paraId="63B7B7A0">
            <w:pPr>
              <w:ind w:right="-111"/>
              <w:jc w:val="center"/>
              <w:rPr>
                <w:rFonts w:ascii="宋体" w:hAnsi="宋体"/>
                <w:color w:val="auto"/>
                <w:szCs w:val="21"/>
                <w:highlight w:val="none"/>
              </w:rPr>
            </w:pPr>
          </w:p>
        </w:tc>
      </w:tr>
      <w:tr w14:paraId="6EED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1C219B55">
            <w:pPr>
              <w:jc w:val="center"/>
              <w:rPr>
                <w:color w:val="auto"/>
                <w:highlight w:val="none"/>
              </w:rPr>
            </w:pPr>
            <w:r>
              <w:rPr>
                <w:rFonts w:hint="eastAsia" w:ascii="黑体" w:hAnsi="宋体" w:eastAsia="黑体"/>
                <w:color w:val="auto"/>
                <w:szCs w:val="44"/>
                <w:highlight w:val="none"/>
              </w:rPr>
              <w:t>5</w:t>
            </w:r>
          </w:p>
        </w:tc>
        <w:tc>
          <w:tcPr>
            <w:tcW w:w="1009" w:type="dxa"/>
            <w:vAlign w:val="center"/>
          </w:tcPr>
          <w:p w14:paraId="6985FD54">
            <w:pPr>
              <w:jc w:val="center"/>
              <w:rPr>
                <w:color w:val="auto"/>
                <w:highlight w:val="none"/>
              </w:rPr>
            </w:pPr>
          </w:p>
        </w:tc>
        <w:tc>
          <w:tcPr>
            <w:tcW w:w="1010" w:type="dxa"/>
            <w:vAlign w:val="center"/>
          </w:tcPr>
          <w:p w14:paraId="08FC3F0B">
            <w:pPr>
              <w:jc w:val="center"/>
              <w:rPr>
                <w:color w:val="auto"/>
                <w:highlight w:val="none"/>
              </w:rPr>
            </w:pPr>
          </w:p>
        </w:tc>
        <w:tc>
          <w:tcPr>
            <w:tcW w:w="1009" w:type="dxa"/>
            <w:vAlign w:val="center"/>
          </w:tcPr>
          <w:p w14:paraId="5E1DD458">
            <w:pPr>
              <w:jc w:val="center"/>
              <w:rPr>
                <w:color w:val="auto"/>
                <w:highlight w:val="none"/>
              </w:rPr>
            </w:pPr>
          </w:p>
        </w:tc>
        <w:tc>
          <w:tcPr>
            <w:tcW w:w="1097" w:type="dxa"/>
            <w:vAlign w:val="center"/>
          </w:tcPr>
          <w:p w14:paraId="5BC2F3E3">
            <w:pPr>
              <w:jc w:val="center"/>
              <w:rPr>
                <w:color w:val="auto"/>
                <w:highlight w:val="none"/>
              </w:rPr>
            </w:pPr>
          </w:p>
        </w:tc>
        <w:tc>
          <w:tcPr>
            <w:tcW w:w="2022" w:type="dxa"/>
            <w:vAlign w:val="center"/>
          </w:tcPr>
          <w:p w14:paraId="1D210873">
            <w:pPr>
              <w:jc w:val="center"/>
              <w:rPr>
                <w:color w:val="auto"/>
                <w:highlight w:val="none"/>
              </w:rPr>
            </w:pPr>
          </w:p>
        </w:tc>
        <w:tc>
          <w:tcPr>
            <w:tcW w:w="886" w:type="dxa"/>
            <w:vAlign w:val="center"/>
          </w:tcPr>
          <w:p w14:paraId="38363451">
            <w:pPr>
              <w:ind w:right="-105"/>
              <w:jc w:val="center"/>
              <w:rPr>
                <w:rFonts w:ascii="宋体" w:hAnsi="宋体"/>
                <w:color w:val="auto"/>
                <w:szCs w:val="21"/>
                <w:highlight w:val="none"/>
              </w:rPr>
            </w:pPr>
          </w:p>
        </w:tc>
        <w:tc>
          <w:tcPr>
            <w:tcW w:w="867" w:type="dxa"/>
            <w:vAlign w:val="center"/>
          </w:tcPr>
          <w:p w14:paraId="44848C35">
            <w:pPr>
              <w:ind w:right="-111"/>
              <w:jc w:val="center"/>
              <w:rPr>
                <w:rFonts w:ascii="宋体" w:hAnsi="宋体"/>
                <w:color w:val="auto"/>
                <w:szCs w:val="21"/>
                <w:highlight w:val="none"/>
              </w:rPr>
            </w:pPr>
          </w:p>
        </w:tc>
      </w:tr>
      <w:tr w14:paraId="6565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25886B0F">
            <w:pPr>
              <w:jc w:val="center"/>
              <w:rPr>
                <w:color w:val="auto"/>
                <w:highlight w:val="none"/>
              </w:rPr>
            </w:pPr>
            <w:r>
              <w:rPr>
                <w:rFonts w:hint="eastAsia" w:ascii="黑体" w:hAnsi="黑体" w:eastAsia="黑体"/>
                <w:color w:val="auto"/>
                <w:szCs w:val="44"/>
                <w:highlight w:val="none"/>
              </w:rPr>
              <w:t>…</w:t>
            </w:r>
          </w:p>
        </w:tc>
        <w:tc>
          <w:tcPr>
            <w:tcW w:w="1009" w:type="dxa"/>
            <w:vAlign w:val="center"/>
          </w:tcPr>
          <w:p w14:paraId="5AE2D70F">
            <w:pPr>
              <w:jc w:val="center"/>
              <w:rPr>
                <w:color w:val="auto"/>
                <w:highlight w:val="none"/>
              </w:rPr>
            </w:pPr>
          </w:p>
        </w:tc>
        <w:tc>
          <w:tcPr>
            <w:tcW w:w="1010" w:type="dxa"/>
            <w:vAlign w:val="center"/>
          </w:tcPr>
          <w:p w14:paraId="5C874133">
            <w:pPr>
              <w:jc w:val="center"/>
              <w:rPr>
                <w:color w:val="auto"/>
                <w:highlight w:val="none"/>
              </w:rPr>
            </w:pPr>
          </w:p>
        </w:tc>
        <w:tc>
          <w:tcPr>
            <w:tcW w:w="1009" w:type="dxa"/>
            <w:vAlign w:val="center"/>
          </w:tcPr>
          <w:p w14:paraId="68EBF622">
            <w:pPr>
              <w:jc w:val="center"/>
              <w:rPr>
                <w:color w:val="auto"/>
                <w:highlight w:val="none"/>
              </w:rPr>
            </w:pPr>
          </w:p>
        </w:tc>
        <w:tc>
          <w:tcPr>
            <w:tcW w:w="1097" w:type="dxa"/>
            <w:vAlign w:val="center"/>
          </w:tcPr>
          <w:p w14:paraId="282206BA">
            <w:pPr>
              <w:jc w:val="center"/>
              <w:rPr>
                <w:color w:val="auto"/>
                <w:highlight w:val="none"/>
              </w:rPr>
            </w:pPr>
          </w:p>
        </w:tc>
        <w:tc>
          <w:tcPr>
            <w:tcW w:w="2022" w:type="dxa"/>
            <w:vAlign w:val="center"/>
          </w:tcPr>
          <w:p w14:paraId="12237EA1">
            <w:pPr>
              <w:jc w:val="center"/>
              <w:rPr>
                <w:color w:val="auto"/>
                <w:highlight w:val="none"/>
              </w:rPr>
            </w:pPr>
          </w:p>
        </w:tc>
        <w:tc>
          <w:tcPr>
            <w:tcW w:w="886" w:type="dxa"/>
            <w:vAlign w:val="center"/>
          </w:tcPr>
          <w:p w14:paraId="6CC3E715">
            <w:pPr>
              <w:ind w:right="-105"/>
              <w:jc w:val="center"/>
              <w:rPr>
                <w:rFonts w:ascii="宋体" w:hAnsi="宋体"/>
                <w:color w:val="auto"/>
                <w:szCs w:val="21"/>
                <w:highlight w:val="none"/>
              </w:rPr>
            </w:pPr>
          </w:p>
        </w:tc>
        <w:tc>
          <w:tcPr>
            <w:tcW w:w="867" w:type="dxa"/>
            <w:vAlign w:val="center"/>
          </w:tcPr>
          <w:p w14:paraId="3B06EE09">
            <w:pPr>
              <w:ind w:right="-111"/>
              <w:jc w:val="center"/>
              <w:rPr>
                <w:rFonts w:ascii="宋体" w:hAnsi="宋体"/>
                <w:color w:val="auto"/>
                <w:szCs w:val="21"/>
                <w:highlight w:val="none"/>
              </w:rPr>
            </w:pPr>
          </w:p>
        </w:tc>
      </w:tr>
      <w:tr w14:paraId="50B4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14:paraId="5C08BA4F">
            <w:pPr>
              <w:jc w:val="left"/>
              <w:rPr>
                <w:rFonts w:ascii="宋体" w:hAnsi="宋体"/>
                <w:color w:val="auto"/>
                <w:szCs w:val="44"/>
                <w:highlight w:val="none"/>
              </w:rPr>
            </w:pPr>
            <w:r>
              <w:rPr>
                <w:rFonts w:hint="eastAsia"/>
                <w:color w:val="auto"/>
                <w:highlight w:val="none"/>
              </w:rPr>
              <w:t xml:space="preserve">评标委员会全体成员签名： </w:t>
            </w:r>
          </w:p>
          <w:p w14:paraId="51F4800B">
            <w:pPr>
              <w:jc w:val="left"/>
              <w:rPr>
                <w:rFonts w:ascii="宋体" w:hAnsi="宋体"/>
                <w:color w:val="auto"/>
                <w:szCs w:val="44"/>
                <w:highlight w:val="none"/>
              </w:rPr>
            </w:pPr>
          </w:p>
          <w:p w14:paraId="71B1979D">
            <w:pPr>
              <w:jc w:val="left"/>
              <w:rPr>
                <w:rFonts w:ascii="宋体" w:hAnsi="宋体"/>
                <w:color w:val="auto"/>
                <w:szCs w:val="44"/>
                <w:highlight w:val="none"/>
              </w:rPr>
            </w:pPr>
          </w:p>
          <w:p w14:paraId="3D75327D">
            <w:pPr>
              <w:jc w:val="left"/>
              <w:rPr>
                <w:rFonts w:ascii="宋体" w:hAnsi="宋体"/>
                <w:color w:val="auto"/>
                <w:szCs w:val="44"/>
                <w:highlight w:val="none"/>
              </w:rPr>
            </w:pPr>
          </w:p>
          <w:p w14:paraId="4FBCA1FD">
            <w:pPr>
              <w:jc w:val="left"/>
              <w:rPr>
                <w:rFonts w:ascii="宋体" w:hAnsi="宋体"/>
                <w:color w:val="auto"/>
                <w:szCs w:val="44"/>
                <w:highlight w:val="none"/>
              </w:rPr>
            </w:pPr>
          </w:p>
          <w:p w14:paraId="1AADD2BA">
            <w:pPr>
              <w:jc w:val="left"/>
              <w:rPr>
                <w:rFonts w:ascii="宋体" w:hAnsi="宋体"/>
                <w:color w:val="auto"/>
                <w:szCs w:val="44"/>
                <w:highlight w:val="none"/>
              </w:rPr>
            </w:pPr>
          </w:p>
          <w:p w14:paraId="21DC0277">
            <w:pPr>
              <w:jc w:val="left"/>
              <w:rPr>
                <w:rFonts w:ascii="宋体" w:hAnsi="宋体"/>
                <w:color w:val="auto"/>
                <w:szCs w:val="44"/>
                <w:highlight w:val="none"/>
              </w:rPr>
            </w:pPr>
          </w:p>
          <w:p w14:paraId="599D0E66">
            <w:pPr>
              <w:ind w:right="-111"/>
              <w:jc w:val="center"/>
              <w:rPr>
                <w:rFonts w:ascii="宋体" w:hAnsi="宋体"/>
                <w:color w:val="auto"/>
                <w:szCs w:val="21"/>
                <w:highlight w:val="none"/>
              </w:rPr>
            </w:pPr>
          </w:p>
        </w:tc>
      </w:tr>
    </w:tbl>
    <w:p w14:paraId="79A68445">
      <w:pPr>
        <w:ind w:left="5460" w:hanging="5460" w:hangingChars="2600"/>
        <w:rPr>
          <w:color w:val="auto"/>
          <w:highlight w:val="none"/>
        </w:rPr>
      </w:pPr>
      <w:r>
        <w:rPr>
          <w:rFonts w:hint="eastAsia" w:ascii="宋体" w:hAnsi="宋体"/>
          <w:color w:val="auto"/>
          <w:szCs w:val="44"/>
          <w:highlight w:val="none"/>
        </w:rPr>
        <w:t xml:space="preserve">                                                   日期：    年    月    日</w:t>
      </w:r>
    </w:p>
    <w:p w14:paraId="6AA8E9CF">
      <w:pPr>
        <w:rPr>
          <w:color w:val="auto"/>
          <w:highlight w:val="none"/>
        </w:rPr>
      </w:pPr>
      <w:r>
        <w:rPr>
          <w:color w:val="auto"/>
          <w:highlight w:val="none"/>
        </w:rPr>
        <w:br w:type="page"/>
      </w:r>
    </w:p>
    <w:p w14:paraId="18D49298">
      <w:pPr>
        <w:pStyle w:val="25"/>
        <w:rPr>
          <w:color w:val="auto"/>
          <w:highlight w:val="none"/>
        </w:rPr>
      </w:pPr>
      <w:bookmarkStart w:id="556" w:name="_Toc4649"/>
      <w:bookmarkStart w:id="557" w:name="_Toc256000138"/>
      <w:bookmarkStart w:id="558" w:name="_Toc2901"/>
      <w:bookmarkStart w:id="559" w:name="_Toc165804455"/>
      <w:bookmarkStart w:id="560" w:name="_Toc1152"/>
      <w:bookmarkStart w:id="561" w:name="_Toc9124"/>
      <w:r>
        <w:rPr>
          <w:rFonts w:hint="eastAsia"/>
          <w:color w:val="auto"/>
          <w:highlight w:val="none"/>
        </w:rPr>
        <w:t>附表A-</w:t>
      </w:r>
      <w:r>
        <w:rPr>
          <w:color w:val="auto"/>
          <w:highlight w:val="none"/>
        </w:rPr>
        <w:t>9</w:t>
      </w:r>
      <w:r>
        <w:rPr>
          <w:rFonts w:hint="eastAsia"/>
          <w:color w:val="auto"/>
          <w:highlight w:val="none"/>
        </w:rPr>
        <w:t>：否决投标的情况说明</w:t>
      </w:r>
      <w:bookmarkEnd w:id="556"/>
      <w:bookmarkEnd w:id="557"/>
      <w:bookmarkEnd w:id="558"/>
      <w:bookmarkEnd w:id="559"/>
      <w:bookmarkEnd w:id="560"/>
      <w:bookmarkEnd w:id="561"/>
    </w:p>
    <w:p w14:paraId="264F6EF7">
      <w:pPr>
        <w:spacing w:after="240" w:afterLines="100"/>
        <w:jc w:val="center"/>
        <w:rPr>
          <w:rFonts w:ascii="黑体" w:hAnsi="宋体" w:eastAsia="黑体"/>
          <w:color w:val="auto"/>
          <w:sz w:val="36"/>
          <w:szCs w:val="36"/>
          <w:highlight w:val="none"/>
        </w:rPr>
      </w:pPr>
    </w:p>
    <w:p w14:paraId="0E42297B">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否决投标的情况说明</w:t>
      </w:r>
    </w:p>
    <w:p w14:paraId="167EB71F">
      <w:pPr>
        <w:rPr>
          <w:rFonts w:ascii="宋体" w:hAnsi="宋体"/>
          <w:color w:val="auto"/>
          <w:szCs w:val="44"/>
          <w:highlight w:val="none"/>
        </w:rPr>
      </w:pPr>
      <w:r>
        <w:rPr>
          <w:rFonts w:hint="eastAsia" w:ascii="宋体" w:hAnsi="宋体"/>
          <w:color w:val="auto"/>
          <w:szCs w:val="44"/>
          <w:highlight w:val="none"/>
        </w:rPr>
        <w:t>标段名称：</w:t>
      </w:r>
    </w:p>
    <w:p w14:paraId="78F705AB">
      <w:pPr>
        <w:rPr>
          <w:color w:val="auto"/>
          <w:highlight w:val="none"/>
        </w:rPr>
      </w:pPr>
      <w:r>
        <w:rPr>
          <w:rFonts w:hint="eastAsia"/>
          <w:color w:val="auto"/>
          <w:szCs w:val="44"/>
          <w:highlight w:val="none"/>
        </w:rPr>
        <w:t>标段唯一标识码：</w:t>
      </w:r>
    </w:p>
    <w:tbl>
      <w:tblPr>
        <w:tblStyle w:val="1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14:paraId="1AC2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11FF3048">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1548" w:type="dxa"/>
            <w:vAlign w:val="center"/>
          </w:tcPr>
          <w:p w14:paraId="59E4D9C2">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1780" w:type="dxa"/>
            <w:vAlign w:val="center"/>
          </w:tcPr>
          <w:p w14:paraId="505ED2B4">
            <w:pPr>
              <w:jc w:val="center"/>
              <w:rPr>
                <w:rFonts w:ascii="宋体" w:hAnsi="宋体"/>
                <w:b/>
                <w:bCs/>
                <w:color w:val="auto"/>
                <w:szCs w:val="21"/>
                <w:highlight w:val="none"/>
              </w:rPr>
            </w:pPr>
            <w:r>
              <w:rPr>
                <w:rFonts w:hint="eastAsia" w:ascii="宋体" w:hAnsi="宋体"/>
                <w:b/>
                <w:bCs/>
                <w:color w:val="auto"/>
                <w:szCs w:val="21"/>
                <w:highlight w:val="none"/>
              </w:rPr>
              <w:t>否决投标的依据</w:t>
            </w:r>
          </w:p>
        </w:tc>
        <w:tc>
          <w:tcPr>
            <w:tcW w:w="4729" w:type="dxa"/>
            <w:vAlign w:val="center"/>
          </w:tcPr>
          <w:p w14:paraId="6077FC28">
            <w:pPr>
              <w:jc w:val="center"/>
              <w:rPr>
                <w:rFonts w:ascii="宋体" w:hAnsi="宋体"/>
                <w:b/>
                <w:bCs/>
                <w:color w:val="auto"/>
                <w:szCs w:val="21"/>
                <w:highlight w:val="none"/>
              </w:rPr>
            </w:pPr>
            <w:r>
              <w:rPr>
                <w:rFonts w:hint="eastAsia" w:ascii="宋体" w:hAnsi="宋体"/>
                <w:b/>
                <w:bCs/>
                <w:color w:val="auto"/>
                <w:szCs w:val="21"/>
                <w:highlight w:val="none"/>
              </w:rPr>
              <w:t>投标文件存在的具体问题描述</w:t>
            </w:r>
          </w:p>
        </w:tc>
      </w:tr>
      <w:tr w14:paraId="7F65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54CAB851">
            <w:pPr>
              <w:jc w:val="center"/>
              <w:rPr>
                <w:rFonts w:ascii="宋体" w:hAnsi="宋体"/>
                <w:color w:val="auto"/>
                <w:sz w:val="24"/>
                <w:highlight w:val="none"/>
              </w:rPr>
            </w:pPr>
            <w:r>
              <w:rPr>
                <w:rFonts w:hint="eastAsia" w:ascii="宋体" w:hAnsi="宋体"/>
                <w:color w:val="auto"/>
                <w:sz w:val="24"/>
                <w:highlight w:val="none"/>
              </w:rPr>
              <w:t>1</w:t>
            </w:r>
          </w:p>
        </w:tc>
        <w:tc>
          <w:tcPr>
            <w:tcW w:w="1548" w:type="dxa"/>
            <w:vAlign w:val="center"/>
          </w:tcPr>
          <w:p w14:paraId="37E3E630">
            <w:pPr>
              <w:jc w:val="center"/>
              <w:rPr>
                <w:rFonts w:ascii="仿宋_GB2312" w:hAnsi="宋体" w:eastAsia="仿宋_GB2312"/>
                <w:color w:val="auto"/>
                <w:szCs w:val="21"/>
                <w:highlight w:val="none"/>
              </w:rPr>
            </w:pPr>
          </w:p>
        </w:tc>
        <w:tc>
          <w:tcPr>
            <w:tcW w:w="1780" w:type="dxa"/>
            <w:vAlign w:val="center"/>
          </w:tcPr>
          <w:p w14:paraId="13939CCF">
            <w:pPr>
              <w:jc w:val="center"/>
              <w:rPr>
                <w:rFonts w:ascii="仿宋_GB2312" w:hAnsi="宋体" w:eastAsia="仿宋_GB2312"/>
                <w:color w:val="auto"/>
                <w:szCs w:val="21"/>
                <w:highlight w:val="none"/>
              </w:rPr>
            </w:pPr>
          </w:p>
        </w:tc>
        <w:tc>
          <w:tcPr>
            <w:tcW w:w="4729" w:type="dxa"/>
            <w:vAlign w:val="center"/>
          </w:tcPr>
          <w:p w14:paraId="11EB9F24">
            <w:pPr>
              <w:jc w:val="center"/>
              <w:rPr>
                <w:rFonts w:ascii="仿宋_GB2312" w:hAnsi="宋体" w:eastAsia="仿宋_GB2312"/>
                <w:color w:val="auto"/>
                <w:szCs w:val="21"/>
                <w:highlight w:val="none"/>
              </w:rPr>
            </w:pPr>
          </w:p>
        </w:tc>
      </w:tr>
      <w:tr w14:paraId="57C2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7CB5D90F">
            <w:pPr>
              <w:jc w:val="center"/>
              <w:rPr>
                <w:rFonts w:ascii="宋体" w:hAnsi="宋体"/>
                <w:color w:val="auto"/>
                <w:sz w:val="24"/>
                <w:highlight w:val="none"/>
              </w:rPr>
            </w:pPr>
            <w:r>
              <w:rPr>
                <w:rFonts w:hint="eastAsia" w:ascii="宋体" w:hAnsi="宋体"/>
                <w:color w:val="auto"/>
                <w:sz w:val="24"/>
                <w:highlight w:val="none"/>
              </w:rPr>
              <w:t>2</w:t>
            </w:r>
          </w:p>
        </w:tc>
        <w:tc>
          <w:tcPr>
            <w:tcW w:w="1548" w:type="dxa"/>
            <w:vAlign w:val="center"/>
          </w:tcPr>
          <w:p w14:paraId="2B3840C8">
            <w:pPr>
              <w:jc w:val="center"/>
              <w:rPr>
                <w:rFonts w:ascii="仿宋_GB2312" w:hAnsi="宋体" w:eastAsia="仿宋_GB2312"/>
                <w:color w:val="auto"/>
                <w:szCs w:val="21"/>
                <w:highlight w:val="none"/>
              </w:rPr>
            </w:pPr>
          </w:p>
        </w:tc>
        <w:tc>
          <w:tcPr>
            <w:tcW w:w="1780" w:type="dxa"/>
            <w:vAlign w:val="center"/>
          </w:tcPr>
          <w:p w14:paraId="60EFA1EE">
            <w:pPr>
              <w:jc w:val="center"/>
              <w:rPr>
                <w:rFonts w:ascii="仿宋_GB2312" w:hAnsi="宋体" w:eastAsia="仿宋_GB2312"/>
                <w:color w:val="auto"/>
                <w:szCs w:val="21"/>
                <w:highlight w:val="none"/>
              </w:rPr>
            </w:pPr>
          </w:p>
        </w:tc>
        <w:tc>
          <w:tcPr>
            <w:tcW w:w="4729" w:type="dxa"/>
            <w:vAlign w:val="center"/>
          </w:tcPr>
          <w:p w14:paraId="0D41F93A">
            <w:pPr>
              <w:jc w:val="center"/>
              <w:rPr>
                <w:rFonts w:ascii="仿宋_GB2312" w:hAnsi="宋体" w:eastAsia="仿宋_GB2312"/>
                <w:color w:val="auto"/>
                <w:szCs w:val="21"/>
                <w:highlight w:val="none"/>
              </w:rPr>
            </w:pPr>
          </w:p>
        </w:tc>
      </w:tr>
      <w:tr w14:paraId="4A30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14:paraId="748B73FE">
            <w:pPr>
              <w:jc w:val="center"/>
              <w:rPr>
                <w:rFonts w:ascii="宋体" w:hAnsi="宋体"/>
                <w:color w:val="auto"/>
                <w:sz w:val="24"/>
                <w:highlight w:val="none"/>
              </w:rPr>
            </w:pPr>
            <w:r>
              <w:rPr>
                <w:rFonts w:hint="eastAsia" w:ascii="宋体" w:hAnsi="宋体"/>
                <w:color w:val="auto"/>
                <w:sz w:val="24"/>
                <w:highlight w:val="none"/>
              </w:rPr>
              <w:t>3</w:t>
            </w:r>
          </w:p>
        </w:tc>
        <w:tc>
          <w:tcPr>
            <w:tcW w:w="1548" w:type="dxa"/>
            <w:vAlign w:val="center"/>
          </w:tcPr>
          <w:p w14:paraId="3EA532F9">
            <w:pPr>
              <w:jc w:val="center"/>
              <w:rPr>
                <w:rFonts w:ascii="仿宋_GB2312" w:hAnsi="宋体" w:eastAsia="仿宋_GB2312"/>
                <w:color w:val="auto"/>
                <w:szCs w:val="21"/>
                <w:highlight w:val="none"/>
              </w:rPr>
            </w:pPr>
          </w:p>
        </w:tc>
        <w:tc>
          <w:tcPr>
            <w:tcW w:w="1780" w:type="dxa"/>
            <w:vAlign w:val="center"/>
          </w:tcPr>
          <w:p w14:paraId="60763EFB">
            <w:pPr>
              <w:jc w:val="center"/>
              <w:rPr>
                <w:rFonts w:ascii="仿宋_GB2312" w:hAnsi="宋体" w:eastAsia="仿宋_GB2312"/>
                <w:color w:val="auto"/>
                <w:szCs w:val="21"/>
                <w:highlight w:val="none"/>
              </w:rPr>
            </w:pPr>
          </w:p>
        </w:tc>
        <w:tc>
          <w:tcPr>
            <w:tcW w:w="4729" w:type="dxa"/>
            <w:vAlign w:val="center"/>
          </w:tcPr>
          <w:p w14:paraId="2F616C8E">
            <w:pPr>
              <w:jc w:val="center"/>
              <w:rPr>
                <w:rFonts w:ascii="仿宋_GB2312" w:hAnsi="宋体" w:eastAsia="仿宋_GB2312"/>
                <w:color w:val="auto"/>
                <w:szCs w:val="21"/>
                <w:highlight w:val="none"/>
              </w:rPr>
            </w:pPr>
          </w:p>
        </w:tc>
      </w:tr>
      <w:tr w14:paraId="39FB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1D1DA56C">
            <w:pPr>
              <w:jc w:val="center"/>
              <w:rPr>
                <w:rFonts w:ascii="宋体" w:hAnsi="宋体"/>
                <w:color w:val="auto"/>
                <w:sz w:val="24"/>
                <w:highlight w:val="none"/>
              </w:rPr>
            </w:pPr>
            <w:r>
              <w:rPr>
                <w:rFonts w:hint="eastAsia" w:ascii="宋体" w:hAnsi="宋体"/>
                <w:color w:val="auto"/>
                <w:sz w:val="24"/>
                <w:highlight w:val="none"/>
              </w:rPr>
              <w:t>4</w:t>
            </w:r>
          </w:p>
        </w:tc>
        <w:tc>
          <w:tcPr>
            <w:tcW w:w="1548" w:type="dxa"/>
            <w:vAlign w:val="center"/>
          </w:tcPr>
          <w:p w14:paraId="1F0E2E5A">
            <w:pPr>
              <w:jc w:val="center"/>
              <w:rPr>
                <w:rFonts w:ascii="仿宋_GB2312" w:hAnsi="宋体" w:eastAsia="仿宋_GB2312"/>
                <w:color w:val="auto"/>
                <w:szCs w:val="21"/>
                <w:highlight w:val="none"/>
              </w:rPr>
            </w:pPr>
          </w:p>
        </w:tc>
        <w:tc>
          <w:tcPr>
            <w:tcW w:w="1780" w:type="dxa"/>
            <w:vAlign w:val="center"/>
          </w:tcPr>
          <w:p w14:paraId="3255055F">
            <w:pPr>
              <w:jc w:val="center"/>
              <w:rPr>
                <w:rFonts w:ascii="仿宋_GB2312" w:hAnsi="宋体" w:eastAsia="仿宋_GB2312"/>
                <w:color w:val="auto"/>
                <w:szCs w:val="21"/>
                <w:highlight w:val="none"/>
              </w:rPr>
            </w:pPr>
          </w:p>
        </w:tc>
        <w:tc>
          <w:tcPr>
            <w:tcW w:w="4729" w:type="dxa"/>
            <w:vAlign w:val="center"/>
          </w:tcPr>
          <w:p w14:paraId="321D565D">
            <w:pPr>
              <w:jc w:val="center"/>
              <w:rPr>
                <w:rFonts w:ascii="仿宋_GB2312" w:hAnsi="宋体" w:eastAsia="仿宋_GB2312"/>
                <w:color w:val="auto"/>
                <w:szCs w:val="21"/>
                <w:highlight w:val="none"/>
              </w:rPr>
            </w:pPr>
          </w:p>
        </w:tc>
      </w:tr>
      <w:tr w14:paraId="4281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05F20DEF">
            <w:pPr>
              <w:jc w:val="center"/>
              <w:rPr>
                <w:rFonts w:ascii="宋体" w:hAnsi="宋体"/>
                <w:color w:val="auto"/>
                <w:sz w:val="24"/>
                <w:highlight w:val="none"/>
              </w:rPr>
            </w:pPr>
            <w:r>
              <w:rPr>
                <w:rFonts w:hint="eastAsia" w:ascii="宋体" w:hAnsi="宋体"/>
                <w:color w:val="auto"/>
                <w:sz w:val="24"/>
                <w:highlight w:val="none"/>
              </w:rPr>
              <w:t>5</w:t>
            </w:r>
          </w:p>
        </w:tc>
        <w:tc>
          <w:tcPr>
            <w:tcW w:w="1548" w:type="dxa"/>
            <w:vAlign w:val="center"/>
          </w:tcPr>
          <w:p w14:paraId="7CA62FEB">
            <w:pPr>
              <w:jc w:val="center"/>
              <w:rPr>
                <w:rFonts w:ascii="仿宋_GB2312" w:hAnsi="宋体" w:eastAsia="仿宋_GB2312"/>
                <w:color w:val="auto"/>
                <w:szCs w:val="21"/>
                <w:highlight w:val="none"/>
              </w:rPr>
            </w:pPr>
          </w:p>
        </w:tc>
        <w:tc>
          <w:tcPr>
            <w:tcW w:w="1780" w:type="dxa"/>
            <w:vAlign w:val="center"/>
          </w:tcPr>
          <w:p w14:paraId="5E640B65">
            <w:pPr>
              <w:jc w:val="center"/>
              <w:rPr>
                <w:rFonts w:ascii="仿宋_GB2312" w:hAnsi="宋体" w:eastAsia="仿宋_GB2312"/>
                <w:color w:val="auto"/>
                <w:szCs w:val="21"/>
                <w:highlight w:val="none"/>
              </w:rPr>
            </w:pPr>
          </w:p>
        </w:tc>
        <w:tc>
          <w:tcPr>
            <w:tcW w:w="4729" w:type="dxa"/>
            <w:vAlign w:val="center"/>
          </w:tcPr>
          <w:p w14:paraId="68B23BA5">
            <w:pPr>
              <w:jc w:val="center"/>
              <w:rPr>
                <w:rFonts w:ascii="仿宋_GB2312" w:hAnsi="宋体" w:eastAsia="仿宋_GB2312"/>
                <w:color w:val="auto"/>
                <w:szCs w:val="21"/>
                <w:highlight w:val="none"/>
              </w:rPr>
            </w:pPr>
          </w:p>
        </w:tc>
      </w:tr>
      <w:tr w14:paraId="46E6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0D721350">
            <w:pPr>
              <w:jc w:val="center"/>
              <w:rPr>
                <w:rFonts w:ascii="宋体" w:hAnsi="宋体"/>
                <w:color w:val="auto"/>
                <w:sz w:val="24"/>
                <w:highlight w:val="none"/>
              </w:rPr>
            </w:pPr>
            <w:r>
              <w:rPr>
                <w:rFonts w:hint="eastAsia" w:ascii="宋体" w:hAnsi="宋体"/>
                <w:color w:val="auto"/>
                <w:sz w:val="24"/>
                <w:highlight w:val="none"/>
              </w:rPr>
              <w:t>6</w:t>
            </w:r>
          </w:p>
        </w:tc>
        <w:tc>
          <w:tcPr>
            <w:tcW w:w="1548" w:type="dxa"/>
            <w:vAlign w:val="center"/>
          </w:tcPr>
          <w:p w14:paraId="603BD4AC">
            <w:pPr>
              <w:jc w:val="center"/>
              <w:rPr>
                <w:rFonts w:ascii="仿宋_GB2312" w:hAnsi="宋体" w:eastAsia="仿宋_GB2312"/>
                <w:color w:val="auto"/>
                <w:szCs w:val="21"/>
                <w:highlight w:val="none"/>
              </w:rPr>
            </w:pPr>
          </w:p>
        </w:tc>
        <w:tc>
          <w:tcPr>
            <w:tcW w:w="1780" w:type="dxa"/>
            <w:vAlign w:val="center"/>
          </w:tcPr>
          <w:p w14:paraId="4B5A0667">
            <w:pPr>
              <w:jc w:val="center"/>
              <w:rPr>
                <w:rFonts w:ascii="仿宋_GB2312" w:hAnsi="宋体" w:eastAsia="仿宋_GB2312"/>
                <w:color w:val="auto"/>
                <w:szCs w:val="21"/>
                <w:highlight w:val="none"/>
              </w:rPr>
            </w:pPr>
          </w:p>
        </w:tc>
        <w:tc>
          <w:tcPr>
            <w:tcW w:w="4729" w:type="dxa"/>
            <w:vAlign w:val="center"/>
          </w:tcPr>
          <w:p w14:paraId="163E31A3">
            <w:pPr>
              <w:jc w:val="center"/>
              <w:rPr>
                <w:rFonts w:ascii="仿宋_GB2312" w:hAnsi="宋体" w:eastAsia="仿宋_GB2312"/>
                <w:color w:val="auto"/>
                <w:szCs w:val="21"/>
                <w:highlight w:val="none"/>
              </w:rPr>
            </w:pPr>
          </w:p>
        </w:tc>
      </w:tr>
      <w:tr w14:paraId="3096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1AA1FC0C">
            <w:pPr>
              <w:jc w:val="center"/>
              <w:rPr>
                <w:rFonts w:ascii="宋体" w:hAnsi="宋体"/>
                <w:color w:val="auto"/>
                <w:sz w:val="24"/>
                <w:highlight w:val="none"/>
              </w:rPr>
            </w:pPr>
            <w:r>
              <w:rPr>
                <w:rFonts w:hint="eastAsia" w:ascii="宋体" w:hAnsi="宋体"/>
                <w:color w:val="auto"/>
                <w:sz w:val="24"/>
                <w:highlight w:val="none"/>
              </w:rPr>
              <w:t>7</w:t>
            </w:r>
          </w:p>
        </w:tc>
        <w:tc>
          <w:tcPr>
            <w:tcW w:w="1548" w:type="dxa"/>
            <w:vAlign w:val="center"/>
          </w:tcPr>
          <w:p w14:paraId="45694D8B">
            <w:pPr>
              <w:jc w:val="center"/>
              <w:rPr>
                <w:rFonts w:ascii="仿宋_GB2312" w:hAnsi="宋体" w:eastAsia="仿宋_GB2312"/>
                <w:color w:val="auto"/>
                <w:szCs w:val="21"/>
                <w:highlight w:val="none"/>
              </w:rPr>
            </w:pPr>
          </w:p>
        </w:tc>
        <w:tc>
          <w:tcPr>
            <w:tcW w:w="1780" w:type="dxa"/>
            <w:vAlign w:val="center"/>
          </w:tcPr>
          <w:p w14:paraId="0C04DC5B">
            <w:pPr>
              <w:jc w:val="center"/>
              <w:rPr>
                <w:rFonts w:ascii="仿宋_GB2312" w:hAnsi="宋体" w:eastAsia="仿宋_GB2312"/>
                <w:color w:val="auto"/>
                <w:szCs w:val="21"/>
                <w:highlight w:val="none"/>
              </w:rPr>
            </w:pPr>
          </w:p>
        </w:tc>
        <w:tc>
          <w:tcPr>
            <w:tcW w:w="4729" w:type="dxa"/>
            <w:vAlign w:val="center"/>
          </w:tcPr>
          <w:p w14:paraId="16F7061A">
            <w:pPr>
              <w:jc w:val="center"/>
              <w:rPr>
                <w:rFonts w:ascii="仿宋_GB2312" w:hAnsi="宋体" w:eastAsia="仿宋_GB2312"/>
                <w:color w:val="auto"/>
                <w:szCs w:val="21"/>
                <w:highlight w:val="none"/>
              </w:rPr>
            </w:pPr>
          </w:p>
        </w:tc>
      </w:tr>
      <w:tr w14:paraId="6175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0784ED0C">
            <w:pPr>
              <w:jc w:val="center"/>
              <w:rPr>
                <w:rFonts w:ascii="宋体" w:hAnsi="宋体"/>
                <w:color w:val="auto"/>
                <w:sz w:val="24"/>
                <w:highlight w:val="none"/>
              </w:rPr>
            </w:pPr>
            <w:r>
              <w:rPr>
                <w:rFonts w:hint="eastAsia" w:ascii="宋体" w:hAnsi="宋体"/>
                <w:color w:val="auto"/>
                <w:sz w:val="24"/>
                <w:highlight w:val="none"/>
              </w:rPr>
              <w:t>8</w:t>
            </w:r>
          </w:p>
        </w:tc>
        <w:tc>
          <w:tcPr>
            <w:tcW w:w="1548" w:type="dxa"/>
            <w:vAlign w:val="center"/>
          </w:tcPr>
          <w:p w14:paraId="0BC9DBD1">
            <w:pPr>
              <w:jc w:val="center"/>
              <w:rPr>
                <w:rFonts w:ascii="仿宋_GB2312" w:hAnsi="宋体" w:eastAsia="仿宋_GB2312"/>
                <w:color w:val="auto"/>
                <w:szCs w:val="21"/>
                <w:highlight w:val="none"/>
              </w:rPr>
            </w:pPr>
          </w:p>
        </w:tc>
        <w:tc>
          <w:tcPr>
            <w:tcW w:w="1780" w:type="dxa"/>
            <w:vAlign w:val="center"/>
          </w:tcPr>
          <w:p w14:paraId="52DBFCF3">
            <w:pPr>
              <w:jc w:val="center"/>
              <w:rPr>
                <w:rFonts w:ascii="仿宋_GB2312" w:hAnsi="宋体" w:eastAsia="仿宋_GB2312"/>
                <w:color w:val="auto"/>
                <w:szCs w:val="21"/>
                <w:highlight w:val="none"/>
              </w:rPr>
            </w:pPr>
          </w:p>
        </w:tc>
        <w:tc>
          <w:tcPr>
            <w:tcW w:w="4729" w:type="dxa"/>
            <w:vAlign w:val="center"/>
          </w:tcPr>
          <w:p w14:paraId="75A415F1">
            <w:pPr>
              <w:jc w:val="center"/>
              <w:rPr>
                <w:rFonts w:ascii="仿宋_GB2312" w:hAnsi="宋体" w:eastAsia="仿宋_GB2312"/>
                <w:color w:val="auto"/>
                <w:szCs w:val="21"/>
                <w:highlight w:val="none"/>
              </w:rPr>
            </w:pPr>
          </w:p>
        </w:tc>
      </w:tr>
      <w:tr w14:paraId="56B2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77C790F4">
            <w:pPr>
              <w:jc w:val="center"/>
              <w:rPr>
                <w:rFonts w:ascii="宋体" w:hAnsi="宋体"/>
                <w:color w:val="auto"/>
                <w:sz w:val="24"/>
                <w:highlight w:val="none"/>
              </w:rPr>
            </w:pPr>
            <w:r>
              <w:rPr>
                <w:rFonts w:hint="eastAsia" w:ascii="宋体" w:hAnsi="宋体"/>
                <w:color w:val="auto"/>
                <w:szCs w:val="44"/>
                <w:highlight w:val="none"/>
              </w:rPr>
              <w:t>…</w:t>
            </w:r>
          </w:p>
        </w:tc>
        <w:tc>
          <w:tcPr>
            <w:tcW w:w="1548" w:type="dxa"/>
            <w:vAlign w:val="center"/>
          </w:tcPr>
          <w:p w14:paraId="7537C6D6">
            <w:pPr>
              <w:jc w:val="center"/>
              <w:rPr>
                <w:rFonts w:ascii="仿宋_GB2312" w:hAnsi="宋体" w:eastAsia="仿宋_GB2312"/>
                <w:color w:val="auto"/>
                <w:szCs w:val="21"/>
                <w:highlight w:val="none"/>
              </w:rPr>
            </w:pPr>
          </w:p>
        </w:tc>
        <w:tc>
          <w:tcPr>
            <w:tcW w:w="1780" w:type="dxa"/>
            <w:vAlign w:val="center"/>
          </w:tcPr>
          <w:p w14:paraId="0E21501E">
            <w:pPr>
              <w:jc w:val="center"/>
              <w:rPr>
                <w:rFonts w:ascii="仿宋_GB2312" w:hAnsi="宋体" w:eastAsia="仿宋_GB2312"/>
                <w:color w:val="auto"/>
                <w:szCs w:val="21"/>
                <w:highlight w:val="none"/>
              </w:rPr>
            </w:pPr>
          </w:p>
        </w:tc>
        <w:tc>
          <w:tcPr>
            <w:tcW w:w="4729" w:type="dxa"/>
            <w:vAlign w:val="center"/>
          </w:tcPr>
          <w:p w14:paraId="277F51A4">
            <w:pPr>
              <w:jc w:val="center"/>
              <w:rPr>
                <w:rFonts w:ascii="仿宋_GB2312" w:hAnsi="宋体" w:eastAsia="仿宋_GB2312"/>
                <w:color w:val="auto"/>
                <w:szCs w:val="21"/>
                <w:highlight w:val="none"/>
              </w:rPr>
            </w:pPr>
          </w:p>
        </w:tc>
      </w:tr>
      <w:tr w14:paraId="1FE5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14:paraId="7EFA680E">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7DE836E3">
            <w:pPr>
              <w:jc w:val="left"/>
              <w:rPr>
                <w:rFonts w:ascii="宋体" w:hAnsi="宋体"/>
                <w:color w:val="auto"/>
                <w:szCs w:val="44"/>
                <w:highlight w:val="none"/>
              </w:rPr>
            </w:pPr>
          </w:p>
          <w:p w14:paraId="3CB9BE54">
            <w:pPr>
              <w:jc w:val="left"/>
              <w:rPr>
                <w:rFonts w:ascii="宋体" w:hAnsi="宋体"/>
                <w:color w:val="auto"/>
                <w:szCs w:val="44"/>
                <w:highlight w:val="none"/>
              </w:rPr>
            </w:pPr>
          </w:p>
          <w:p w14:paraId="69B03492">
            <w:pPr>
              <w:jc w:val="left"/>
              <w:rPr>
                <w:rFonts w:ascii="宋体" w:hAnsi="宋体"/>
                <w:color w:val="auto"/>
                <w:szCs w:val="44"/>
                <w:highlight w:val="none"/>
              </w:rPr>
            </w:pPr>
          </w:p>
          <w:p w14:paraId="22B80FAF">
            <w:pPr>
              <w:jc w:val="left"/>
              <w:rPr>
                <w:rFonts w:ascii="宋体" w:hAnsi="宋体"/>
                <w:color w:val="auto"/>
                <w:szCs w:val="44"/>
                <w:highlight w:val="none"/>
              </w:rPr>
            </w:pPr>
          </w:p>
          <w:p w14:paraId="3D196E20">
            <w:pPr>
              <w:jc w:val="left"/>
              <w:rPr>
                <w:rFonts w:ascii="宋体" w:hAnsi="宋体"/>
                <w:color w:val="auto"/>
                <w:szCs w:val="44"/>
                <w:highlight w:val="none"/>
              </w:rPr>
            </w:pPr>
          </w:p>
          <w:p w14:paraId="5CF73352">
            <w:pPr>
              <w:jc w:val="left"/>
              <w:rPr>
                <w:rFonts w:ascii="宋体" w:hAnsi="宋体"/>
                <w:color w:val="auto"/>
                <w:szCs w:val="44"/>
                <w:highlight w:val="none"/>
              </w:rPr>
            </w:pPr>
          </w:p>
          <w:p w14:paraId="68D2561A">
            <w:pPr>
              <w:jc w:val="center"/>
              <w:rPr>
                <w:rFonts w:ascii="仿宋_GB2312" w:hAnsi="宋体" w:eastAsia="仿宋_GB2312"/>
                <w:color w:val="auto"/>
                <w:szCs w:val="21"/>
                <w:highlight w:val="none"/>
              </w:rPr>
            </w:pPr>
          </w:p>
        </w:tc>
      </w:tr>
    </w:tbl>
    <w:p w14:paraId="1CED0260">
      <w:pPr>
        <w:rPr>
          <w:rFonts w:ascii="宋体" w:hAnsi="宋体"/>
          <w:color w:val="auto"/>
          <w:szCs w:val="44"/>
          <w:highlight w:val="none"/>
        </w:rPr>
      </w:pPr>
      <w:r>
        <w:rPr>
          <w:rFonts w:ascii="宋体" w:hAnsi="宋体"/>
          <w:color w:val="auto"/>
          <w:szCs w:val="44"/>
          <w:highlight w:val="none"/>
        </w:rPr>
        <w:t xml:space="preserve">        </w:t>
      </w: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14:paraId="35C1D8F0">
      <w:pPr>
        <w:rPr>
          <w:color w:val="auto"/>
          <w:highlight w:val="none"/>
        </w:rPr>
      </w:pPr>
    </w:p>
    <w:p w14:paraId="381AAF6B">
      <w:pPr>
        <w:rPr>
          <w:color w:val="auto"/>
          <w:highlight w:val="none"/>
        </w:rPr>
      </w:pPr>
      <w:r>
        <w:rPr>
          <w:color w:val="auto"/>
          <w:highlight w:val="none"/>
        </w:rPr>
        <w:br w:type="page"/>
      </w:r>
    </w:p>
    <w:p w14:paraId="75143D27">
      <w:pPr>
        <w:pStyle w:val="25"/>
        <w:rPr>
          <w:color w:val="auto"/>
          <w:highlight w:val="none"/>
        </w:rPr>
      </w:pPr>
      <w:bookmarkStart w:id="562" w:name="_Toc18016"/>
      <w:bookmarkStart w:id="563" w:name="_Toc17960"/>
      <w:bookmarkStart w:id="564" w:name="_Toc165804456"/>
      <w:bookmarkStart w:id="565" w:name="_Toc256000139"/>
      <w:bookmarkStart w:id="566" w:name="_Toc28178"/>
      <w:bookmarkStart w:id="567" w:name="_Toc8736"/>
      <w:r>
        <w:rPr>
          <w:rFonts w:hint="eastAsia"/>
          <w:color w:val="auto"/>
          <w:highlight w:val="none"/>
        </w:rPr>
        <w:t>附表A-</w:t>
      </w:r>
      <w:r>
        <w:rPr>
          <w:color w:val="auto"/>
          <w:highlight w:val="none"/>
        </w:rPr>
        <w:t>10</w:t>
      </w:r>
      <w:r>
        <w:rPr>
          <w:rFonts w:hint="eastAsia"/>
          <w:color w:val="auto"/>
          <w:highlight w:val="none"/>
        </w:rPr>
        <w:t>：经济标评分记录表</w:t>
      </w:r>
      <w:bookmarkEnd w:id="562"/>
      <w:bookmarkEnd w:id="563"/>
      <w:bookmarkEnd w:id="564"/>
      <w:bookmarkEnd w:id="565"/>
      <w:bookmarkEnd w:id="566"/>
      <w:bookmarkEnd w:id="567"/>
    </w:p>
    <w:p w14:paraId="778F29EC">
      <w:pPr>
        <w:spacing w:after="240" w:afterLines="100"/>
        <w:jc w:val="center"/>
        <w:rPr>
          <w:rFonts w:ascii="黑体" w:hAnsi="宋体" w:eastAsia="黑体"/>
          <w:color w:val="auto"/>
          <w:sz w:val="36"/>
          <w:szCs w:val="36"/>
          <w:highlight w:val="none"/>
        </w:rPr>
      </w:pPr>
    </w:p>
    <w:p w14:paraId="5C6082B2">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568" w:name="_Hlk150330919"/>
      <w:r>
        <w:rPr>
          <w:rFonts w:hint="eastAsia" w:ascii="黑体" w:hAnsi="黑体" w:eastAsia="黑体"/>
          <w:color w:val="auto"/>
          <w:sz w:val="36"/>
          <w:szCs w:val="36"/>
          <w:highlight w:val="none"/>
        </w:rPr>
        <w:t>经济标评分记录表</w:t>
      </w:r>
    </w:p>
    <w:p w14:paraId="587A1131">
      <w:pPr>
        <w:rPr>
          <w:rFonts w:ascii="宋体" w:hAnsi="宋体"/>
          <w:color w:val="auto"/>
          <w:szCs w:val="44"/>
          <w:highlight w:val="none"/>
        </w:rPr>
      </w:pPr>
      <w:r>
        <w:rPr>
          <w:rFonts w:hint="eastAsia" w:ascii="宋体" w:hAnsi="宋体"/>
          <w:color w:val="auto"/>
          <w:szCs w:val="44"/>
          <w:highlight w:val="none"/>
        </w:rPr>
        <w:t>标段名称：</w:t>
      </w:r>
    </w:p>
    <w:p w14:paraId="7D6CDC8B">
      <w:pPr>
        <w:rPr>
          <w:color w:val="auto"/>
          <w:highlight w:val="none"/>
        </w:rPr>
      </w:pPr>
      <w:r>
        <w:rPr>
          <w:rFonts w:hint="eastAsia"/>
          <w:color w:val="auto"/>
          <w:szCs w:val="44"/>
          <w:highlight w:val="none"/>
        </w:rPr>
        <w:t xml:space="preserve">标段唯一标识码： </w:t>
      </w:r>
      <w:r>
        <w:rPr>
          <w:color w:val="auto"/>
          <w:szCs w:val="44"/>
          <w:highlight w:val="none"/>
        </w:rPr>
        <w:t xml:space="preserve">                                              </w:t>
      </w:r>
      <w:r>
        <w:rPr>
          <w:rFonts w:hint="eastAsia"/>
          <w:color w:val="auto"/>
          <w:highlight w:val="none"/>
        </w:rPr>
        <w:t>单位：人民币元</w:t>
      </w:r>
    </w:p>
    <w:tbl>
      <w:tblPr>
        <w:tblStyle w:val="1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14:paraId="716A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14:paraId="5E13094A">
            <w:pPr>
              <w:jc w:val="center"/>
              <w:rPr>
                <w:b/>
                <w:bCs/>
                <w:color w:val="auto"/>
                <w:highlight w:val="none"/>
              </w:rPr>
            </w:pPr>
            <w:r>
              <w:rPr>
                <w:rFonts w:hint="eastAsia"/>
                <w:b/>
                <w:bCs/>
                <w:color w:val="auto"/>
                <w:highlight w:val="none"/>
              </w:rPr>
              <w:t>序号</w:t>
            </w:r>
          </w:p>
        </w:tc>
        <w:tc>
          <w:tcPr>
            <w:tcW w:w="1331" w:type="dxa"/>
            <w:vMerge w:val="restart"/>
            <w:vAlign w:val="center"/>
          </w:tcPr>
          <w:p w14:paraId="49E92987">
            <w:pPr>
              <w:jc w:val="center"/>
              <w:rPr>
                <w:b/>
                <w:bCs/>
                <w:color w:val="auto"/>
                <w:highlight w:val="none"/>
              </w:rPr>
            </w:pPr>
            <w:r>
              <w:rPr>
                <w:rFonts w:hint="eastAsia"/>
                <w:b/>
                <w:bCs/>
                <w:color w:val="auto"/>
                <w:highlight w:val="none"/>
              </w:rPr>
              <w:t>投标人名称</w:t>
            </w:r>
          </w:p>
        </w:tc>
        <w:tc>
          <w:tcPr>
            <w:tcW w:w="6592" w:type="dxa"/>
            <w:gridSpan w:val="7"/>
            <w:vAlign w:val="center"/>
          </w:tcPr>
          <w:p w14:paraId="4A88132A">
            <w:pPr>
              <w:jc w:val="center"/>
              <w:rPr>
                <w:b/>
                <w:bCs/>
                <w:color w:val="auto"/>
                <w:highlight w:val="none"/>
              </w:rPr>
            </w:pPr>
            <w:r>
              <w:rPr>
                <w:rFonts w:hint="eastAsia"/>
                <w:b/>
                <w:bCs/>
                <w:color w:val="auto"/>
                <w:highlight w:val="none"/>
              </w:rPr>
              <w:t>评审项目</w:t>
            </w:r>
          </w:p>
        </w:tc>
      </w:tr>
      <w:tr w14:paraId="10F9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14:paraId="31C27351">
            <w:pPr>
              <w:jc w:val="center"/>
              <w:rPr>
                <w:b/>
                <w:bCs/>
                <w:color w:val="auto"/>
                <w:highlight w:val="none"/>
              </w:rPr>
            </w:pPr>
          </w:p>
        </w:tc>
        <w:tc>
          <w:tcPr>
            <w:tcW w:w="1331" w:type="dxa"/>
            <w:vMerge w:val="continue"/>
            <w:vAlign w:val="center"/>
          </w:tcPr>
          <w:p w14:paraId="0DC509C1">
            <w:pPr>
              <w:jc w:val="center"/>
              <w:rPr>
                <w:b/>
                <w:bCs/>
                <w:color w:val="auto"/>
                <w:highlight w:val="none"/>
              </w:rPr>
            </w:pPr>
          </w:p>
        </w:tc>
        <w:tc>
          <w:tcPr>
            <w:tcW w:w="701" w:type="dxa"/>
            <w:vAlign w:val="center"/>
          </w:tcPr>
          <w:p w14:paraId="248865AC">
            <w:pPr>
              <w:jc w:val="center"/>
              <w:rPr>
                <w:b/>
                <w:bCs/>
                <w:color w:val="auto"/>
                <w:highlight w:val="none"/>
              </w:rPr>
            </w:pPr>
            <w:r>
              <w:rPr>
                <w:rFonts w:hint="eastAsia"/>
                <w:b/>
                <w:bCs/>
                <w:color w:val="auto"/>
                <w:highlight w:val="none"/>
              </w:rPr>
              <w:t>投标报价</w:t>
            </w:r>
          </w:p>
        </w:tc>
        <w:tc>
          <w:tcPr>
            <w:tcW w:w="997" w:type="dxa"/>
            <w:vAlign w:val="center"/>
          </w:tcPr>
          <w:p w14:paraId="2CEEA05C">
            <w:pPr>
              <w:jc w:val="center"/>
              <w:rPr>
                <w:b/>
                <w:bCs/>
                <w:color w:val="auto"/>
                <w:highlight w:val="none"/>
              </w:rPr>
            </w:pPr>
            <w:r>
              <w:rPr>
                <w:rFonts w:hint="eastAsia" w:ascii="宋体" w:hAnsi="宋体" w:cs="Arial"/>
                <w:b/>
                <w:bCs/>
                <w:color w:val="auto"/>
                <w:szCs w:val="21"/>
                <w:highlight w:val="none"/>
              </w:rPr>
              <w:t>修正后投标报价（如有）</w:t>
            </w:r>
          </w:p>
        </w:tc>
        <w:tc>
          <w:tcPr>
            <w:tcW w:w="738" w:type="dxa"/>
            <w:vAlign w:val="center"/>
          </w:tcPr>
          <w:p w14:paraId="5F3F282F">
            <w:pPr>
              <w:jc w:val="center"/>
              <w:rPr>
                <w:b/>
                <w:bCs/>
                <w:color w:val="auto"/>
                <w:highlight w:val="none"/>
              </w:rPr>
            </w:pPr>
            <w:r>
              <w:rPr>
                <w:rFonts w:hint="eastAsia" w:ascii="宋体" w:hAnsi="宋体" w:cs="Arial"/>
                <w:b/>
                <w:bCs/>
                <w:color w:val="auto"/>
                <w:szCs w:val="21"/>
                <w:highlight w:val="none"/>
              </w:rPr>
              <w:t>评标价</w:t>
            </w:r>
          </w:p>
        </w:tc>
        <w:tc>
          <w:tcPr>
            <w:tcW w:w="946" w:type="dxa"/>
            <w:vAlign w:val="center"/>
          </w:tcPr>
          <w:p w14:paraId="2F373AE4">
            <w:pPr>
              <w:jc w:val="center"/>
              <w:rPr>
                <w:b/>
                <w:bCs/>
                <w:color w:val="auto"/>
                <w:highlight w:val="none"/>
              </w:rPr>
            </w:pPr>
            <w:r>
              <w:rPr>
                <w:rFonts w:hint="eastAsia"/>
                <w:b/>
                <w:bCs/>
                <w:color w:val="auto"/>
                <w:highlight w:val="none"/>
              </w:rPr>
              <w:t>评标基准价</w:t>
            </w:r>
          </w:p>
        </w:tc>
        <w:tc>
          <w:tcPr>
            <w:tcW w:w="841" w:type="dxa"/>
            <w:vAlign w:val="center"/>
          </w:tcPr>
          <w:p w14:paraId="49E61A92">
            <w:pPr>
              <w:jc w:val="center"/>
              <w:rPr>
                <w:b/>
                <w:bCs/>
                <w:color w:val="auto"/>
                <w:highlight w:val="none"/>
              </w:rPr>
            </w:pPr>
            <w:r>
              <w:rPr>
                <w:rFonts w:hint="eastAsia"/>
                <w:b/>
                <w:bCs/>
                <w:color w:val="auto"/>
                <w:highlight w:val="none"/>
              </w:rPr>
              <w:t>偏差率</w:t>
            </w:r>
          </w:p>
        </w:tc>
        <w:tc>
          <w:tcPr>
            <w:tcW w:w="841" w:type="dxa"/>
            <w:vAlign w:val="center"/>
          </w:tcPr>
          <w:p w14:paraId="73A560F4">
            <w:pPr>
              <w:jc w:val="center"/>
              <w:rPr>
                <w:b/>
                <w:bCs/>
                <w:color w:val="auto"/>
                <w:highlight w:val="none"/>
              </w:rPr>
            </w:pPr>
            <w:r>
              <w:rPr>
                <w:rFonts w:hint="eastAsia"/>
                <w:b/>
                <w:bCs/>
                <w:color w:val="auto"/>
                <w:highlight w:val="none"/>
              </w:rPr>
              <w:t>计算投标报价得分</w:t>
            </w:r>
          </w:p>
        </w:tc>
        <w:tc>
          <w:tcPr>
            <w:tcW w:w="1528" w:type="dxa"/>
            <w:vAlign w:val="center"/>
          </w:tcPr>
          <w:p w14:paraId="41A5AD0E">
            <w:pPr>
              <w:jc w:val="center"/>
              <w:rPr>
                <w:rFonts w:ascii="宋体" w:hAnsi="宋体"/>
                <w:b/>
                <w:bCs/>
                <w:color w:val="auto"/>
                <w:szCs w:val="44"/>
                <w:highlight w:val="none"/>
              </w:rPr>
            </w:pPr>
            <w:r>
              <w:rPr>
                <w:rFonts w:hint="eastAsia"/>
                <w:b/>
                <w:bCs/>
                <w:color w:val="auto"/>
                <w:highlight w:val="none"/>
              </w:rPr>
              <w:t>投标报价最终得分</w:t>
            </w:r>
          </w:p>
          <w:p w14:paraId="55BBA415">
            <w:pPr>
              <w:jc w:val="center"/>
              <w:rPr>
                <w:b/>
                <w:bCs/>
                <w:color w:val="auto"/>
                <w:highlight w:val="none"/>
              </w:rPr>
            </w:pPr>
            <w:r>
              <w:rPr>
                <w:rFonts w:hint="eastAsia" w:ascii="宋体" w:hAnsi="宋体"/>
                <w:b/>
                <w:bCs/>
                <w:color w:val="auto"/>
                <w:szCs w:val="44"/>
                <w:highlight w:val="none"/>
              </w:rPr>
              <w:t>（满分  分</w:t>
            </w:r>
            <w:r>
              <w:rPr>
                <w:rFonts w:ascii="宋体" w:hAnsi="宋体"/>
                <w:b/>
                <w:bCs/>
                <w:color w:val="auto"/>
                <w:szCs w:val="44"/>
                <w:highlight w:val="none"/>
              </w:rPr>
              <w:t>）</w:t>
            </w:r>
          </w:p>
        </w:tc>
      </w:tr>
      <w:tr w14:paraId="785F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14:paraId="3588611B">
            <w:pPr>
              <w:jc w:val="center"/>
              <w:rPr>
                <w:color w:val="auto"/>
                <w:highlight w:val="none"/>
              </w:rPr>
            </w:pPr>
            <w:r>
              <w:rPr>
                <w:rFonts w:hint="eastAsia"/>
                <w:color w:val="auto"/>
                <w:highlight w:val="none"/>
              </w:rPr>
              <w:t>1</w:t>
            </w:r>
          </w:p>
        </w:tc>
        <w:tc>
          <w:tcPr>
            <w:tcW w:w="1331" w:type="dxa"/>
            <w:vAlign w:val="center"/>
          </w:tcPr>
          <w:p w14:paraId="4B377530">
            <w:pPr>
              <w:jc w:val="center"/>
              <w:rPr>
                <w:color w:val="auto"/>
                <w:highlight w:val="none"/>
              </w:rPr>
            </w:pPr>
          </w:p>
        </w:tc>
        <w:tc>
          <w:tcPr>
            <w:tcW w:w="701" w:type="dxa"/>
            <w:vAlign w:val="center"/>
          </w:tcPr>
          <w:p w14:paraId="7BA14AE2">
            <w:pPr>
              <w:jc w:val="center"/>
              <w:rPr>
                <w:color w:val="auto"/>
                <w:highlight w:val="none"/>
              </w:rPr>
            </w:pPr>
          </w:p>
        </w:tc>
        <w:tc>
          <w:tcPr>
            <w:tcW w:w="997" w:type="dxa"/>
            <w:vAlign w:val="center"/>
          </w:tcPr>
          <w:p w14:paraId="0D9D5222">
            <w:pPr>
              <w:jc w:val="center"/>
              <w:rPr>
                <w:color w:val="auto"/>
                <w:highlight w:val="none"/>
              </w:rPr>
            </w:pPr>
          </w:p>
        </w:tc>
        <w:tc>
          <w:tcPr>
            <w:tcW w:w="738" w:type="dxa"/>
            <w:vAlign w:val="center"/>
          </w:tcPr>
          <w:p w14:paraId="58E4AFDC">
            <w:pPr>
              <w:jc w:val="center"/>
              <w:rPr>
                <w:color w:val="auto"/>
                <w:highlight w:val="none"/>
              </w:rPr>
            </w:pPr>
          </w:p>
        </w:tc>
        <w:tc>
          <w:tcPr>
            <w:tcW w:w="946" w:type="dxa"/>
            <w:vMerge w:val="restart"/>
            <w:vAlign w:val="center"/>
          </w:tcPr>
          <w:p w14:paraId="19A52FB5">
            <w:pPr>
              <w:jc w:val="center"/>
              <w:rPr>
                <w:color w:val="auto"/>
                <w:highlight w:val="none"/>
              </w:rPr>
            </w:pPr>
          </w:p>
        </w:tc>
        <w:tc>
          <w:tcPr>
            <w:tcW w:w="841" w:type="dxa"/>
            <w:vAlign w:val="center"/>
          </w:tcPr>
          <w:p w14:paraId="5195BB83">
            <w:pPr>
              <w:jc w:val="center"/>
              <w:rPr>
                <w:color w:val="auto"/>
                <w:highlight w:val="none"/>
              </w:rPr>
            </w:pPr>
          </w:p>
        </w:tc>
        <w:tc>
          <w:tcPr>
            <w:tcW w:w="841" w:type="dxa"/>
            <w:vAlign w:val="center"/>
          </w:tcPr>
          <w:p w14:paraId="75D11BEF">
            <w:pPr>
              <w:jc w:val="center"/>
              <w:rPr>
                <w:color w:val="auto"/>
                <w:highlight w:val="none"/>
              </w:rPr>
            </w:pPr>
          </w:p>
        </w:tc>
        <w:tc>
          <w:tcPr>
            <w:tcW w:w="1528" w:type="dxa"/>
            <w:vAlign w:val="center"/>
          </w:tcPr>
          <w:p w14:paraId="7324611B">
            <w:pPr>
              <w:jc w:val="center"/>
              <w:rPr>
                <w:color w:val="auto"/>
                <w:highlight w:val="none"/>
              </w:rPr>
            </w:pPr>
          </w:p>
        </w:tc>
      </w:tr>
      <w:tr w14:paraId="6B62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14:paraId="0D3BC0C7">
            <w:pPr>
              <w:spacing w:after="120" w:afterLines="50"/>
              <w:jc w:val="center"/>
              <w:rPr>
                <w:rFonts w:ascii="宋体" w:hAnsi="宋体" w:cs="Arial"/>
                <w:color w:val="auto"/>
                <w:szCs w:val="21"/>
                <w:highlight w:val="none"/>
              </w:rPr>
            </w:pPr>
            <w:r>
              <w:rPr>
                <w:rFonts w:hint="eastAsia" w:ascii="宋体" w:hAnsi="宋体" w:cs="Arial"/>
                <w:color w:val="auto"/>
                <w:szCs w:val="21"/>
                <w:highlight w:val="none"/>
              </w:rPr>
              <w:t>2</w:t>
            </w:r>
          </w:p>
        </w:tc>
        <w:tc>
          <w:tcPr>
            <w:tcW w:w="1331" w:type="dxa"/>
            <w:vAlign w:val="center"/>
          </w:tcPr>
          <w:p w14:paraId="738F7462">
            <w:pPr>
              <w:spacing w:after="120" w:afterLines="50"/>
              <w:jc w:val="center"/>
              <w:rPr>
                <w:rFonts w:ascii="宋体" w:hAnsi="宋体" w:cs="Arial"/>
                <w:color w:val="auto"/>
                <w:szCs w:val="21"/>
                <w:highlight w:val="none"/>
              </w:rPr>
            </w:pPr>
          </w:p>
        </w:tc>
        <w:tc>
          <w:tcPr>
            <w:tcW w:w="701" w:type="dxa"/>
            <w:vAlign w:val="center"/>
          </w:tcPr>
          <w:p w14:paraId="4B274616">
            <w:pPr>
              <w:jc w:val="center"/>
              <w:rPr>
                <w:color w:val="auto"/>
                <w:highlight w:val="none"/>
              </w:rPr>
            </w:pPr>
          </w:p>
        </w:tc>
        <w:tc>
          <w:tcPr>
            <w:tcW w:w="997" w:type="dxa"/>
            <w:vAlign w:val="center"/>
          </w:tcPr>
          <w:p w14:paraId="3C338E96">
            <w:pPr>
              <w:jc w:val="center"/>
              <w:rPr>
                <w:color w:val="auto"/>
                <w:highlight w:val="none"/>
              </w:rPr>
            </w:pPr>
          </w:p>
        </w:tc>
        <w:tc>
          <w:tcPr>
            <w:tcW w:w="738" w:type="dxa"/>
            <w:vAlign w:val="center"/>
          </w:tcPr>
          <w:p w14:paraId="61671D27">
            <w:pPr>
              <w:jc w:val="center"/>
              <w:rPr>
                <w:color w:val="auto"/>
                <w:highlight w:val="none"/>
              </w:rPr>
            </w:pPr>
          </w:p>
        </w:tc>
        <w:tc>
          <w:tcPr>
            <w:tcW w:w="946" w:type="dxa"/>
            <w:vMerge w:val="continue"/>
            <w:vAlign w:val="center"/>
          </w:tcPr>
          <w:p w14:paraId="295F25E3">
            <w:pPr>
              <w:jc w:val="center"/>
              <w:rPr>
                <w:color w:val="auto"/>
                <w:highlight w:val="none"/>
              </w:rPr>
            </w:pPr>
          </w:p>
        </w:tc>
        <w:tc>
          <w:tcPr>
            <w:tcW w:w="841" w:type="dxa"/>
            <w:vAlign w:val="center"/>
          </w:tcPr>
          <w:p w14:paraId="35605958">
            <w:pPr>
              <w:jc w:val="center"/>
              <w:rPr>
                <w:color w:val="auto"/>
                <w:highlight w:val="none"/>
              </w:rPr>
            </w:pPr>
          </w:p>
        </w:tc>
        <w:tc>
          <w:tcPr>
            <w:tcW w:w="841" w:type="dxa"/>
            <w:vAlign w:val="center"/>
          </w:tcPr>
          <w:p w14:paraId="64C7701E">
            <w:pPr>
              <w:jc w:val="center"/>
              <w:rPr>
                <w:color w:val="auto"/>
                <w:highlight w:val="none"/>
              </w:rPr>
            </w:pPr>
          </w:p>
        </w:tc>
        <w:tc>
          <w:tcPr>
            <w:tcW w:w="1528" w:type="dxa"/>
            <w:vAlign w:val="center"/>
          </w:tcPr>
          <w:p w14:paraId="36ECFE8F">
            <w:pPr>
              <w:jc w:val="center"/>
              <w:rPr>
                <w:color w:val="auto"/>
                <w:highlight w:val="none"/>
              </w:rPr>
            </w:pPr>
          </w:p>
        </w:tc>
      </w:tr>
      <w:tr w14:paraId="7D82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2F1C8AC2">
            <w:pPr>
              <w:jc w:val="center"/>
              <w:rPr>
                <w:color w:val="auto"/>
                <w:highlight w:val="none"/>
              </w:rPr>
            </w:pPr>
            <w:r>
              <w:rPr>
                <w:rFonts w:hint="eastAsia"/>
                <w:color w:val="auto"/>
                <w:highlight w:val="none"/>
              </w:rPr>
              <w:t>3</w:t>
            </w:r>
          </w:p>
        </w:tc>
        <w:tc>
          <w:tcPr>
            <w:tcW w:w="1331" w:type="dxa"/>
            <w:vAlign w:val="center"/>
          </w:tcPr>
          <w:p w14:paraId="52850448">
            <w:pPr>
              <w:jc w:val="center"/>
              <w:rPr>
                <w:color w:val="auto"/>
                <w:highlight w:val="none"/>
              </w:rPr>
            </w:pPr>
          </w:p>
        </w:tc>
        <w:tc>
          <w:tcPr>
            <w:tcW w:w="701" w:type="dxa"/>
            <w:vAlign w:val="center"/>
          </w:tcPr>
          <w:p w14:paraId="3AC1F421">
            <w:pPr>
              <w:jc w:val="center"/>
              <w:rPr>
                <w:color w:val="auto"/>
                <w:highlight w:val="none"/>
              </w:rPr>
            </w:pPr>
          </w:p>
        </w:tc>
        <w:tc>
          <w:tcPr>
            <w:tcW w:w="997" w:type="dxa"/>
            <w:vAlign w:val="center"/>
          </w:tcPr>
          <w:p w14:paraId="282A7684">
            <w:pPr>
              <w:jc w:val="center"/>
              <w:rPr>
                <w:color w:val="auto"/>
                <w:highlight w:val="none"/>
              </w:rPr>
            </w:pPr>
          </w:p>
        </w:tc>
        <w:tc>
          <w:tcPr>
            <w:tcW w:w="738" w:type="dxa"/>
            <w:vAlign w:val="center"/>
          </w:tcPr>
          <w:p w14:paraId="2F1A714B">
            <w:pPr>
              <w:jc w:val="center"/>
              <w:rPr>
                <w:color w:val="auto"/>
                <w:highlight w:val="none"/>
              </w:rPr>
            </w:pPr>
          </w:p>
        </w:tc>
        <w:tc>
          <w:tcPr>
            <w:tcW w:w="946" w:type="dxa"/>
            <w:vMerge w:val="continue"/>
            <w:vAlign w:val="center"/>
          </w:tcPr>
          <w:p w14:paraId="4D936AD9">
            <w:pPr>
              <w:jc w:val="center"/>
              <w:rPr>
                <w:color w:val="auto"/>
                <w:highlight w:val="none"/>
              </w:rPr>
            </w:pPr>
          </w:p>
        </w:tc>
        <w:tc>
          <w:tcPr>
            <w:tcW w:w="841" w:type="dxa"/>
            <w:vAlign w:val="center"/>
          </w:tcPr>
          <w:p w14:paraId="3F08C1F1">
            <w:pPr>
              <w:jc w:val="center"/>
              <w:rPr>
                <w:color w:val="auto"/>
                <w:highlight w:val="none"/>
              </w:rPr>
            </w:pPr>
          </w:p>
        </w:tc>
        <w:tc>
          <w:tcPr>
            <w:tcW w:w="841" w:type="dxa"/>
            <w:vAlign w:val="center"/>
          </w:tcPr>
          <w:p w14:paraId="2483C72F">
            <w:pPr>
              <w:jc w:val="center"/>
              <w:rPr>
                <w:color w:val="auto"/>
                <w:highlight w:val="none"/>
              </w:rPr>
            </w:pPr>
          </w:p>
        </w:tc>
        <w:tc>
          <w:tcPr>
            <w:tcW w:w="1528" w:type="dxa"/>
            <w:vAlign w:val="center"/>
          </w:tcPr>
          <w:p w14:paraId="0424D7F8">
            <w:pPr>
              <w:jc w:val="center"/>
              <w:rPr>
                <w:color w:val="auto"/>
                <w:highlight w:val="none"/>
              </w:rPr>
            </w:pPr>
          </w:p>
        </w:tc>
      </w:tr>
      <w:tr w14:paraId="6D76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2BF883D5">
            <w:pPr>
              <w:jc w:val="center"/>
              <w:rPr>
                <w:rFonts w:ascii="宋体" w:hAnsi="宋体" w:cs="Arial"/>
                <w:color w:val="auto"/>
                <w:szCs w:val="21"/>
                <w:highlight w:val="none"/>
              </w:rPr>
            </w:pPr>
            <w:r>
              <w:rPr>
                <w:rFonts w:hint="eastAsia" w:ascii="宋体" w:hAnsi="宋体" w:cs="Arial"/>
                <w:color w:val="auto"/>
                <w:szCs w:val="21"/>
                <w:highlight w:val="none"/>
              </w:rPr>
              <w:t>4</w:t>
            </w:r>
          </w:p>
        </w:tc>
        <w:tc>
          <w:tcPr>
            <w:tcW w:w="1331" w:type="dxa"/>
            <w:vAlign w:val="center"/>
          </w:tcPr>
          <w:p w14:paraId="53C34254">
            <w:pPr>
              <w:jc w:val="center"/>
              <w:rPr>
                <w:rFonts w:ascii="宋体" w:hAnsi="宋体" w:cs="Arial"/>
                <w:color w:val="auto"/>
                <w:szCs w:val="21"/>
                <w:highlight w:val="none"/>
              </w:rPr>
            </w:pPr>
          </w:p>
        </w:tc>
        <w:tc>
          <w:tcPr>
            <w:tcW w:w="701" w:type="dxa"/>
            <w:vAlign w:val="center"/>
          </w:tcPr>
          <w:p w14:paraId="4757F496">
            <w:pPr>
              <w:jc w:val="center"/>
              <w:rPr>
                <w:color w:val="auto"/>
                <w:highlight w:val="none"/>
              </w:rPr>
            </w:pPr>
          </w:p>
        </w:tc>
        <w:tc>
          <w:tcPr>
            <w:tcW w:w="997" w:type="dxa"/>
            <w:vAlign w:val="center"/>
          </w:tcPr>
          <w:p w14:paraId="5F22611A">
            <w:pPr>
              <w:jc w:val="center"/>
              <w:rPr>
                <w:color w:val="auto"/>
                <w:highlight w:val="none"/>
              </w:rPr>
            </w:pPr>
          </w:p>
        </w:tc>
        <w:tc>
          <w:tcPr>
            <w:tcW w:w="738" w:type="dxa"/>
            <w:vAlign w:val="center"/>
          </w:tcPr>
          <w:p w14:paraId="56941447">
            <w:pPr>
              <w:jc w:val="center"/>
              <w:rPr>
                <w:color w:val="auto"/>
                <w:highlight w:val="none"/>
              </w:rPr>
            </w:pPr>
          </w:p>
        </w:tc>
        <w:tc>
          <w:tcPr>
            <w:tcW w:w="946" w:type="dxa"/>
            <w:vMerge w:val="continue"/>
            <w:vAlign w:val="center"/>
          </w:tcPr>
          <w:p w14:paraId="2A5121CF">
            <w:pPr>
              <w:jc w:val="center"/>
              <w:rPr>
                <w:color w:val="auto"/>
                <w:highlight w:val="none"/>
              </w:rPr>
            </w:pPr>
          </w:p>
        </w:tc>
        <w:tc>
          <w:tcPr>
            <w:tcW w:w="841" w:type="dxa"/>
            <w:vAlign w:val="center"/>
          </w:tcPr>
          <w:p w14:paraId="20522B44">
            <w:pPr>
              <w:jc w:val="center"/>
              <w:rPr>
                <w:color w:val="auto"/>
                <w:highlight w:val="none"/>
              </w:rPr>
            </w:pPr>
          </w:p>
        </w:tc>
        <w:tc>
          <w:tcPr>
            <w:tcW w:w="841" w:type="dxa"/>
            <w:vAlign w:val="center"/>
          </w:tcPr>
          <w:p w14:paraId="4C515D6E">
            <w:pPr>
              <w:jc w:val="center"/>
              <w:rPr>
                <w:color w:val="auto"/>
                <w:highlight w:val="none"/>
              </w:rPr>
            </w:pPr>
          </w:p>
        </w:tc>
        <w:tc>
          <w:tcPr>
            <w:tcW w:w="1528" w:type="dxa"/>
            <w:vAlign w:val="center"/>
          </w:tcPr>
          <w:p w14:paraId="0AE1A405">
            <w:pPr>
              <w:jc w:val="center"/>
              <w:rPr>
                <w:color w:val="auto"/>
                <w:highlight w:val="none"/>
              </w:rPr>
            </w:pPr>
          </w:p>
        </w:tc>
      </w:tr>
      <w:tr w14:paraId="36D4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14:paraId="6638A1AB">
            <w:pPr>
              <w:jc w:val="center"/>
              <w:rPr>
                <w:color w:val="auto"/>
                <w:highlight w:val="none"/>
              </w:rPr>
            </w:pPr>
            <w:r>
              <w:rPr>
                <w:rFonts w:hint="eastAsia"/>
                <w:color w:val="auto"/>
                <w:highlight w:val="none"/>
              </w:rPr>
              <w:t>5</w:t>
            </w:r>
          </w:p>
        </w:tc>
        <w:tc>
          <w:tcPr>
            <w:tcW w:w="1331" w:type="dxa"/>
            <w:vAlign w:val="center"/>
          </w:tcPr>
          <w:p w14:paraId="222D00A6">
            <w:pPr>
              <w:jc w:val="center"/>
              <w:rPr>
                <w:color w:val="auto"/>
                <w:highlight w:val="none"/>
              </w:rPr>
            </w:pPr>
          </w:p>
        </w:tc>
        <w:tc>
          <w:tcPr>
            <w:tcW w:w="701" w:type="dxa"/>
            <w:vAlign w:val="center"/>
          </w:tcPr>
          <w:p w14:paraId="09D7305C">
            <w:pPr>
              <w:jc w:val="center"/>
              <w:rPr>
                <w:color w:val="auto"/>
                <w:highlight w:val="none"/>
              </w:rPr>
            </w:pPr>
          </w:p>
        </w:tc>
        <w:tc>
          <w:tcPr>
            <w:tcW w:w="997" w:type="dxa"/>
            <w:vAlign w:val="center"/>
          </w:tcPr>
          <w:p w14:paraId="7A401D34">
            <w:pPr>
              <w:jc w:val="center"/>
              <w:rPr>
                <w:color w:val="auto"/>
                <w:highlight w:val="none"/>
              </w:rPr>
            </w:pPr>
          </w:p>
        </w:tc>
        <w:tc>
          <w:tcPr>
            <w:tcW w:w="738" w:type="dxa"/>
            <w:vAlign w:val="center"/>
          </w:tcPr>
          <w:p w14:paraId="3CFB8584">
            <w:pPr>
              <w:jc w:val="center"/>
              <w:rPr>
                <w:color w:val="auto"/>
                <w:highlight w:val="none"/>
              </w:rPr>
            </w:pPr>
          </w:p>
        </w:tc>
        <w:tc>
          <w:tcPr>
            <w:tcW w:w="946" w:type="dxa"/>
            <w:vMerge w:val="continue"/>
            <w:vAlign w:val="center"/>
          </w:tcPr>
          <w:p w14:paraId="5D67D650">
            <w:pPr>
              <w:jc w:val="center"/>
              <w:rPr>
                <w:color w:val="auto"/>
                <w:highlight w:val="none"/>
              </w:rPr>
            </w:pPr>
          </w:p>
        </w:tc>
        <w:tc>
          <w:tcPr>
            <w:tcW w:w="841" w:type="dxa"/>
            <w:vAlign w:val="center"/>
          </w:tcPr>
          <w:p w14:paraId="0864DE37">
            <w:pPr>
              <w:jc w:val="center"/>
              <w:rPr>
                <w:color w:val="auto"/>
                <w:highlight w:val="none"/>
              </w:rPr>
            </w:pPr>
          </w:p>
        </w:tc>
        <w:tc>
          <w:tcPr>
            <w:tcW w:w="841" w:type="dxa"/>
            <w:vAlign w:val="center"/>
          </w:tcPr>
          <w:p w14:paraId="677F9B13">
            <w:pPr>
              <w:jc w:val="center"/>
              <w:rPr>
                <w:color w:val="auto"/>
                <w:highlight w:val="none"/>
              </w:rPr>
            </w:pPr>
          </w:p>
        </w:tc>
        <w:tc>
          <w:tcPr>
            <w:tcW w:w="1528" w:type="dxa"/>
            <w:vAlign w:val="center"/>
          </w:tcPr>
          <w:p w14:paraId="24C9D602">
            <w:pPr>
              <w:jc w:val="center"/>
              <w:rPr>
                <w:color w:val="auto"/>
                <w:highlight w:val="none"/>
              </w:rPr>
            </w:pPr>
          </w:p>
        </w:tc>
      </w:tr>
      <w:tr w14:paraId="7530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7F42DBBD">
            <w:pPr>
              <w:jc w:val="center"/>
              <w:rPr>
                <w:color w:val="auto"/>
                <w:highlight w:val="none"/>
              </w:rPr>
            </w:pPr>
            <w:r>
              <w:rPr>
                <w:rFonts w:hint="eastAsia"/>
                <w:color w:val="auto"/>
                <w:highlight w:val="none"/>
              </w:rPr>
              <w:t>6</w:t>
            </w:r>
          </w:p>
        </w:tc>
        <w:tc>
          <w:tcPr>
            <w:tcW w:w="1331" w:type="dxa"/>
            <w:vAlign w:val="center"/>
          </w:tcPr>
          <w:p w14:paraId="70041A7C">
            <w:pPr>
              <w:jc w:val="center"/>
              <w:rPr>
                <w:color w:val="auto"/>
                <w:highlight w:val="none"/>
              </w:rPr>
            </w:pPr>
          </w:p>
        </w:tc>
        <w:tc>
          <w:tcPr>
            <w:tcW w:w="701" w:type="dxa"/>
            <w:vAlign w:val="center"/>
          </w:tcPr>
          <w:p w14:paraId="74B1E1C2">
            <w:pPr>
              <w:jc w:val="center"/>
              <w:rPr>
                <w:color w:val="auto"/>
                <w:highlight w:val="none"/>
              </w:rPr>
            </w:pPr>
          </w:p>
        </w:tc>
        <w:tc>
          <w:tcPr>
            <w:tcW w:w="997" w:type="dxa"/>
            <w:vAlign w:val="center"/>
          </w:tcPr>
          <w:p w14:paraId="16187280">
            <w:pPr>
              <w:jc w:val="center"/>
              <w:rPr>
                <w:color w:val="auto"/>
                <w:highlight w:val="none"/>
              </w:rPr>
            </w:pPr>
          </w:p>
        </w:tc>
        <w:tc>
          <w:tcPr>
            <w:tcW w:w="738" w:type="dxa"/>
            <w:vAlign w:val="center"/>
          </w:tcPr>
          <w:p w14:paraId="33636F2F">
            <w:pPr>
              <w:jc w:val="center"/>
              <w:rPr>
                <w:color w:val="auto"/>
                <w:highlight w:val="none"/>
              </w:rPr>
            </w:pPr>
          </w:p>
        </w:tc>
        <w:tc>
          <w:tcPr>
            <w:tcW w:w="946" w:type="dxa"/>
            <w:vMerge w:val="continue"/>
            <w:vAlign w:val="center"/>
          </w:tcPr>
          <w:p w14:paraId="5D4C600F">
            <w:pPr>
              <w:jc w:val="center"/>
              <w:rPr>
                <w:color w:val="auto"/>
                <w:highlight w:val="none"/>
              </w:rPr>
            </w:pPr>
          </w:p>
        </w:tc>
        <w:tc>
          <w:tcPr>
            <w:tcW w:w="841" w:type="dxa"/>
            <w:vAlign w:val="center"/>
          </w:tcPr>
          <w:p w14:paraId="6701BFC1">
            <w:pPr>
              <w:jc w:val="center"/>
              <w:rPr>
                <w:color w:val="auto"/>
                <w:highlight w:val="none"/>
              </w:rPr>
            </w:pPr>
          </w:p>
        </w:tc>
        <w:tc>
          <w:tcPr>
            <w:tcW w:w="841" w:type="dxa"/>
            <w:vAlign w:val="center"/>
          </w:tcPr>
          <w:p w14:paraId="44AF921B">
            <w:pPr>
              <w:jc w:val="center"/>
              <w:rPr>
                <w:color w:val="auto"/>
                <w:highlight w:val="none"/>
              </w:rPr>
            </w:pPr>
          </w:p>
        </w:tc>
        <w:tc>
          <w:tcPr>
            <w:tcW w:w="1528" w:type="dxa"/>
            <w:vAlign w:val="center"/>
          </w:tcPr>
          <w:p w14:paraId="2E82D50A">
            <w:pPr>
              <w:jc w:val="center"/>
              <w:rPr>
                <w:color w:val="auto"/>
                <w:highlight w:val="none"/>
              </w:rPr>
            </w:pPr>
          </w:p>
        </w:tc>
      </w:tr>
      <w:tr w14:paraId="6D46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0820719E">
            <w:pPr>
              <w:jc w:val="center"/>
              <w:rPr>
                <w:color w:val="auto"/>
                <w:highlight w:val="none"/>
              </w:rPr>
            </w:pPr>
            <w:r>
              <w:rPr>
                <w:rFonts w:hint="eastAsia" w:ascii="宋体" w:hAnsi="宋体"/>
                <w:color w:val="auto"/>
                <w:szCs w:val="44"/>
                <w:highlight w:val="none"/>
              </w:rPr>
              <w:t>…</w:t>
            </w:r>
          </w:p>
        </w:tc>
        <w:tc>
          <w:tcPr>
            <w:tcW w:w="1331" w:type="dxa"/>
            <w:vAlign w:val="center"/>
          </w:tcPr>
          <w:p w14:paraId="216C1FD4">
            <w:pPr>
              <w:jc w:val="center"/>
              <w:rPr>
                <w:color w:val="auto"/>
                <w:highlight w:val="none"/>
              </w:rPr>
            </w:pPr>
          </w:p>
        </w:tc>
        <w:tc>
          <w:tcPr>
            <w:tcW w:w="701" w:type="dxa"/>
            <w:vAlign w:val="center"/>
          </w:tcPr>
          <w:p w14:paraId="482A5B2C">
            <w:pPr>
              <w:jc w:val="center"/>
              <w:rPr>
                <w:color w:val="auto"/>
                <w:highlight w:val="none"/>
              </w:rPr>
            </w:pPr>
          </w:p>
        </w:tc>
        <w:tc>
          <w:tcPr>
            <w:tcW w:w="997" w:type="dxa"/>
            <w:vAlign w:val="center"/>
          </w:tcPr>
          <w:p w14:paraId="57A9F7A6">
            <w:pPr>
              <w:jc w:val="center"/>
              <w:rPr>
                <w:color w:val="auto"/>
                <w:highlight w:val="none"/>
              </w:rPr>
            </w:pPr>
          </w:p>
        </w:tc>
        <w:tc>
          <w:tcPr>
            <w:tcW w:w="738" w:type="dxa"/>
            <w:vAlign w:val="center"/>
          </w:tcPr>
          <w:p w14:paraId="2AF3D7E7">
            <w:pPr>
              <w:jc w:val="center"/>
              <w:rPr>
                <w:color w:val="auto"/>
                <w:highlight w:val="none"/>
              </w:rPr>
            </w:pPr>
          </w:p>
        </w:tc>
        <w:tc>
          <w:tcPr>
            <w:tcW w:w="946" w:type="dxa"/>
            <w:vMerge w:val="continue"/>
            <w:vAlign w:val="center"/>
          </w:tcPr>
          <w:p w14:paraId="2E0AB6FE">
            <w:pPr>
              <w:jc w:val="center"/>
              <w:rPr>
                <w:color w:val="auto"/>
                <w:highlight w:val="none"/>
              </w:rPr>
            </w:pPr>
          </w:p>
        </w:tc>
        <w:tc>
          <w:tcPr>
            <w:tcW w:w="841" w:type="dxa"/>
            <w:vAlign w:val="center"/>
          </w:tcPr>
          <w:p w14:paraId="343A51E6">
            <w:pPr>
              <w:jc w:val="center"/>
              <w:rPr>
                <w:color w:val="auto"/>
                <w:highlight w:val="none"/>
              </w:rPr>
            </w:pPr>
          </w:p>
        </w:tc>
        <w:tc>
          <w:tcPr>
            <w:tcW w:w="841" w:type="dxa"/>
            <w:vAlign w:val="center"/>
          </w:tcPr>
          <w:p w14:paraId="04B44D8A">
            <w:pPr>
              <w:jc w:val="center"/>
              <w:rPr>
                <w:color w:val="auto"/>
                <w:highlight w:val="none"/>
              </w:rPr>
            </w:pPr>
          </w:p>
        </w:tc>
        <w:tc>
          <w:tcPr>
            <w:tcW w:w="1528" w:type="dxa"/>
            <w:vAlign w:val="center"/>
          </w:tcPr>
          <w:p w14:paraId="4FE3FA06">
            <w:pPr>
              <w:jc w:val="center"/>
              <w:rPr>
                <w:color w:val="auto"/>
                <w:highlight w:val="none"/>
              </w:rPr>
            </w:pPr>
          </w:p>
        </w:tc>
      </w:tr>
      <w:tr w14:paraId="2749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14:paraId="1BD50F17">
            <w:pPr>
              <w:rPr>
                <w:color w:val="auto"/>
                <w:highlight w:val="none"/>
              </w:rPr>
            </w:pPr>
          </w:p>
          <w:p w14:paraId="32E23303">
            <w:pPr>
              <w:jc w:val="left"/>
              <w:rPr>
                <w:rFonts w:ascii="宋体" w:hAnsi="宋体"/>
                <w:color w:val="auto"/>
                <w:szCs w:val="44"/>
                <w:highlight w:val="none"/>
              </w:rPr>
            </w:pPr>
            <w:r>
              <w:rPr>
                <w:rFonts w:hint="eastAsia" w:ascii="宋体" w:hAnsi="宋体"/>
                <w:color w:val="auto"/>
                <w:szCs w:val="44"/>
                <w:highlight w:val="none"/>
              </w:rPr>
              <w:t xml:space="preserve">经济标评委签名： </w:t>
            </w:r>
          </w:p>
          <w:p w14:paraId="53696F87">
            <w:pPr>
              <w:jc w:val="center"/>
              <w:rPr>
                <w:rFonts w:ascii="宋体" w:hAnsi="宋体"/>
                <w:color w:val="auto"/>
                <w:szCs w:val="44"/>
                <w:highlight w:val="none"/>
              </w:rPr>
            </w:pPr>
          </w:p>
          <w:p w14:paraId="2656EC02">
            <w:pPr>
              <w:jc w:val="center"/>
              <w:rPr>
                <w:rFonts w:ascii="宋体" w:hAnsi="宋体"/>
                <w:color w:val="auto"/>
                <w:szCs w:val="44"/>
                <w:highlight w:val="none"/>
              </w:rPr>
            </w:pPr>
          </w:p>
          <w:p w14:paraId="2DD1140E">
            <w:pPr>
              <w:jc w:val="center"/>
              <w:rPr>
                <w:rFonts w:ascii="宋体" w:hAnsi="宋体"/>
                <w:color w:val="auto"/>
                <w:szCs w:val="44"/>
                <w:highlight w:val="none"/>
              </w:rPr>
            </w:pPr>
          </w:p>
          <w:p w14:paraId="33FF6DA5">
            <w:pPr>
              <w:jc w:val="center"/>
              <w:rPr>
                <w:rFonts w:ascii="宋体" w:hAnsi="宋体"/>
                <w:color w:val="auto"/>
                <w:szCs w:val="44"/>
                <w:highlight w:val="none"/>
              </w:rPr>
            </w:pPr>
          </w:p>
          <w:p w14:paraId="4029E937">
            <w:pPr>
              <w:jc w:val="center"/>
              <w:rPr>
                <w:color w:val="auto"/>
                <w:highlight w:val="none"/>
              </w:rPr>
            </w:pPr>
          </w:p>
        </w:tc>
      </w:tr>
    </w:tbl>
    <w:p w14:paraId="77AD26A7">
      <w:pPr>
        <w:rPr>
          <w:rFonts w:ascii="宋体" w:hAnsi="宋体"/>
          <w:color w:val="auto"/>
          <w:szCs w:val="44"/>
          <w:highlight w:val="none"/>
        </w:rPr>
        <w:sectPr>
          <w:pgSz w:w="11906" w:h="16838"/>
          <w:pgMar w:top="1440" w:right="1797" w:bottom="1440" w:left="1797" w:header="851" w:footer="851" w:gutter="0"/>
          <w:cols w:space="720" w:num="1"/>
          <w:docGrid w:linePitch="312" w:charSpace="0"/>
        </w:sect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bookmarkEnd w:id="568"/>
    <w:p w14:paraId="0245DDBC">
      <w:pPr>
        <w:pStyle w:val="25"/>
        <w:rPr>
          <w:color w:val="auto"/>
          <w:highlight w:val="none"/>
        </w:rPr>
      </w:pPr>
      <w:bookmarkStart w:id="569" w:name="_Toc1311"/>
      <w:bookmarkStart w:id="570" w:name="_Toc15680"/>
      <w:bookmarkStart w:id="571" w:name="_Toc2174"/>
      <w:bookmarkStart w:id="572" w:name="_Toc165804457"/>
      <w:bookmarkStart w:id="573" w:name="_Toc256000140"/>
      <w:bookmarkStart w:id="574" w:name="_Toc14293"/>
      <w:r>
        <w:rPr>
          <w:rFonts w:hint="eastAsia"/>
          <w:color w:val="auto"/>
          <w:highlight w:val="none"/>
        </w:rPr>
        <w:t>附表A-</w:t>
      </w:r>
      <w:r>
        <w:rPr>
          <w:color w:val="auto"/>
          <w:highlight w:val="none"/>
        </w:rPr>
        <w:t>11</w:t>
      </w:r>
      <w:r>
        <w:rPr>
          <w:rFonts w:hint="eastAsia"/>
          <w:color w:val="auto"/>
          <w:highlight w:val="none"/>
        </w:rPr>
        <w:t>：技术标评审记录表（评分）</w:t>
      </w:r>
      <w:bookmarkEnd w:id="569"/>
      <w:bookmarkEnd w:id="570"/>
      <w:bookmarkEnd w:id="571"/>
      <w:bookmarkEnd w:id="572"/>
      <w:bookmarkEnd w:id="573"/>
      <w:bookmarkEnd w:id="574"/>
    </w:p>
    <w:p w14:paraId="01F31679">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14:paraId="5C1AF789">
      <w:pPr>
        <w:rPr>
          <w:rFonts w:ascii="宋体" w:hAnsi="宋体"/>
          <w:color w:val="auto"/>
          <w:szCs w:val="44"/>
          <w:highlight w:val="none"/>
        </w:rPr>
      </w:pPr>
      <w:bookmarkStart w:id="575" w:name="_Hlk150332918"/>
      <w:r>
        <w:rPr>
          <w:rFonts w:hint="eastAsia" w:ascii="宋体" w:hAnsi="宋体"/>
          <w:color w:val="auto"/>
          <w:szCs w:val="44"/>
          <w:highlight w:val="none"/>
        </w:rPr>
        <w:t>标段名称：</w:t>
      </w:r>
    </w:p>
    <w:p w14:paraId="4C184F41">
      <w:pPr>
        <w:rPr>
          <w:color w:val="auto"/>
          <w:szCs w:val="44"/>
          <w:highlight w:val="none"/>
        </w:rPr>
      </w:pPr>
      <w:r>
        <w:rPr>
          <w:rFonts w:hint="eastAsia"/>
          <w:color w:val="auto"/>
          <w:szCs w:val="44"/>
          <w:highlight w:val="none"/>
        </w:rPr>
        <w:t>标段唯一标识码：</w:t>
      </w:r>
    </w:p>
    <w:tbl>
      <w:tblPr>
        <w:tblStyle w:val="12"/>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14:paraId="69ED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14:paraId="10652D7B">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790" w:type="dxa"/>
            <w:vMerge w:val="restart"/>
            <w:vAlign w:val="center"/>
          </w:tcPr>
          <w:p w14:paraId="48EE33D9">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401" w:type="dxa"/>
            <w:gridSpan w:val="7"/>
            <w:vAlign w:val="center"/>
          </w:tcPr>
          <w:p w14:paraId="4C85C7F6">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1774" w:type="dxa"/>
            <w:vMerge w:val="restart"/>
            <w:vAlign w:val="center"/>
          </w:tcPr>
          <w:p w14:paraId="4781C8A1">
            <w:pPr>
              <w:jc w:val="center"/>
              <w:rPr>
                <w:rFonts w:ascii="宋体" w:hAnsi="宋体"/>
                <w:b/>
                <w:bCs/>
                <w:color w:val="auto"/>
                <w:szCs w:val="44"/>
                <w:highlight w:val="none"/>
              </w:rPr>
            </w:pPr>
            <w:r>
              <w:rPr>
                <w:rFonts w:hint="eastAsia"/>
                <w:b/>
                <w:bCs/>
                <w:color w:val="auto"/>
                <w:highlight w:val="none"/>
              </w:rPr>
              <w:t>技术标</w:t>
            </w:r>
            <w:r>
              <w:rPr>
                <w:rFonts w:hint="eastAsia" w:ascii="宋体" w:hAnsi="宋体"/>
                <w:b/>
                <w:bCs/>
                <w:color w:val="auto"/>
                <w:szCs w:val="44"/>
                <w:highlight w:val="none"/>
              </w:rPr>
              <w:t>最终得分</w:t>
            </w:r>
          </w:p>
        </w:tc>
      </w:tr>
      <w:tr w14:paraId="4567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14:paraId="4EE9A620">
            <w:pPr>
              <w:jc w:val="center"/>
              <w:rPr>
                <w:rFonts w:ascii="宋体" w:hAnsi="宋体"/>
                <w:b/>
                <w:bCs/>
                <w:color w:val="auto"/>
                <w:szCs w:val="44"/>
                <w:highlight w:val="none"/>
              </w:rPr>
            </w:pPr>
          </w:p>
        </w:tc>
        <w:tc>
          <w:tcPr>
            <w:tcW w:w="1790" w:type="dxa"/>
            <w:vMerge w:val="continue"/>
          </w:tcPr>
          <w:p w14:paraId="32164597">
            <w:pPr>
              <w:jc w:val="center"/>
              <w:rPr>
                <w:rFonts w:ascii="宋体" w:hAnsi="宋体"/>
                <w:b/>
                <w:bCs/>
                <w:color w:val="auto"/>
                <w:szCs w:val="44"/>
                <w:highlight w:val="none"/>
              </w:rPr>
            </w:pPr>
          </w:p>
        </w:tc>
        <w:tc>
          <w:tcPr>
            <w:tcW w:w="1341" w:type="dxa"/>
            <w:vAlign w:val="center"/>
          </w:tcPr>
          <w:p w14:paraId="7C0A3657">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42" w:type="dxa"/>
            <w:vAlign w:val="center"/>
          </w:tcPr>
          <w:p w14:paraId="1599D635">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2" w:type="dxa"/>
            <w:vAlign w:val="center"/>
          </w:tcPr>
          <w:p w14:paraId="7B0A7132">
            <w:pPr>
              <w:jc w:val="center"/>
              <w:rPr>
                <w:rFonts w:ascii="宋体" w:hAnsi="宋体"/>
                <w:b/>
                <w:bCs/>
                <w:color w:val="auto"/>
                <w:szCs w:val="44"/>
                <w:highlight w:val="none"/>
              </w:rPr>
            </w:pPr>
            <w:r>
              <w:rPr>
                <w:rFonts w:ascii="宋体" w:hAnsi="宋体"/>
                <w:b/>
                <w:bCs/>
                <w:color w:val="auto"/>
                <w:szCs w:val="44"/>
                <w:highlight w:val="none"/>
              </w:rPr>
              <w:t>……</w:t>
            </w:r>
          </w:p>
        </w:tc>
        <w:tc>
          <w:tcPr>
            <w:tcW w:w="1341" w:type="dxa"/>
            <w:vAlign w:val="center"/>
          </w:tcPr>
          <w:p w14:paraId="51D539F0">
            <w:pPr>
              <w:jc w:val="center"/>
              <w:rPr>
                <w:rFonts w:ascii="宋体" w:hAnsi="宋体"/>
                <w:b/>
                <w:bCs/>
                <w:color w:val="auto"/>
                <w:szCs w:val="44"/>
                <w:highlight w:val="none"/>
              </w:rPr>
            </w:pPr>
          </w:p>
        </w:tc>
        <w:tc>
          <w:tcPr>
            <w:tcW w:w="1342" w:type="dxa"/>
            <w:vAlign w:val="center"/>
          </w:tcPr>
          <w:p w14:paraId="0B7B2405">
            <w:pPr>
              <w:jc w:val="center"/>
              <w:rPr>
                <w:rFonts w:ascii="宋体" w:hAnsi="宋体"/>
                <w:b/>
                <w:bCs/>
                <w:color w:val="auto"/>
                <w:szCs w:val="44"/>
                <w:highlight w:val="none"/>
              </w:rPr>
            </w:pPr>
          </w:p>
        </w:tc>
        <w:tc>
          <w:tcPr>
            <w:tcW w:w="1342" w:type="dxa"/>
            <w:vAlign w:val="center"/>
          </w:tcPr>
          <w:p w14:paraId="5A18A8A9">
            <w:pPr>
              <w:jc w:val="center"/>
              <w:rPr>
                <w:rFonts w:ascii="宋体" w:hAnsi="宋体"/>
                <w:b/>
                <w:bCs/>
                <w:color w:val="auto"/>
                <w:szCs w:val="44"/>
                <w:highlight w:val="none"/>
              </w:rPr>
            </w:pPr>
          </w:p>
        </w:tc>
        <w:tc>
          <w:tcPr>
            <w:tcW w:w="1351" w:type="dxa"/>
            <w:vAlign w:val="center"/>
          </w:tcPr>
          <w:p w14:paraId="3CCC6DE0">
            <w:pPr>
              <w:jc w:val="center"/>
              <w:rPr>
                <w:rFonts w:ascii="宋体" w:hAnsi="宋体"/>
                <w:b/>
                <w:bCs/>
                <w:color w:val="auto"/>
                <w:szCs w:val="44"/>
                <w:highlight w:val="none"/>
              </w:rPr>
            </w:pPr>
          </w:p>
        </w:tc>
        <w:tc>
          <w:tcPr>
            <w:tcW w:w="1774" w:type="dxa"/>
            <w:vMerge w:val="continue"/>
            <w:vAlign w:val="center"/>
          </w:tcPr>
          <w:p w14:paraId="5226F8DD">
            <w:pPr>
              <w:jc w:val="center"/>
              <w:rPr>
                <w:rFonts w:ascii="宋体" w:hAnsi="宋体"/>
                <w:b/>
                <w:bCs/>
                <w:color w:val="auto"/>
                <w:szCs w:val="44"/>
                <w:highlight w:val="none"/>
              </w:rPr>
            </w:pPr>
          </w:p>
        </w:tc>
      </w:tr>
      <w:tr w14:paraId="4BC1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422FD5DF">
            <w:pPr>
              <w:jc w:val="center"/>
              <w:rPr>
                <w:rFonts w:ascii="宋体" w:hAnsi="宋体"/>
                <w:color w:val="auto"/>
                <w:szCs w:val="44"/>
                <w:highlight w:val="none"/>
              </w:rPr>
            </w:pPr>
            <w:r>
              <w:rPr>
                <w:rFonts w:hint="eastAsia" w:ascii="宋体" w:hAnsi="宋体"/>
                <w:color w:val="auto"/>
                <w:szCs w:val="44"/>
                <w:highlight w:val="none"/>
              </w:rPr>
              <w:t>1</w:t>
            </w:r>
          </w:p>
        </w:tc>
        <w:tc>
          <w:tcPr>
            <w:tcW w:w="1790" w:type="dxa"/>
            <w:vAlign w:val="center"/>
          </w:tcPr>
          <w:p w14:paraId="160A8E6D">
            <w:pPr>
              <w:jc w:val="center"/>
              <w:rPr>
                <w:rFonts w:ascii="宋体" w:hAnsi="宋体"/>
                <w:color w:val="auto"/>
                <w:szCs w:val="21"/>
                <w:highlight w:val="none"/>
              </w:rPr>
            </w:pPr>
          </w:p>
        </w:tc>
        <w:tc>
          <w:tcPr>
            <w:tcW w:w="1341" w:type="dxa"/>
            <w:vAlign w:val="center"/>
          </w:tcPr>
          <w:p w14:paraId="5CF33A96">
            <w:pP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2" w:type="dxa"/>
            <w:vAlign w:val="center"/>
          </w:tcPr>
          <w:p w14:paraId="48257C14">
            <w:pPr>
              <w:jc w:val="center"/>
              <w:rPr>
                <w:rFonts w:ascii="宋体" w:hAnsi="宋体"/>
                <w:color w:val="auto"/>
                <w:szCs w:val="44"/>
                <w:highlight w:val="none"/>
              </w:rPr>
            </w:pPr>
          </w:p>
        </w:tc>
        <w:tc>
          <w:tcPr>
            <w:tcW w:w="1342" w:type="dxa"/>
            <w:vAlign w:val="center"/>
          </w:tcPr>
          <w:p w14:paraId="336CED4B">
            <w:pPr>
              <w:jc w:val="center"/>
              <w:rPr>
                <w:rFonts w:ascii="宋体" w:hAnsi="宋体"/>
                <w:color w:val="auto"/>
                <w:szCs w:val="44"/>
                <w:highlight w:val="none"/>
              </w:rPr>
            </w:pPr>
          </w:p>
        </w:tc>
        <w:tc>
          <w:tcPr>
            <w:tcW w:w="1341" w:type="dxa"/>
            <w:vAlign w:val="center"/>
          </w:tcPr>
          <w:p w14:paraId="11F84142">
            <w:pPr>
              <w:jc w:val="center"/>
              <w:rPr>
                <w:rFonts w:ascii="宋体" w:hAnsi="宋体"/>
                <w:color w:val="auto"/>
                <w:szCs w:val="44"/>
                <w:highlight w:val="none"/>
              </w:rPr>
            </w:pPr>
          </w:p>
        </w:tc>
        <w:tc>
          <w:tcPr>
            <w:tcW w:w="1342" w:type="dxa"/>
            <w:vAlign w:val="center"/>
          </w:tcPr>
          <w:p w14:paraId="01236A30">
            <w:pPr>
              <w:jc w:val="center"/>
              <w:rPr>
                <w:rFonts w:ascii="宋体" w:hAnsi="宋体"/>
                <w:color w:val="auto"/>
                <w:szCs w:val="44"/>
                <w:highlight w:val="none"/>
              </w:rPr>
            </w:pPr>
          </w:p>
        </w:tc>
        <w:tc>
          <w:tcPr>
            <w:tcW w:w="1342" w:type="dxa"/>
            <w:vAlign w:val="center"/>
          </w:tcPr>
          <w:p w14:paraId="55E6D131">
            <w:pPr>
              <w:jc w:val="center"/>
              <w:rPr>
                <w:rFonts w:ascii="宋体" w:hAnsi="宋体"/>
                <w:color w:val="auto"/>
                <w:szCs w:val="44"/>
                <w:highlight w:val="none"/>
              </w:rPr>
            </w:pPr>
          </w:p>
        </w:tc>
        <w:tc>
          <w:tcPr>
            <w:tcW w:w="1351" w:type="dxa"/>
            <w:vAlign w:val="center"/>
          </w:tcPr>
          <w:p w14:paraId="4B353977">
            <w:pPr>
              <w:jc w:val="center"/>
              <w:rPr>
                <w:rFonts w:ascii="宋体" w:hAnsi="宋体"/>
                <w:color w:val="auto"/>
                <w:szCs w:val="44"/>
                <w:highlight w:val="none"/>
              </w:rPr>
            </w:pPr>
          </w:p>
        </w:tc>
        <w:tc>
          <w:tcPr>
            <w:tcW w:w="1774" w:type="dxa"/>
            <w:vAlign w:val="center"/>
          </w:tcPr>
          <w:p w14:paraId="1259AB64">
            <w:pPr>
              <w:jc w:val="center"/>
              <w:rPr>
                <w:rFonts w:ascii="宋体" w:hAnsi="宋体"/>
                <w:color w:val="auto"/>
                <w:szCs w:val="44"/>
                <w:highlight w:val="none"/>
              </w:rPr>
            </w:pPr>
          </w:p>
        </w:tc>
      </w:tr>
      <w:tr w14:paraId="2E73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528A7DEC">
            <w:pPr>
              <w:jc w:val="center"/>
              <w:rPr>
                <w:rFonts w:ascii="宋体" w:hAnsi="宋体"/>
                <w:color w:val="auto"/>
                <w:szCs w:val="44"/>
                <w:highlight w:val="none"/>
              </w:rPr>
            </w:pPr>
            <w:r>
              <w:rPr>
                <w:rFonts w:hint="eastAsia" w:ascii="宋体" w:hAnsi="宋体"/>
                <w:color w:val="auto"/>
                <w:szCs w:val="44"/>
                <w:highlight w:val="none"/>
              </w:rPr>
              <w:t>2</w:t>
            </w:r>
          </w:p>
        </w:tc>
        <w:tc>
          <w:tcPr>
            <w:tcW w:w="1790" w:type="dxa"/>
            <w:vAlign w:val="center"/>
          </w:tcPr>
          <w:p w14:paraId="3FCE3B75">
            <w:pPr>
              <w:jc w:val="center"/>
              <w:rPr>
                <w:rFonts w:ascii="宋体" w:hAnsi="宋体"/>
                <w:color w:val="auto"/>
                <w:szCs w:val="44"/>
                <w:highlight w:val="none"/>
              </w:rPr>
            </w:pPr>
          </w:p>
        </w:tc>
        <w:tc>
          <w:tcPr>
            <w:tcW w:w="1341" w:type="dxa"/>
            <w:vAlign w:val="center"/>
          </w:tcPr>
          <w:p w14:paraId="5D4B04AE">
            <w:pPr>
              <w:jc w:val="center"/>
              <w:rPr>
                <w:color w:val="auto"/>
                <w:highlight w:val="none"/>
              </w:rPr>
            </w:pPr>
          </w:p>
        </w:tc>
        <w:tc>
          <w:tcPr>
            <w:tcW w:w="1342" w:type="dxa"/>
            <w:vAlign w:val="center"/>
          </w:tcPr>
          <w:p w14:paraId="0859FCE6">
            <w:pPr>
              <w:jc w:val="center"/>
              <w:rPr>
                <w:rFonts w:ascii="宋体" w:hAnsi="宋体"/>
                <w:color w:val="auto"/>
                <w:szCs w:val="44"/>
                <w:highlight w:val="none"/>
              </w:rPr>
            </w:pPr>
          </w:p>
        </w:tc>
        <w:tc>
          <w:tcPr>
            <w:tcW w:w="1342" w:type="dxa"/>
            <w:vAlign w:val="center"/>
          </w:tcPr>
          <w:p w14:paraId="6B0731DD">
            <w:pPr>
              <w:jc w:val="center"/>
              <w:rPr>
                <w:rFonts w:ascii="宋体" w:hAnsi="宋体"/>
                <w:color w:val="auto"/>
                <w:szCs w:val="44"/>
                <w:highlight w:val="none"/>
              </w:rPr>
            </w:pPr>
          </w:p>
        </w:tc>
        <w:tc>
          <w:tcPr>
            <w:tcW w:w="1341" w:type="dxa"/>
            <w:vAlign w:val="center"/>
          </w:tcPr>
          <w:p w14:paraId="694939C6">
            <w:pPr>
              <w:jc w:val="center"/>
              <w:rPr>
                <w:rFonts w:ascii="宋体" w:hAnsi="宋体"/>
                <w:color w:val="auto"/>
                <w:szCs w:val="44"/>
                <w:highlight w:val="none"/>
              </w:rPr>
            </w:pPr>
          </w:p>
        </w:tc>
        <w:tc>
          <w:tcPr>
            <w:tcW w:w="1342" w:type="dxa"/>
            <w:vAlign w:val="center"/>
          </w:tcPr>
          <w:p w14:paraId="7B08948E">
            <w:pPr>
              <w:jc w:val="center"/>
              <w:rPr>
                <w:rFonts w:ascii="宋体" w:hAnsi="宋体"/>
                <w:color w:val="auto"/>
                <w:szCs w:val="44"/>
                <w:highlight w:val="none"/>
              </w:rPr>
            </w:pPr>
          </w:p>
        </w:tc>
        <w:tc>
          <w:tcPr>
            <w:tcW w:w="1342" w:type="dxa"/>
            <w:vAlign w:val="center"/>
          </w:tcPr>
          <w:p w14:paraId="58C0111B">
            <w:pPr>
              <w:jc w:val="center"/>
              <w:rPr>
                <w:rFonts w:ascii="宋体" w:hAnsi="宋体"/>
                <w:color w:val="auto"/>
                <w:szCs w:val="44"/>
                <w:highlight w:val="none"/>
              </w:rPr>
            </w:pPr>
          </w:p>
        </w:tc>
        <w:tc>
          <w:tcPr>
            <w:tcW w:w="1351" w:type="dxa"/>
            <w:vAlign w:val="center"/>
          </w:tcPr>
          <w:p w14:paraId="69B5390F">
            <w:pPr>
              <w:jc w:val="center"/>
              <w:rPr>
                <w:rFonts w:ascii="宋体" w:hAnsi="宋体"/>
                <w:color w:val="auto"/>
                <w:szCs w:val="44"/>
                <w:highlight w:val="none"/>
              </w:rPr>
            </w:pPr>
          </w:p>
        </w:tc>
        <w:tc>
          <w:tcPr>
            <w:tcW w:w="1774" w:type="dxa"/>
            <w:vAlign w:val="center"/>
          </w:tcPr>
          <w:p w14:paraId="5B378608">
            <w:pPr>
              <w:jc w:val="center"/>
              <w:rPr>
                <w:rFonts w:ascii="宋体" w:hAnsi="宋体"/>
                <w:color w:val="auto"/>
                <w:szCs w:val="44"/>
                <w:highlight w:val="none"/>
              </w:rPr>
            </w:pPr>
          </w:p>
        </w:tc>
      </w:tr>
      <w:tr w14:paraId="29C9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21E123D5">
            <w:pPr>
              <w:jc w:val="center"/>
              <w:rPr>
                <w:rFonts w:ascii="宋体" w:hAnsi="宋体"/>
                <w:color w:val="auto"/>
                <w:szCs w:val="44"/>
                <w:highlight w:val="none"/>
              </w:rPr>
            </w:pPr>
            <w:r>
              <w:rPr>
                <w:rFonts w:hint="eastAsia" w:ascii="宋体" w:hAnsi="宋体"/>
                <w:color w:val="auto"/>
                <w:szCs w:val="44"/>
                <w:highlight w:val="none"/>
              </w:rPr>
              <w:t>3</w:t>
            </w:r>
          </w:p>
        </w:tc>
        <w:tc>
          <w:tcPr>
            <w:tcW w:w="1790" w:type="dxa"/>
            <w:vAlign w:val="center"/>
          </w:tcPr>
          <w:p w14:paraId="73698D7D">
            <w:pPr>
              <w:jc w:val="center"/>
              <w:rPr>
                <w:rFonts w:ascii="宋体" w:hAnsi="宋体"/>
                <w:color w:val="auto"/>
                <w:szCs w:val="44"/>
                <w:highlight w:val="none"/>
              </w:rPr>
            </w:pPr>
          </w:p>
        </w:tc>
        <w:tc>
          <w:tcPr>
            <w:tcW w:w="1341" w:type="dxa"/>
            <w:vAlign w:val="center"/>
          </w:tcPr>
          <w:p w14:paraId="07C5A02B">
            <w:pPr>
              <w:jc w:val="center"/>
              <w:rPr>
                <w:color w:val="auto"/>
                <w:highlight w:val="none"/>
              </w:rPr>
            </w:pPr>
          </w:p>
        </w:tc>
        <w:tc>
          <w:tcPr>
            <w:tcW w:w="1342" w:type="dxa"/>
            <w:vAlign w:val="center"/>
          </w:tcPr>
          <w:p w14:paraId="7B324F13">
            <w:pPr>
              <w:jc w:val="center"/>
              <w:rPr>
                <w:rFonts w:ascii="宋体" w:hAnsi="宋体"/>
                <w:color w:val="auto"/>
                <w:szCs w:val="44"/>
                <w:highlight w:val="none"/>
              </w:rPr>
            </w:pPr>
          </w:p>
        </w:tc>
        <w:tc>
          <w:tcPr>
            <w:tcW w:w="1342" w:type="dxa"/>
            <w:vAlign w:val="center"/>
          </w:tcPr>
          <w:p w14:paraId="6EB5FF84">
            <w:pPr>
              <w:jc w:val="center"/>
              <w:rPr>
                <w:rFonts w:ascii="宋体" w:hAnsi="宋体"/>
                <w:color w:val="auto"/>
                <w:szCs w:val="44"/>
                <w:highlight w:val="none"/>
              </w:rPr>
            </w:pPr>
          </w:p>
        </w:tc>
        <w:tc>
          <w:tcPr>
            <w:tcW w:w="1341" w:type="dxa"/>
            <w:vAlign w:val="center"/>
          </w:tcPr>
          <w:p w14:paraId="32D1EBA1">
            <w:pPr>
              <w:jc w:val="center"/>
              <w:rPr>
                <w:rFonts w:ascii="宋体" w:hAnsi="宋体"/>
                <w:color w:val="auto"/>
                <w:szCs w:val="44"/>
                <w:highlight w:val="none"/>
              </w:rPr>
            </w:pPr>
          </w:p>
        </w:tc>
        <w:tc>
          <w:tcPr>
            <w:tcW w:w="1342" w:type="dxa"/>
            <w:vAlign w:val="center"/>
          </w:tcPr>
          <w:p w14:paraId="4718D164">
            <w:pPr>
              <w:jc w:val="center"/>
              <w:rPr>
                <w:rFonts w:ascii="宋体" w:hAnsi="宋体"/>
                <w:color w:val="auto"/>
                <w:szCs w:val="44"/>
                <w:highlight w:val="none"/>
              </w:rPr>
            </w:pPr>
          </w:p>
        </w:tc>
        <w:tc>
          <w:tcPr>
            <w:tcW w:w="1342" w:type="dxa"/>
            <w:vAlign w:val="center"/>
          </w:tcPr>
          <w:p w14:paraId="6255A668">
            <w:pPr>
              <w:jc w:val="center"/>
              <w:rPr>
                <w:rFonts w:ascii="宋体" w:hAnsi="宋体"/>
                <w:color w:val="auto"/>
                <w:szCs w:val="44"/>
                <w:highlight w:val="none"/>
              </w:rPr>
            </w:pPr>
          </w:p>
        </w:tc>
        <w:tc>
          <w:tcPr>
            <w:tcW w:w="1351" w:type="dxa"/>
            <w:vAlign w:val="center"/>
          </w:tcPr>
          <w:p w14:paraId="718576BC">
            <w:pPr>
              <w:jc w:val="center"/>
              <w:rPr>
                <w:rFonts w:ascii="宋体" w:hAnsi="宋体"/>
                <w:color w:val="auto"/>
                <w:szCs w:val="44"/>
                <w:highlight w:val="none"/>
              </w:rPr>
            </w:pPr>
          </w:p>
        </w:tc>
        <w:tc>
          <w:tcPr>
            <w:tcW w:w="1774" w:type="dxa"/>
            <w:vAlign w:val="center"/>
          </w:tcPr>
          <w:p w14:paraId="63C6202C">
            <w:pPr>
              <w:jc w:val="center"/>
              <w:rPr>
                <w:rFonts w:ascii="宋体" w:hAnsi="宋体"/>
                <w:color w:val="auto"/>
                <w:szCs w:val="44"/>
                <w:highlight w:val="none"/>
              </w:rPr>
            </w:pPr>
          </w:p>
        </w:tc>
      </w:tr>
      <w:tr w14:paraId="771A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3F97F86F">
            <w:pPr>
              <w:jc w:val="center"/>
              <w:rPr>
                <w:rFonts w:ascii="宋体" w:hAnsi="宋体"/>
                <w:color w:val="auto"/>
                <w:szCs w:val="44"/>
                <w:highlight w:val="none"/>
              </w:rPr>
            </w:pPr>
            <w:r>
              <w:rPr>
                <w:rFonts w:hint="eastAsia" w:ascii="宋体" w:hAnsi="宋体"/>
                <w:color w:val="auto"/>
                <w:szCs w:val="44"/>
                <w:highlight w:val="none"/>
              </w:rPr>
              <w:t>4</w:t>
            </w:r>
          </w:p>
        </w:tc>
        <w:tc>
          <w:tcPr>
            <w:tcW w:w="1790" w:type="dxa"/>
            <w:vAlign w:val="center"/>
          </w:tcPr>
          <w:p w14:paraId="7C8BFF2D">
            <w:pPr>
              <w:jc w:val="center"/>
              <w:rPr>
                <w:rFonts w:ascii="宋体" w:hAnsi="宋体"/>
                <w:color w:val="auto"/>
                <w:szCs w:val="44"/>
                <w:highlight w:val="none"/>
              </w:rPr>
            </w:pPr>
          </w:p>
        </w:tc>
        <w:tc>
          <w:tcPr>
            <w:tcW w:w="1341" w:type="dxa"/>
            <w:vAlign w:val="center"/>
          </w:tcPr>
          <w:p w14:paraId="41B4CEC9">
            <w:pPr>
              <w:jc w:val="center"/>
              <w:rPr>
                <w:color w:val="auto"/>
                <w:highlight w:val="none"/>
              </w:rPr>
            </w:pPr>
          </w:p>
        </w:tc>
        <w:tc>
          <w:tcPr>
            <w:tcW w:w="1342" w:type="dxa"/>
            <w:vAlign w:val="center"/>
          </w:tcPr>
          <w:p w14:paraId="479F2E49">
            <w:pPr>
              <w:jc w:val="center"/>
              <w:rPr>
                <w:rFonts w:ascii="宋体" w:hAnsi="宋体"/>
                <w:color w:val="auto"/>
                <w:szCs w:val="44"/>
                <w:highlight w:val="none"/>
              </w:rPr>
            </w:pPr>
          </w:p>
        </w:tc>
        <w:tc>
          <w:tcPr>
            <w:tcW w:w="1342" w:type="dxa"/>
            <w:vAlign w:val="center"/>
          </w:tcPr>
          <w:p w14:paraId="7C597B74">
            <w:pPr>
              <w:jc w:val="center"/>
              <w:rPr>
                <w:rFonts w:ascii="宋体" w:hAnsi="宋体"/>
                <w:color w:val="auto"/>
                <w:szCs w:val="44"/>
                <w:highlight w:val="none"/>
              </w:rPr>
            </w:pPr>
          </w:p>
        </w:tc>
        <w:tc>
          <w:tcPr>
            <w:tcW w:w="1341" w:type="dxa"/>
            <w:vAlign w:val="center"/>
          </w:tcPr>
          <w:p w14:paraId="211FECFB">
            <w:pPr>
              <w:jc w:val="center"/>
              <w:rPr>
                <w:rFonts w:ascii="宋体" w:hAnsi="宋体"/>
                <w:color w:val="auto"/>
                <w:szCs w:val="44"/>
                <w:highlight w:val="none"/>
              </w:rPr>
            </w:pPr>
          </w:p>
        </w:tc>
        <w:tc>
          <w:tcPr>
            <w:tcW w:w="1342" w:type="dxa"/>
            <w:vAlign w:val="center"/>
          </w:tcPr>
          <w:p w14:paraId="5DD7F3F0">
            <w:pPr>
              <w:jc w:val="center"/>
              <w:rPr>
                <w:rFonts w:ascii="宋体" w:hAnsi="宋体"/>
                <w:color w:val="auto"/>
                <w:szCs w:val="44"/>
                <w:highlight w:val="none"/>
              </w:rPr>
            </w:pPr>
          </w:p>
        </w:tc>
        <w:tc>
          <w:tcPr>
            <w:tcW w:w="1342" w:type="dxa"/>
            <w:vAlign w:val="center"/>
          </w:tcPr>
          <w:p w14:paraId="0A38266B">
            <w:pPr>
              <w:jc w:val="center"/>
              <w:rPr>
                <w:rFonts w:ascii="宋体" w:hAnsi="宋体"/>
                <w:color w:val="auto"/>
                <w:szCs w:val="44"/>
                <w:highlight w:val="none"/>
              </w:rPr>
            </w:pPr>
          </w:p>
        </w:tc>
        <w:tc>
          <w:tcPr>
            <w:tcW w:w="1351" w:type="dxa"/>
            <w:vAlign w:val="center"/>
          </w:tcPr>
          <w:p w14:paraId="632A1677">
            <w:pPr>
              <w:jc w:val="center"/>
              <w:rPr>
                <w:rFonts w:ascii="宋体" w:hAnsi="宋体"/>
                <w:color w:val="auto"/>
                <w:szCs w:val="44"/>
                <w:highlight w:val="none"/>
              </w:rPr>
            </w:pPr>
          </w:p>
        </w:tc>
        <w:tc>
          <w:tcPr>
            <w:tcW w:w="1774" w:type="dxa"/>
            <w:vAlign w:val="center"/>
          </w:tcPr>
          <w:p w14:paraId="09252A9C">
            <w:pPr>
              <w:jc w:val="center"/>
              <w:rPr>
                <w:rFonts w:ascii="宋体" w:hAnsi="宋体"/>
                <w:color w:val="auto"/>
                <w:szCs w:val="44"/>
                <w:highlight w:val="none"/>
              </w:rPr>
            </w:pPr>
          </w:p>
        </w:tc>
      </w:tr>
      <w:tr w14:paraId="3A7A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7BF604E7">
            <w:pPr>
              <w:jc w:val="center"/>
              <w:rPr>
                <w:rFonts w:ascii="宋体" w:hAnsi="宋体"/>
                <w:color w:val="auto"/>
                <w:szCs w:val="44"/>
                <w:highlight w:val="none"/>
              </w:rPr>
            </w:pPr>
            <w:r>
              <w:rPr>
                <w:rFonts w:hint="eastAsia" w:ascii="宋体" w:hAnsi="宋体"/>
                <w:color w:val="auto"/>
                <w:szCs w:val="44"/>
                <w:highlight w:val="none"/>
              </w:rPr>
              <w:t>5</w:t>
            </w:r>
          </w:p>
        </w:tc>
        <w:tc>
          <w:tcPr>
            <w:tcW w:w="1790" w:type="dxa"/>
            <w:vAlign w:val="center"/>
          </w:tcPr>
          <w:p w14:paraId="6564B151">
            <w:pPr>
              <w:jc w:val="center"/>
              <w:rPr>
                <w:rFonts w:ascii="宋体" w:hAnsi="宋体"/>
                <w:color w:val="auto"/>
                <w:szCs w:val="44"/>
                <w:highlight w:val="none"/>
              </w:rPr>
            </w:pPr>
          </w:p>
        </w:tc>
        <w:tc>
          <w:tcPr>
            <w:tcW w:w="1341" w:type="dxa"/>
            <w:vAlign w:val="center"/>
          </w:tcPr>
          <w:p w14:paraId="016EA7E0">
            <w:pPr>
              <w:jc w:val="center"/>
              <w:rPr>
                <w:color w:val="auto"/>
                <w:highlight w:val="none"/>
              </w:rPr>
            </w:pPr>
          </w:p>
        </w:tc>
        <w:tc>
          <w:tcPr>
            <w:tcW w:w="1342" w:type="dxa"/>
            <w:vAlign w:val="center"/>
          </w:tcPr>
          <w:p w14:paraId="6D78AF81">
            <w:pPr>
              <w:jc w:val="center"/>
              <w:rPr>
                <w:rFonts w:ascii="宋体" w:hAnsi="宋体"/>
                <w:color w:val="auto"/>
                <w:szCs w:val="44"/>
                <w:highlight w:val="none"/>
              </w:rPr>
            </w:pPr>
          </w:p>
        </w:tc>
        <w:tc>
          <w:tcPr>
            <w:tcW w:w="1342" w:type="dxa"/>
            <w:vAlign w:val="center"/>
          </w:tcPr>
          <w:p w14:paraId="7D161AAB">
            <w:pPr>
              <w:jc w:val="center"/>
              <w:rPr>
                <w:rFonts w:ascii="宋体" w:hAnsi="宋体"/>
                <w:color w:val="auto"/>
                <w:szCs w:val="44"/>
                <w:highlight w:val="none"/>
              </w:rPr>
            </w:pPr>
          </w:p>
        </w:tc>
        <w:tc>
          <w:tcPr>
            <w:tcW w:w="1341" w:type="dxa"/>
            <w:vAlign w:val="center"/>
          </w:tcPr>
          <w:p w14:paraId="0C3732A9">
            <w:pPr>
              <w:jc w:val="center"/>
              <w:rPr>
                <w:rFonts w:ascii="宋体" w:hAnsi="宋体"/>
                <w:color w:val="auto"/>
                <w:szCs w:val="44"/>
                <w:highlight w:val="none"/>
              </w:rPr>
            </w:pPr>
          </w:p>
        </w:tc>
        <w:tc>
          <w:tcPr>
            <w:tcW w:w="1342" w:type="dxa"/>
            <w:vAlign w:val="center"/>
          </w:tcPr>
          <w:p w14:paraId="57A5C785">
            <w:pPr>
              <w:jc w:val="center"/>
              <w:rPr>
                <w:rFonts w:ascii="宋体" w:hAnsi="宋体"/>
                <w:color w:val="auto"/>
                <w:szCs w:val="44"/>
                <w:highlight w:val="none"/>
              </w:rPr>
            </w:pPr>
          </w:p>
        </w:tc>
        <w:tc>
          <w:tcPr>
            <w:tcW w:w="1342" w:type="dxa"/>
            <w:vAlign w:val="center"/>
          </w:tcPr>
          <w:p w14:paraId="31B7E857">
            <w:pPr>
              <w:jc w:val="center"/>
              <w:rPr>
                <w:rFonts w:ascii="宋体" w:hAnsi="宋体"/>
                <w:color w:val="auto"/>
                <w:szCs w:val="44"/>
                <w:highlight w:val="none"/>
              </w:rPr>
            </w:pPr>
          </w:p>
        </w:tc>
        <w:tc>
          <w:tcPr>
            <w:tcW w:w="1351" w:type="dxa"/>
            <w:vAlign w:val="center"/>
          </w:tcPr>
          <w:p w14:paraId="15E714B9">
            <w:pPr>
              <w:jc w:val="center"/>
              <w:rPr>
                <w:rFonts w:ascii="宋体" w:hAnsi="宋体"/>
                <w:color w:val="auto"/>
                <w:szCs w:val="44"/>
                <w:highlight w:val="none"/>
              </w:rPr>
            </w:pPr>
          </w:p>
        </w:tc>
        <w:tc>
          <w:tcPr>
            <w:tcW w:w="1774" w:type="dxa"/>
            <w:vAlign w:val="center"/>
          </w:tcPr>
          <w:p w14:paraId="3AB25E45">
            <w:pPr>
              <w:jc w:val="center"/>
              <w:rPr>
                <w:rFonts w:ascii="宋体" w:hAnsi="宋体"/>
                <w:color w:val="auto"/>
                <w:szCs w:val="44"/>
                <w:highlight w:val="none"/>
              </w:rPr>
            </w:pPr>
          </w:p>
        </w:tc>
      </w:tr>
      <w:tr w14:paraId="4D54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0D8F0A7B">
            <w:pPr>
              <w:jc w:val="center"/>
              <w:rPr>
                <w:rFonts w:ascii="宋体" w:hAnsi="宋体"/>
                <w:color w:val="auto"/>
                <w:szCs w:val="44"/>
                <w:highlight w:val="none"/>
              </w:rPr>
            </w:pPr>
            <w:r>
              <w:rPr>
                <w:rFonts w:hint="eastAsia" w:ascii="宋体" w:hAnsi="宋体"/>
                <w:color w:val="auto"/>
                <w:szCs w:val="44"/>
                <w:highlight w:val="none"/>
              </w:rPr>
              <w:t>6</w:t>
            </w:r>
          </w:p>
        </w:tc>
        <w:tc>
          <w:tcPr>
            <w:tcW w:w="1790" w:type="dxa"/>
            <w:vAlign w:val="center"/>
          </w:tcPr>
          <w:p w14:paraId="0BDCD473">
            <w:pPr>
              <w:jc w:val="center"/>
              <w:rPr>
                <w:rFonts w:ascii="宋体" w:hAnsi="宋体"/>
                <w:color w:val="auto"/>
                <w:szCs w:val="44"/>
                <w:highlight w:val="none"/>
              </w:rPr>
            </w:pPr>
          </w:p>
        </w:tc>
        <w:tc>
          <w:tcPr>
            <w:tcW w:w="1341" w:type="dxa"/>
            <w:vAlign w:val="center"/>
          </w:tcPr>
          <w:p w14:paraId="20C78992">
            <w:pPr>
              <w:jc w:val="center"/>
              <w:rPr>
                <w:color w:val="auto"/>
                <w:highlight w:val="none"/>
              </w:rPr>
            </w:pPr>
          </w:p>
        </w:tc>
        <w:tc>
          <w:tcPr>
            <w:tcW w:w="1342" w:type="dxa"/>
            <w:vAlign w:val="center"/>
          </w:tcPr>
          <w:p w14:paraId="2F6CE9C3">
            <w:pPr>
              <w:jc w:val="center"/>
              <w:rPr>
                <w:rFonts w:ascii="宋体" w:hAnsi="宋体"/>
                <w:color w:val="auto"/>
                <w:szCs w:val="44"/>
                <w:highlight w:val="none"/>
              </w:rPr>
            </w:pPr>
          </w:p>
        </w:tc>
        <w:tc>
          <w:tcPr>
            <w:tcW w:w="1342" w:type="dxa"/>
            <w:vAlign w:val="center"/>
          </w:tcPr>
          <w:p w14:paraId="290D313B">
            <w:pPr>
              <w:jc w:val="center"/>
              <w:rPr>
                <w:rFonts w:ascii="宋体" w:hAnsi="宋体"/>
                <w:color w:val="auto"/>
                <w:szCs w:val="44"/>
                <w:highlight w:val="none"/>
              </w:rPr>
            </w:pPr>
          </w:p>
        </w:tc>
        <w:tc>
          <w:tcPr>
            <w:tcW w:w="1341" w:type="dxa"/>
            <w:vAlign w:val="center"/>
          </w:tcPr>
          <w:p w14:paraId="2A0FFDA2">
            <w:pPr>
              <w:jc w:val="center"/>
              <w:rPr>
                <w:rFonts w:ascii="宋体" w:hAnsi="宋体"/>
                <w:color w:val="auto"/>
                <w:szCs w:val="44"/>
                <w:highlight w:val="none"/>
              </w:rPr>
            </w:pPr>
          </w:p>
        </w:tc>
        <w:tc>
          <w:tcPr>
            <w:tcW w:w="1342" w:type="dxa"/>
            <w:vAlign w:val="center"/>
          </w:tcPr>
          <w:p w14:paraId="39297B33">
            <w:pPr>
              <w:jc w:val="center"/>
              <w:rPr>
                <w:rFonts w:ascii="宋体" w:hAnsi="宋体"/>
                <w:color w:val="auto"/>
                <w:szCs w:val="44"/>
                <w:highlight w:val="none"/>
              </w:rPr>
            </w:pPr>
          </w:p>
        </w:tc>
        <w:tc>
          <w:tcPr>
            <w:tcW w:w="1342" w:type="dxa"/>
            <w:vAlign w:val="center"/>
          </w:tcPr>
          <w:p w14:paraId="3EE4471D">
            <w:pPr>
              <w:jc w:val="center"/>
              <w:rPr>
                <w:rFonts w:ascii="宋体" w:hAnsi="宋体"/>
                <w:color w:val="auto"/>
                <w:szCs w:val="44"/>
                <w:highlight w:val="none"/>
              </w:rPr>
            </w:pPr>
          </w:p>
        </w:tc>
        <w:tc>
          <w:tcPr>
            <w:tcW w:w="1351" w:type="dxa"/>
            <w:vAlign w:val="center"/>
          </w:tcPr>
          <w:p w14:paraId="51046713">
            <w:pPr>
              <w:jc w:val="center"/>
              <w:rPr>
                <w:rFonts w:ascii="宋体" w:hAnsi="宋体"/>
                <w:color w:val="auto"/>
                <w:szCs w:val="44"/>
                <w:highlight w:val="none"/>
              </w:rPr>
            </w:pPr>
          </w:p>
        </w:tc>
        <w:tc>
          <w:tcPr>
            <w:tcW w:w="1774" w:type="dxa"/>
            <w:vAlign w:val="center"/>
          </w:tcPr>
          <w:p w14:paraId="2E773EE9">
            <w:pPr>
              <w:jc w:val="center"/>
              <w:rPr>
                <w:rFonts w:ascii="宋体" w:hAnsi="宋体"/>
                <w:color w:val="auto"/>
                <w:szCs w:val="44"/>
                <w:highlight w:val="none"/>
              </w:rPr>
            </w:pPr>
          </w:p>
        </w:tc>
      </w:tr>
      <w:tr w14:paraId="2CB9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422D8327">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90" w:type="dxa"/>
            <w:vAlign w:val="center"/>
          </w:tcPr>
          <w:p w14:paraId="34E4E567">
            <w:pPr>
              <w:rPr>
                <w:rFonts w:ascii="宋体" w:hAnsi="宋体"/>
                <w:color w:val="auto"/>
                <w:szCs w:val="21"/>
                <w:highlight w:val="none"/>
              </w:rPr>
            </w:pPr>
          </w:p>
        </w:tc>
        <w:tc>
          <w:tcPr>
            <w:tcW w:w="1341" w:type="dxa"/>
            <w:vAlign w:val="center"/>
          </w:tcPr>
          <w:p w14:paraId="5DD795DF">
            <w:pPr>
              <w:jc w:val="center"/>
              <w:rPr>
                <w:color w:val="auto"/>
                <w:highlight w:val="none"/>
              </w:rPr>
            </w:pPr>
          </w:p>
        </w:tc>
        <w:tc>
          <w:tcPr>
            <w:tcW w:w="1342" w:type="dxa"/>
            <w:vAlign w:val="center"/>
          </w:tcPr>
          <w:p w14:paraId="107BBF5C">
            <w:pPr>
              <w:jc w:val="center"/>
              <w:rPr>
                <w:rFonts w:ascii="宋体" w:hAnsi="宋体"/>
                <w:color w:val="auto"/>
                <w:szCs w:val="44"/>
                <w:highlight w:val="none"/>
              </w:rPr>
            </w:pPr>
          </w:p>
        </w:tc>
        <w:tc>
          <w:tcPr>
            <w:tcW w:w="1342" w:type="dxa"/>
            <w:vAlign w:val="center"/>
          </w:tcPr>
          <w:p w14:paraId="340A9A4A">
            <w:pPr>
              <w:jc w:val="center"/>
              <w:rPr>
                <w:rFonts w:ascii="宋体" w:hAnsi="宋体"/>
                <w:color w:val="auto"/>
                <w:szCs w:val="44"/>
                <w:highlight w:val="none"/>
              </w:rPr>
            </w:pPr>
          </w:p>
        </w:tc>
        <w:tc>
          <w:tcPr>
            <w:tcW w:w="1341" w:type="dxa"/>
            <w:vAlign w:val="center"/>
          </w:tcPr>
          <w:p w14:paraId="4804A01D">
            <w:pPr>
              <w:jc w:val="center"/>
              <w:rPr>
                <w:rFonts w:ascii="宋体" w:hAnsi="宋体"/>
                <w:color w:val="auto"/>
                <w:szCs w:val="44"/>
                <w:highlight w:val="none"/>
              </w:rPr>
            </w:pPr>
          </w:p>
        </w:tc>
        <w:tc>
          <w:tcPr>
            <w:tcW w:w="1342" w:type="dxa"/>
            <w:vAlign w:val="center"/>
          </w:tcPr>
          <w:p w14:paraId="3CE2FB30">
            <w:pPr>
              <w:jc w:val="center"/>
              <w:rPr>
                <w:rFonts w:ascii="宋体" w:hAnsi="宋体"/>
                <w:color w:val="auto"/>
                <w:szCs w:val="44"/>
                <w:highlight w:val="none"/>
              </w:rPr>
            </w:pPr>
          </w:p>
        </w:tc>
        <w:tc>
          <w:tcPr>
            <w:tcW w:w="1342" w:type="dxa"/>
            <w:vAlign w:val="center"/>
          </w:tcPr>
          <w:p w14:paraId="35FE811F">
            <w:pPr>
              <w:jc w:val="center"/>
              <w:rPr>
                <w:rFonts w:ascii="宋体" w:hAnsi="宋体"/>
                <w:color w:val="auto"/>
                <w:szCs w:val="44"/>
                <w:highlight w:val="none"/>
              </w:rPr>
            </w:pPr>
          </w:p>
        </w:tc>
        <w:tc>
          <w:tcPr>
            <w:tcW w:w="1351" w:type="dxa"/>
            <w:vAlign w:val="center"/>
          </w:tcPr>
          <w:p w14:paraId="3E90E7EB">
            <w:pPr>
              <w:jc w:val="center"/>
              <w:rPr>
                <w:rFonts w:ascii="宋体" w:hAnsi="宋体"/>
                <w:color w:val="auto"/>
                <w:szCs w:val="44"/>
                <w:highlight w:val="none"/>
              </w:rPr>
            </w:pPr>
          </w:p>
        </w:tc>
        <w:tc>
          <w:tcPr>
            <w:tcW w:w="1774" w:type="dxa"/>
            <w:vAlign w:val="center"/>
          </w:tcPr>
          <w:p w14:paraId="687DAB59">
            <w:pPr>
              <w:jc w:val="center"/>
              <w:rPr>
                <w:rFonts w:ascii="宋体" w:hAnsi="宋体"/>
                <w:color w:val="auto"/>
                <w:szCs w:val="44"/>
                <w:highlight w:val="none"/>
              </w:rPr>
            </w:pPr>
          </w:p>
        </w:tc>
      </w:tr>
      <w:tr w14:paraId="1451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750" w:type="dxa"/>
            <w:gridSpan w:val="10"/>
            <w:vAlign w:val="center"/>
          </w:tcPr>
          <w:p w14:paraId="1ABB0E29">
            <w:pPr>
              <w:jc w:val="left"/>
              <w:rPr>
                <w:rFonts w:ascii="宋体" w:hAnsi="宋体"/>
                <w:color w:val="auto"/>
                <w:szCs w:val="44"/>
                <w:highlight w:val="none"/>
              </w:rPr>
            </w:pPr>
            <w:r>
              <w:rPr>
                <w:rFonts w:hint="eastAsia" w:ascii="宋体" w:hAnsi="宋体"/>
                <w:color w:val="auto"/>
                <w:szCs w:val="44"/>
                <w:highlight w:val="none"/>
              </w:rPr>
              <w:t>技术标评委签名：</w:t>
            </w:r>
          </w:p>
          <w:p w14:paraId="59968F84">
            <w:pPr>
              <w:jc w:val="center"/>
              <w:rPr>
                <w:rFonts w:ascii="宋体" w:hAnsi="宋体"/>
                <w:color w:val="auto"/>
                <w:szCs w:val="44"/>
                <w:highlight w:val="none"/>
              </w:rPr>
            </w:pPr>
          </w:p>
          <w:p w14:paraId="4D92290E">
            <w:pPr>
              <w:jc w:val="center"/>
              <w:rPr>
                <w:rFonts w:ascii="宋体" w:hAnsi="宋体"/>
                <w:color w:val="auto"/>
                <w:szCs w:val="44"/>
                <w:highlight w:val="none"/>
              </w:rPr>
            </w:pPr>
          </w:p>
          <w:p w14:paraId="7C2F567B">
            <w:pPr>
              <w:jc w:val="center"/>
              <w:rPr>
                <w:rFonts w:ascii="宋体" w:hAnsi="宋体"/>
                <w:color w:val="auto"/>
                <w:szCs w:val="44"/>
                <w:highlight w:val="none"/>
              </w:rPr>
            </w:pPr>
          </w:p>
        </w:tc>
      </w:tr>
    </w:tbl>
    <w:p w14:paraId="09C25F8B">
      <w:pPr>
        <w:ind w:right="420"/>
        <w:jc w:val="right"/>
        <w:rPr>
          <w:color w:val="auto"/>
          <w:highlight w:val="none"/>
        </w:r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bookmarkEnd w:id="575"/>
    <w:p w14:paraId="40796673">
      <w:pPr>
        <w:rPr>
          <w:color w:val="auto"/>
          <w:highlight w:val="none"/>
        </w:rPr>
      </w:pPr>
      <w:r>
        <w:rPr>
          <w:color w:val="auto"/>
          <w:highlight w:val="none"/>
        </w:rPr>
        <w:br w:type="page"/>
      </w:r>
    </w:p>
    <w:p w14:paraId="2FC1CF1D">
      <w:pPr>
        <w:pStyle w:val="25"/>
        <w:rPr>
          <w:color w:val="auto"/>
          <w:highlight w:val="none"/>
        </w:rPr>
      </w:pPr>
      <w:bookmarkStart w:id="576" w:name="_Toc165804458"/>
      <w:bookmarkStart w:id="577" w:name="_Toc8930"/>
      <w:bookmarkStart w:id="578" w:name="_Toc22143"/>
      <w:bookmarkStart w:id="579" w:name="_Toc3732"/>
      <w:bookmarkStart w:id="580" w:name="_Toc6489"/>
      <w:bookmarkStart w:id="581" w:name="_Toc256000141"/>
      <w:r>
        <w:rPr>
          <w:rFonts w:hint="eastAsia"/>
          <w:color w:val="auto"/>
          <w:highlight w:val="none"/>
        </w:rPr>
        <w:t>附表A-</w:t>
      </w:r>
      <w:r>
        <w:rPr>
          <w:color w:val="auto"/>
          <w:highlight w:val="none"/>
        </w:rPr>
        <w:t>12</w:t>
      </w:r>
      <w:r>
        <w:rPr>
          <w:rFonts w:hint="eastAsia"/>
          <w:color w:val="auto"/>
          <w:highlight w:val="none"/>
        </w:rPr>
        <w:t>：技术标评审记录表（个人）</w:t>
      </w:r>
      <w:bookmarkEnd w:id="576"/>
      <w:bookmarkEnd w:id="577"/>
      <w:bookmarkEnd w:id="578"/>
      <w:bookmarkEnd w:id="579"/>
      <w:bookmarkEnd w:id="580"/>
      <w:bookmarkEnd w:id="581"/>
    </w:p>
    <w:p w14:paraId="1C5EF97B">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技术标评审记录表（个人）</w:t>
      </w:r>
    </w:p>
    <w:p w14:paraId="1AAF48AD">
      <w:pPr>
        <w:rPr>
          <w:rFonts w:ascii="宋体" w:hAnsi="宋体"/>
          <w:color w:val="auto"/>
          <w:szCs w:val="44"/>
          <w:highlight w:val="none"/>
        </w:rPr>
      </w:pPr>
      <w:bookmarkStart w:id="582" w:name="_Hlk150332959"/>
      <w:r>
        <w:rPr>
          <w:rFonts w:hint="eastAsia" w:ascii="宋体" w:hAnsi="宋体"/>
          <w:color w:val="auto"/>
          <w:szCs w:val="44"/>
          <w:highlight w:val="none"/>
        </w:rPr>
        <w:t>标段名称：</w:t>
      </w:r>
    </w:p>
    <w:p w14:paraId="35001302">
      <w:pPr>
        <w:rPr>
          <w:color w:val="auto"/>
          <w:szCs w:val="44"/>
          <w:highlight w:val="none"/>
        </w:rPr>
      </w:pPr>
      <w:r>
        <w:rPr>
          <w:rFonts w:hint="eastAsia"/>
          <w:color w:val="auto"/>
          <w:szCs w:val="44"/>
          <w:highlight w:val="none"/>
        </w:rPr>
        <w:t>标段唯一标识码：</w:t>
      </w:r>
    </w:p>
    <w:tbl>
      <w:tblPr>
        <w:tblStyle w:val="12"/>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14:paraId="7893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14:paraId="2193205C">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2204" w:type="dxa"/>
            <w:vMerge w:val="restart"/>
            <w:vAlign w:val="center"/>
          </w:tcPr>
          <w:p w14:paraId="16756EAE">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9920" w:type="dxa"/>
            <w:gridSpan w:val="18"/>
          </w:tcPr>
          <w:p w14:paraId="1928F3EF">
            <w:pPr>
              <w:jc w:val="center"/>
              <w:rPr>
                <w:rFonts w:ascii="宋体" w:hAnsi="宋体"/>
                <w:b/>
                <w:bCs/>
                <w:color w:val="auto"/>
                <w:szCs w:val="21"/>
                <w:highlight w:val="none"/>
              </w:rPr>
            </w:pPr>
            <w:r>
              <w:rPr>
                <w:rFonts w:hint="eastAsia" w:ascii="宋体" w:hAnsi="宋体"/>
                <w:b/>
                <w:bCs/>
                <w:color w:val="auto"/>
                <w:szCs w:val="21"/>
                <w:highlight w:val="none"/>
              </w:rPr>
              <w:t>评审因素及评审得分</w:t>
            </w:r>
          </w:p>
        </w:tc>
        <w:tc>
          <w:tcPr>
            <w:tcW w:w="1198" w:type="dxa"/>
            <w:vMerge w:val="restart"/>
            <w:vAlign w:val="center"/>
          </w:tcPr>
          <w:p w14:paraId="042EAB94">
            <w:pPr>
              <w:jc w:val="center"/>
              <w:rPr>
                <w:rFonts w:ascii="宋体" w:hAnsi="宋体"/>
                <w:b/>
                <w:bCs/>
                <w:color w:val="auto"/>
                <w:szCs w:val="21"/>
                <w:highlight w:val="none"/>
              </w:rPr>
            </w:pPr>
            <w:r>
              <w:rPr>
                <w:rFonts w:hint="eastAsia" w:ascii="宋体" w:hAnsi="宋体"/>
                <w:b/>
                <w:bCs/>
                <w:color w:val="auto"/>
                <w:szCs w:val="44"/>
                <w:highlight w:val="none"/>
              </w:rPr>
              <w:t>得分</w:t>
            </w:r>
          </w:p>
        </w:tc>
      </w:tr>
      <w:tr w14:paraId="03D7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E94D987">
            <w:pPr>
              <w:jc w:val="center"/>
              <w:rPr>
                <w:rFonts w:ascii="宋体" w:hAnsi="宋体"/>
                <w:b/>
                <w:bCs/>
                <w:color w:val="auto"/>
                <w:szCs w:val="21"/>
                <w:highlight w:val="none"/>
              </w:rPr>
            </w:pPr>
          </w:p>
        </w:tc>
        <w:tc>
          <w:tcPr>
            <w:tcW w:w="2204" w:type="dxa"/>
            <w:vMerge w:val="continue"/>
          </w:tcPr>
          <w:p w14:paraId="65228334">
            <w:pPr>
              <w:jc w:val="center"/>
              <w:rPr>
                <w:rFonts w:ascii="宋体" w:hAnsi="宋体"/>
                <w:b/>
                <w:bCs/>
                <w:color w:val="auto"/>
                <w:szCs w:val="21"/>
                <w:highlight w:val="none"/>
              </w:rPr>
            </w:pPr>
          </w:p>
        </w:tc>
        <w:tc>
          <w:tcPr>
            <w:tcW w:w="1111" w:type="dxa"/>
            <w:gridSpan w:val="2"/>
            <w:vAlign w:val="center"/>
          </w:tcPr>
          <w:p w14:paraId="2D10DEB3">
            <w:pPr>
              <w:jc w:val="center"/>
              <w:rPr>
                <w:rFonts w:ascii="宋体" w:hAnsi="宋体"/>
                <w:b/>
                <w:bCs/>
                <w:color w:val="auto"/>
                <w:szCs w:val="21"/>
                <w:highlight w:val="none"/>
              </w:rPr>
            </w:pPr>
          </w:p>
        </w:tc>
        <w:tc>
          <w:tcPr>
            <w:tcW w:w="1112" w:type="dxa"/>
            <w:gridSpan w:val="2"/>
            <w:vAlign w:val="center"/>
          </w:tcPr>
          <w:p w14:paraId="4C41C7A8">
            <w:pPr>
              <w:jc w:val="center"/>
              <w:rPr>
                <w:rFonts w:ascii="宋体" w:hAnsi="宋体"/>
                <w:b/>
                <w:bCs/>
                <w:color w:val="auto"/>
                <w:szCs w:val="21"/>
                <w:highlight w:val="none"/>
              </w:rPr>
            </w:pPr>
          </w:p>
        </w:tc>
        <w:tc>
          <w:tcPr>
            <w:tcW w:w="1112" w:type="dxa"/>
            <w:gridSpan w:val="2"/>
            <w:vAlign w:val="center"/>
          </w:tcPr>
          <w:p w14:paraId="2496F798">
            <w:pPr>
              <w:jc w:val="center"/>
              <w:rPr>
                <w:rFonts w:ascii="宋体" w:hAnsi="宋体"/>
                <w:b/>
                <w:bCs/>
                <w:color w:val="auto"/>
                <w:szCs w:val="21"/>
                <w:highlight w:val="none"/>
              </w:rPr>
            </w:pPr>
          </w:p>
        </w:tc>
        <w:tc>
          <w:tcPr>
            <w:tcW w:w="1112" w:type="dxa"/>
            <w:gridSpan w:val="2"/>
            <w:vAlign w:val="center"/>
          </w:tcPr>
          <w:p w14:paraId="7BE8122D">
            <w:pPr>
              <w:jc w:val="center"/>
              <w:rPr>
                <w:rFonts w:ascii="宋体" w:hAnsi="宋体"/>
                <w:b/>
                <w:bCs/>
                <w:color w:val="auto"/>
                <w:szCs w:val="21"/>
                <w:highlight w:val="none"/>
              </w:rPr>
            </w:pPr>
          </w:p>
        </w:tc>
        <w:tc>
          <w:tcPr>
            <w:tcW w:w="1112" w:type="dxa"/>
            <w:gridSpan w:val="2"/>
            <w:vAlign w:val="center"/>
          </w:tcPr>
          <w:p w14:paraId="6A99B594">
            <w:pPr>
              <w:jc w:val="center"/>
              <w:rPr>
                <w:rFonts w:ascii="宋体" w:hAnsi="宋体"/>
                <w:b/>
                <w:bCs/>
                <w:color w:val="auto"/>
                <w:szCs w:val="21"/>
                <w:highlight w:val="none"/>
              </w:rPr>
            </w:pPr>
          </w:p>
        </w:tc>
        <w:tc>
          <w:tcPr>
            <w:tcW w:w="1111" w:type="dxa"/>
            <w:gridSpan w:val="2"/>
            <w:vAlign w:val="center"/>
          </w:tcPr>
          <w:p w14:paraId="1CCE9D5B">
            <w:pPr>
              <w:jc w:val="center"/>
              <w:rPr>
                <w:rFonts w:ascii="宋体" w:hAnsi="宋体"/>
                <w:b/>
                <w:bCs/>
                <w:color w:val="auto"/>
                <w:szCs w:val="21"/>
                <w:highlight w:val="none"/>
              </w:rPr>
            </w:pPr>
          </w:p>
        </w:tc>
        <w:tc>
          <w:tcPr>
            <w:tcW w:w="1112" w:type="dxa"/>
            <w:gridSpan w:val="2"/>
            <w:vAlign w:val="center"/>
          </w:tcPr>
          <w:p w14:paraId="7AB7A759">
            <w:pPr>
              <w:jc w:val="center"/>
              <w:rPr>
                <w:rFonts w:ascii="宋体" w:hAnsi="宋体"/>
                <w:b/>
                <w:bCs/>
                <w:color w:val="auto"/>
                <w:szCs w:val="21"/>
                <w:highlight w:val="none"/>
              </w:rPr>
            </w:pPr>
          </w:p>
        </w:tc>
        <w:tc>
          <w:tcPr>
            <w:tcW w:w="1112" w:type="dxa"/>
            <w:gridSpan w:val="2"/>
            <w:vAlign w:val="center"/>
          </w:tcPr>
          <w:p w14:paraId="72498D5B">
            <w:pPr>
              <w:jc w:val="center"/>
              <w:rPr>
                <w:rFonts w:ascii="宋体" w:hAnsi="宋体"/>
                <w:b/>
                <w:bCs/>
                <w:color w:val="auto"/>
                <w:szCs w:val="21"/>
                <w:highlight w:val="none"/>
              </w:rPr>
            </w:pPr>
          </w:p>
        </w:tc>
        <w:tc>
          <w:tcPr>
            <w:tcW w:w="1026" w:type="dxa"/>
            <w:gridSpan w:val="2"/>
            <w:vAlign w:val="center"/>
          </w:tcPr>
          <w:p w14:paraId="011F287C">
            <w:pPr>
              <w:jc w:val="center"/>
              <w:rPr>
                <w:rFonts w:ascii="宋体" w:hAnsi="宋体"/>
                <w:b/>
                <w:bCs/>
                <w:color w:val="auto"/>
                <w:szCs w:val="21"/>
                <w:highlight w:val="none"/>
              </w:rPr>
            </w:pPr>
          </w:p>
        </w:tc>
        <w:tc>
          <w:tcPr>
            <w:tcW w:w="1198" w:type="dxa"/>
            <w:vMerge w:val="continue"/>
            <w:vAlign w:val="center"/>
          </w:tcPr>
          <w:p w14:paraId="098F3191">
            <w:pPr>
              <w:jc w:val="center"/>
              <w:rPr>
                <w:rFonts w:ascii="宋体" w:hAnsi="宋体"/>
                <w:b/>
                <w:bCs/>
                <w:color w:val="auto"/>
                <w:szCs w:val="21"/>
                <w:highlight w:val="none"/>
              </w:rPr>
            </w:pPr>
          </w:p>
        </w:tc>
      </w:tr>
      <w:tr w14:paraId="1655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14:paraId="45615560">
            <w:pPr>
              <w:jc w:val="center"/>
              <w:rPr>
                <w:rFonts w:ascii="宋体" w:hAnsi="宋体"/>
                <w:b/>
                <w:bCs/>
                <w:color w:val="auto"/>
                <w:szCs w:val="21"/>
                <w:highlight w:val="none"/>
              </w:rPr>
            </w:pPr>
          </w:p>
        </w:tc>
        <w:tc>
          <w:tcPr>
            <w:tcW w:w="2204" w:type="dxa"/>
            <w:vMerge w:val="continue"/>
          </w:tcPr>
          <w:p w14:paraId="48FC7CF4">
            <w:pPr>
              <w:jc w:val="center"/>
              <w:rPr>
                <w:rFonts w:ascii="宋体" w:hAnsi="宋体"/>
                <w:b/>
                <w:bCs/>
                <w:color w:val="auto"/>
                <w:szCs w:val="21"/>
                <w:highlight w:val="none"/>
              </w:rPr>
            </w:pPr>
          </w:p>
        </w:tc>
        <w:tc>
          <w:tcPr>
            <w:tcW w:w="555" w:type="dxa"/>
            <w:vAlign w:val="center"/>
          </w:tcPr>
          <w:p w14:paraId="1DCECE07">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317E0B95">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02AD4B24">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32F34A92">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38D9A6FE">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47E2008D">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7EA26A80">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72CAEB29">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14B0784D">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6CAC8DFB">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5" w:type="dxa"/>
            <w:vAlign w:val="center"/>
          </w:tcPr>
          <w:p w14:paraId="23B80A10">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57A50A4C">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7A4A1E03">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1B043488">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74B91CB8">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44FDE8C7">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5D049A4C">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470" w:type="dxa"/>
            <w:vAlign w:val="center"/>
          </w:tcPr>
          <w:p w14:paraId="273F6E68">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1198" w:type="dxa"/>
            <w:vMerge w:val="continue"/>
            <w:vAlign w:val="center"/>
          </w:tcPr>
          <w:p w14:paraId="187BAE01">
            <w:pPr>
              <w:jc w:val="center"/>
              <w:rPr>
                <w:rFonts w:ascii="宋体" w:hAnsi="宋体"/>
                <w:b/>
                <w:bCs/>
                <w:color w:val="auto"/>
                <w:szCs w:val="21"/>
                <w:highlight w:val="none"/>
              </w:rPr>
            </w:pPr>
          </w:p>
        </w:tc>
      </w:tr>
      <w:tr w14:paraId="5288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731153E4">
            <w:pPr>
              <w:jc w:val="center"/>
              <w:rPr>
                <w:rFonts w:ascii="宋体" w:hAnsi="宋体"/>
                <w:color w:val="auto"/>
                <w:szCs w:val="21"/>
                <w:highlight w:val="none"/>
              </w:rPr>
            </w:pPr>
            <w:r>
              <w:rPr>
                <w:rFonts w:hint="eastAsia" w:ascii="宋体" w:hAnsi="宋体"/>
                <w:color w:val="auto"/>
                <w:szCs w:val="21"/>
                <w:highlight w:val="none"/>
              </w:rPr>
              <w:t>1</w:t>
            </w:r>
          </w:p>
        </w:tc>
        <w:tc>
          <w:tcPr>
            <w:tcW w:w="2204" w:type="dxa"/>
            <w:vAlign w:val="center"/>
          </w:tcPr>
          <w:p w14:paraId="21417B6E">
            <w:pPr>
              <w:jc w:val="center"/>
              <w:rPr>
                <w:rFonts w:ascii="宋体" w:hAnsi="宋体"/>
                <w:color w:val="auto"/>
                <w:szCs w:val="21"/>
                <w:highlight w:val="none"/>
              </w:rPr>
            </w:pPr>
          </w:p>
        </w:tc>
        <w:tc>
          <w:tcPr>
            <w:tcW w:w="555" w:type="dxa"/>
            <w:vAlign w:val="center"/>
          </w:tcPr>
          <w:p w14:paraId="328A7D53">
            <w:pPr>
              <w:jc w:val="center"/>
              <w:rPr>
                <w:rFonts w:ascii="宋体" w:hAnsi="宋体"/>
                <w:color w:val="auto"/>
                <w:szCs w:val="21"/>
                <w:highlight w:val="none"/>
              </w:rPr>
            </w:pPr>
          </w:p>
        </w:tc>
        <w:tc>
          <w:tcPr>
            <w:tcW w:w="556" w:type="dxa"/>
            <w:vAlign w:val="center"/>
          </w:tcPr>
          <w:p w14:paraId="452C4A0B">
            <w:pPr>
              <w:jc w:val="center"/>
              <w:rPr>
                <w:rFonts w:ascii="宋体" w:hAnsi="宋体"/>
                <w:color w:val="auto"/>
                <w:szCs w:val="21"/>
                <w:highlight w:val="none"/>
              </w:rPr>
            </w:pPr>
          </w:p>
        </w:tc>
        <w:tc>
          <w:tcPr>
            <w:tcW w:w="556" w:type="dxa"/>
            <w:vAlign w:val="center"/>
          </w:tcPr>
          <w:p w14:paraId="6E3A21D9">
            <w:pPr>
              <w:jc w:val="center"/>
              <w:rPr>
                <w:rFonts w:ascii="宋体" w:hAnsi="宋体"/>
                <w:color w:val="auto"/>
                <w:szCs w:val="21"/>
                <w:highlight w:val="none"/>
              </w:rPr>
            </w:pPr>
          </w:p>
        </w:tc>
        <w:tc>
          <w:tcPr>
            <w:tcW w:w="556" w:type="dxa"/>
            <w:vAlign w:val="center"/>
          </w:tcPr>
          <w:p w14:paraId="7F4A9E07">
            <w:pPr>
              <w:jc w:val="center"/>
              <w:rPr>
                <w:rFonts w:ascii="宋体" w:hAnsi="宋体"/>
                <w:color w:val="auto"/>
                <w:szCs w:val="21"/>
                <w:highlight w:val="none"/>
              </w:rPr>
            </w:pPr>
          </w:p>
        </w:tc>
        <w:tc>
          <w:tcPr>
            <w:tcW w:w="556" w:type="dxa"/>
            <w:vAlign w:val="center"/>
          </w:tcPr>
          <w:p w14:paraId="7F83B9FD">
            <w:pPr>
              <w:jc w:val="center"/>
              <w:rPr>
                <w:rFonts w:ascii="宋体" w:hAnsi="宋体"/>
                <w:color w:val="auto"/>
                <w:szCs w:val="21"/>
                <w:highlight w:val="none"/>
              </w:rPr>
            </w:pPr>
          </w:p>
        </w:tc>
        <w:tc>
          <w:tcPr>
            <w:tcW w:w="556" w:type="dxa"/>
            <w:vAlign w:val="center"/>
          </w:tcPr>
          <w:p w14:paraId="7F29B73A">
            <w:pPr>
              <w:jc w:val="center"/>
              <w:rPr>
                <w:rFonts w:ascii="宋体" w:hAnsi="宋体"/>
                <w:color w:val="auto"/>
                <w:szCs w:val="21"/>
                <w:highlight w:val="none"/>
              </w:rPr>
            </w:pPr>
          </w:p>
        </w:tc>
        <w:tc>
          <w:tcPr>
            <w:tcW w:w="556" w:type="dxa"/>
            <w:vAlign w:val="center"/>
          </w:tcPr>
          <w:p w14:paraId="7B979CC9">
            <w:pPr>
              <w:jc w:val="center"/>
              <w:rPr>
                <w:rFonts w:ascii="宋体" w:hAnsi="宋体"/>
                <w:color w:val="auto"/>
                <w:szCs w:val="21"/>
                <w:highlight w:val="none"/>
              </w:rPr>
            </w:pPr>
          </w:p>
        </w:tc>
        <w:tc>
          <w:tcPr>
            <w:tcW w:w="556" w:type="dxa"/>
            <w:vAlign w:val="center"/>
          </w:tcPr>
          <w:p w14:paraId="5D7C40D8">
            <w:pPr>
              <w:jc w:val="center"/>
              <w:rPr>
                <w:rFonts w:ascii="宋体" w:hAnsi="宋体"/>
                <w:color w:val="auto"/>
                <w:szCs w:val="21"/>
                <w:highlight w:val="none"/>
              </w:rPr>
            </w:pPr>
          </w:p>
        </w:tc>
        <w:tc>
          <w:tcPr>
            <w:tcW w:w="556" w:type="dxa"/>
            <w:vAlign w:val="center"/>
          </w:tcPr>
          <w:p w14:paraId="44114FBD">
            <w:pPr>
              <w:jc w:val="center"/>
              <w:rPr>
                <w:rFonts w:ascii="宋体" w:hAnsi="宋体"/>
                <w:color w:val="auto"/>
                <w:szCs w:val="21"/>
                <w:highlight w:val="none"/>
              </w:rPr>
            </w:pPr>
          </w:p>
        </w:tc>
        <w:tc>
          <w:tcPr>
            <w:tcW w:w="556" w:type="dxa"/>
            <w:vAlign w:val="center"/>
          </w:tcPr>
          <w:p w14:paraId="7A6BE09B">
            <w:pPr>
              <w:jc w:val="center"/>
              <w:rPr>
                <w:rFonts w:ascii="宋体" w:hAnsi="宋体"/>
                <w:color w:val="auto"/>
                <w:szCs w:val="21"/>
                <w:highlight w:val="none"/>
              </w:rPr>
            </w:pPr>
          </w:p>
        </w:tc>
        <w:tc>
          <w:tcPr>
            <w:tcW w:w="555" w:type="dxa"/>
            <w:vAlign w:val="center"/>
          </w:tcPr>
          <w:p w14:paraId="2F268A4C">
            <w:pPr>
              <w:jc w:val="center"/>
              <w:rPr>
                <w:rFonts w:ascii="宋体" w:hAnsi="宋体"/>
                <w:color w:val="auto"/>
                <w:szCs w:val="21"/>
                <w:highlight w:val="none"/>
              </w:rPr>
            </w:pPr>
          </w:p>
        </w:tc>
        <w:tc>
          <w:tcPr>
            <w:tcW w:w="556" w:type="dxa"/>
            <w:vAlign w:val="center"/>
          </w:tcPr>
          <w:p w14:paraId="7BB6BA81">
            <w:pPr>
              <w:jc w:val="center"/>
              <w:rPr>
                <w:rFonts w:ascii="宋体" w:hAnsi="宋体"/>
                <w:color w:val="auto"/>
                <w:szCs w:val="21"/>
                <w:highlight w:val="none"/>
              </w:rPr>
            </w:pPr>
          </w:p>
        </w:tc>
        <w:tc>
          <w:tcPr>
            <w:tcW w:w="556" w:type="dxa"/>
            <w:vAlign w:val="center"/>
          </w:tcPr>
          <w:p w14:paraId="358DF1E9">
            <w:pPr>
              <w:jc w:val="center"/>
              <w:rPr>
                <w:rFonts w:ascii="宋体" w:hAnsi="宋体"/>
                <w:color w:val="auto"/>
                <w:szCs w:val="21"/>
                <w:highlight w:val="none"/>
              </w:rPr>
            </w:pPr>
          </w:p>
        </w:tc>
        <w:tc>
          <w:tcPr>
            <w:tcW w:w="556" w:type="dxa"/>
            <w:vAlign w:val="center"/>
          </w:tcPr>
          <w:p w14:paraId="77489D9F">
            <w:pPr>
              <w:jc w:val="center"/>
              <w:rPr>
                <w:rFonts w:ascii="宋体" w:hAnsi="宋体"/>
                <w:color w:val="auto"/>
                <w:szCs w:val="21"/>
                <w:highlight w:val="none"/>
              </w:rPr>
            </w:pPr>
          </w:p>
        </w:tc>
        <w:tc>
          <w:tcPr>
            <w:tcW w:w="556" w:type="dxa"/>
          </w:tcPr>
          <w:p w14:paraId="0D62EC42">
            <w:pPr>
              <w:jc w:val="center"/>
              <w:rPr>
                <w:rFonts w:ascii="宋体" w:hAnsi="宋体"/>
                <w:color w:val="auto"/>
                <w:szCs w:val="21"/>
                <w:highlight w:val="none"/>
              </w:rPr>
            </w:pPr>
          </w:p>
        </w:tc>
        <w:tc>
          <w:tcPr>
            <w:tcW w:w="556" w:type="dxa"/>
          </w:tcPr>
          <w:p w14:paraId="09345B42">
            <w:pPr>
              <w:jc w:val="center"/>
              <w:rPr>
                <w:rFonts w:ascii="宋体" w:hAnsi="宋体"/>
                <w:color w:val="auto"/>
                <w:szCs w:val="21"/>
                <w:highlight w:val="none"/>
              </w:rPr>
            </w:pPr>
          </w:p>
        </w:tc>
        <w:tc>
          <w:tcPr>
            <w:tcW w:w="556" w:type="dxa"/>
            <w:vAlign w:val="center"/>
          </w:tcPr>
          <w:p w14:paraId="0525EAAD">
            <w:pPr>
              <w:jc w:val="center"/>
              <w:rPr>
                <w:rFonts w:ascii="宋体" w:hAnsi="宋体"/>
                <w:color w:val="auto"/>
                <w:szCs w:val="21"/>
                <w:highlight w:val="none"/>
              </w:rPr>
            </w:pPr>
          </w:p>
        </w:tc>
        <w:tc>
          <w:tcPr>
            <w:tcW w:w="470" w:type="dxa"/>
            <w:vAlign w:val="center"/>
          </w:tcPr>
          <w:p w14:paraId="59108175">
            <w:pPr>
              <w:jc w:val="center"/>
              <w:rPr>
                <w:rFonts w:ascii="宋体" w:hAnsi="宋体"/>
                <w:color w:val="auto"/>
                <w:szCs w:val="21"/>
                <w:highlight w:val="none"/>
              </w:rPr>
            </w:pPr>
          </w:p>
        </w:tc>
        <w:tc>
          <w:tcPr>
            <w:tcW w:w="1198" w:type="dxa"/>
            <w:vAlign w:val="center"/>
          </w:tcPr>
          <w:p w14:paraId="6AC74C1C">
            <w:pPr>
              <w:jc w:val="center"/>
              <w:rPr>
                <w:rFonts w:ascii="宋体" w:hAnsi="宋体"/>
                <w:color w:val="auto"/>
                <w:szCs w:val="21"/>
                <w:highlight w:val="none"/>
              </w:rPr>
            </w:pPr>
          </w:p>
        </w:tc>
      </w:tr>
      <w:tr w14:paraId="1539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0009059E">
            <w:pPr>
              <w:jc w:val="center"/>
              <w:rPr>
                <w:rFonts w:ascii="宋体" w:hAnsi="宋体"/>
                <w:color w:val="auto"/>
                <w:szCs w:val="21"/>
                <w:highlight w:val="none"/>
              </w:rPr>
            </w:pPr>
            <w:r>
              <w:rPr>
                <w:rFonts w:hint="eastAsia" w:ascii="宋体" w:hAnsi="宋体"/>
                <w:color w:val="auto"/>
                <w:szCs w:val="21"/>
                <w:highlight w:val="none"/>
              </w:rPr>
              <w:t>2</w:t>
            </w:r>
          </w:p>
        </w:tc>
        <w:tc>
          <w:tcPr>
            <w:tcW w:w="2204" w:type="dxa"/>
            <w:vAlign w:val="center"/>
          </w:tcPr>
          <w:p w14:paraId="7A681C67">
            <w:pPr>
              <w:jc w:val="center"/>
              <w:rPr>
                <w:rFonts w:ascii="宋体" w:hAnsi="宋体"/>
                <w:color w:val="auto"/>
                <w:szCs w:val="21"/>
                <w:highlight w:val="none"/>
              </w:rPr>
            </w:pPr>
          </w:p>
        </w:tc>
        <w:tc>
          <w:tcPr>
            <w:tcW w:w="555" w:type="dxa"/>
            <w:vAlign w:val="center"/>
          </w:tcPr>
          <w:p w14:paraId="0D4ACC49">
            <w:pPr>
              <w:jc w:val="center"/>
              <w:rPr>
                <w:rFonts w:ascii="宋体" w:hAnsi="宋体"/>
                <w:color w:val="auto"/>
                <w:szCs w:val="21"/>
                <w:highlight w:val="none"/>
              </w:rPr>
            </w:pPr>
          </w:p>
        </w:tc>
        <w:tc>
          <w:tcPr>
            <w:tcW w:w="556" w:type="dxa"/>
            <w:vAlign w:val="center"/>
          </w:tcPr>
          <w:p w14:paraId="41D69806">
            <w:pPr>
              <w:jc w:val="center"/>
              <w:rPr>
                <w:rFonts w:ascii="宋体" w:hAnsi="宋体"/>
                <w:color w:val="auto"/>
                <w:szCs w:val="21"/>
                <w:highlight w:val="none"/>
              </w:rPr>
            </w:pPr>
          </w:p>
        </w:tc>
        <w:tc>
          <w:tcPr>
            <w:tcW w:w="556" w:type="dxa"/>
            <w:vAlign w:val="center"/>
          </w:tcPr>
          <w:p w14:paraId="2AAED1FE">
            <w:pPr>
              <w:jc w:val="center"/>
              <w:rPr>
                <w:rFonts w:ascii="宋体" w:hAnsi="宋体"/>
                <w:color w:val="auto"/>
                <w:szCs w:val="21"/>
                <w:highlight w:val="none"/>
              </w:rPr>
            </w:pPr>
          </w:p>
        </w:tc>
        <w:tc>
          <w:tcPr>
            <w:tcW w:w="556" w:type="dxa"/>
            <w:vAlign w:val="center"/>
          </w:tcPr>
          <w:p w14:paraId="15886DAF">
            <w:pPr>
              <w:jc w:val="center"/>
              <w:rPr>
                <w:rFonts w:ascii="宋体" w:hAnsi="宋体"/>
                <w:color w:val="auto"/>
                <w:szCs w:val="21"/>
                <w:highlight w:val="none"/>
              </w:rPr>
            </w:pPr>
          </w:p>
        </w:tc>
        <w:tc>
          <w:tcPr>
            <w:tcW w:w="556" w:type="dxa"/>
            <w:vAlign w:val="center"/>
          </w:tcPr>
          <w:p w14:paraId="7713931A">
            <w:pPr>
              <w:jc w:val="center"/>
              <w:rPr>
                <w:rFonts w:ascii="宋体" w:hAnsi="宋体"/>
                <w:color w:val="auto"/>
                <w:szCs w:val="21"/>
                <w:highlight w:val="none"/>
              </w:rPr>
            </w:pPr>
          </w:p>
        </w:tc>
        <w:tc>
          <w:tcPr>
            <w:tcW w:w="556" w:type="dxa"/>
            <w:vAlign w:val="center"/>
          </w:tcPr>
          <w:p w14:paraId="59806EF8">
            <w:pPr>
              <w:jc w:val="center"/>
              <w:rPr>
                <w:rFonts w:ascii="宋体" w:hAnsi="宋体"/>
                <w:color w:val="auto"/>
                <w:szCs w:val="21"/>
                <w:highlight w:val="none"/>
              </w:rPr>
            </w:pPr>
          </w:p>
        </w:tc>
        <w:tc>
          <w:tcPr>
            <w:tcW w:w="556" w:type="dxa"/>
            <w:vAlign w:val="center"/>
          </w:tcPr>
          <w:p w14:paraId="5347B5C2">
            <w:pPr>
              <w:jc w:val="center"/>
              <w:rPr>
                <w:rFonts w:ascii="宋体" w:hAnsi="宋体"/>
                <w:color w:val="auto"/>
                <w:szCs w:val="21"/>
                <w:highlight w:val="none"/>
              </w:rPr>
            </w:pPr>
          </w:p>
        </w:tc>
        <w:tc>
          <w:tcPr>
            <w:tcW w:w="556" w:type="dxa"/>
            <w:vAlign w:val="center"/>
          </w:tcPr>
          <w:p w14:paraId="34069F72">
            <w:pPr>
              <w:jc w:val="center"/>
              <w:rPr>
                <w:rFonts w:ascii="宋体" w:hAnsi="宋体"/>
                <w:color w:val="auto"/>
                <w:szCs w:val="21"/>
                <w:highlight w:val="none"/>
              </w:rPr>
            </w:pPr>
          </w:p>
        </w:tc>
        <w:tc>
          <w:tcPr>
            <w:tcW w:w="556" w:type="dxa"/>
            <w:vAlign w:val="center"/>
          </w:tcPr>
          <w:p w14:paraId="7ECF3B14">
            <w:pPr>
              <w:jc w:val="center"/>
              <w:rPr>
                <w:rFonts w:ascii="宋体" w:hAnsi="宋体"/>
                <w:color w:val="auto"/>
                <w:szCs w:val="21"/>
                <w:highlight w:val="none"/>
              </w:rPr>
            </w:pPr>
          </w:p>
        </w:tc>
        <w:tc>
          <w:tcPr>
            <w:tcW w:w="556" w:type="dxa"/>
            <w:vAlign w:val="center"/>
          </w:tcPr>
          <w:p w14:paraId="095004CC">
            <w:pPr>
              <w:jc w:val="center"/>
              <w:rPr>
                <w:rFonts w:ascii="宋体" w:hAnsi="宋体"/>
                <w:color w:val="auto"/>
                <w:szCs w:val="21"/>
                <w:highlight w:val="none"/>
              </w:rPr>
            </w:pPr>
          </w:p>
        </w:tc>
        <w:tc>
          <w:tcPr>
            <w:tcW w:w="555" w:type="dxa"/>
            <w:vAlign w:val="center"/>
          </w:tcPr>
          <w:p w14:paraId="6111C6F1">
            <w:pPr>
              <w:jc w:val="center"/>
              <w:rPr>
                <w:rFonts w:ascii="宋体" w:hAnsi="宋体"/>
                <w:color w:val="auto"/>
                <w:szCs w:val="21"/>
                <w:highlight w:val="none"/>
              </w:rPr>
            </w:pPr>
          </w:p>
        </w:tc>
        <w:tc>
          <w:tcPr>
            <w:tcW w:w="556" w:type="dxa"/>
            <w:vAlign w:val="center"/>
          </w:tcPr>
          <w:p w14:paraId="3786C303">
            <w:pPr>
              <w:jc w:val="center"/>
              <w:rPr>
                <w:rFonts w:ascii="宋体" w:hAnsi="宋体"/>
                <w:color w:val="auto"/>
                <w:szCs w:val="21"/>
                <w:highlight w:val="none"/>
              </w:rPr>
            </w:pPr>
          </w:p>
        </w:tc>
        <w:tc>
          <w:tcPr>
            <w:tcW w:w="556" w:type="dxa"/>
            <w:vAlign w:val="center"/>
          </w:tcPr>
          <w:p w14:paraId="33A743DE">
            <w:pPr>
              <w:jc w:val="center"/>
              <w:rPr>
                <w:rFonts w:ascii="宋体" w:hAnsi="宋体"/>
                <w:color w:val="auto"/>
                <w:szCs w:val="21"/>
                <w:highlight w:val="none"/>
              </w:rPr>
            </w:pPr>
          </w:p>
        </w:tc>
        <w:tc>
          <w:tcPr>
            <w:tcW w:w="556" w:type="dxa"/>
            <w:vAlign w:val="center"/>
          </w:tcPr>
          <w:p w14:paraId="78D3130D">
            <w:pPr>
              <w:jc w:val="center"/>
              <w:rPr>
                <w:rFonts w:ascii="宋体" w:hAnsi="宋体"/>
                <w:color w:val="auto"/>
                <w:szCs w:val="21"/>
                <w:highlight w:val="none"/>
              </w:rPr>
            </w:pPr>
          </w:p>
        </w:tc>
        <w:tc>
          <w:tcPr>
            <w:tcW w:w="556" w:type="dxa"/>
          </w:tcPr>
          <w:p w14:paraId="2AC5DD60">
            <w:pPr>
              <w:jc w:val="center"/>
              <w:rPr>
                <w:rFonts w:ascii="宋体" w:hAnsi="宋体"/>
                <w:color w:val="auto"/>
                <w:szCs w:val="21"/>
                <w:highlight w:val="none"/>
              </w:rPr>
            </w:pPr>
          </w:p>
        </w:tc>
        <w:tc>
          <w:tcPr>
            <w:tcW w:w="556" w:type="dxa"/>
          </w:tcPr>
          <w:p w14:paraId="7B2E80D2">
            <w:pPr>
              <w:jc w:val="center"/>
              <w:rPr>
                <w:rFonts w:ascii="宋体" w:hAnsi="宋体"/>
                <w:color w:val="auto"/>
                <w:szCs w:val="21"/>
                <w:highlight w:val="none"/>
              </w:rPr>
            </w:pPr>
          </w:p>
        </w:tc>
        <w:tc>
          <w:tcPr>
            <w:tcW w:w="556" w:type="dxa"/>
            <w:vAlign w:val="center"/>
          </w:tcPr>
          <w:p w14:paraId="5BF1D3F6">
            <w:pPr>
              <w:jc w:val="center"/>
              <w:rPr>
                <w:rFonts w:ascii="宋体" w:hAnsi="宋体"/>
                <w:color w:val="auto"/>
                <w:szCs w:val="21"/>
                <w:highlight w:val="none"/>
              </w:rPr>
            </w:pPr>
          </w:p>
        </w:tc>
        <w:tc>
          <w:tcPr>
            <w:tcW w:w="470" w:type="dxa"/>
            <w:vAlign w:val="center"/>
          </w:tcPr>
          <w:p w14:paraId="0CDA1EEC">
            <w:pPr>
              <w:jc w:val="center"/>
              <w:rPr>
                <w:rFonts w:ascii="宋体" w:hAnsi="宋体"/>
                <w:color w:val="auto"/>
                <w:szCs w:val="21"/>
                <w:highlight w:val="none"/>
              </w:rPr>
            </w:pPr>
          </w:p>
        </w:tc>
        <w:tc>
          <w:tcPr>
            <w:tcW w:w="1198" w:type="dxa"/>
            <w:vAlign w:val="center"/>
          </w:tcPr>
          <w:p w14:paraId="40354E00">
            <w:pPr>
              <w:jc w:val="center"/>
              <w:rPr>
                <w:rFonts w:ascii="宋体" w:hAnsi="宋体"/>
                <w:color w:val="auto"/>
                <w:szCs w:val="21"/>
                <w:highlight w:val="none"/>
              </w:rPr>
            </w:pPr>
          </w:p>
        </w:tc>
      </w:tr>
      <w:tr w14:paraId="0D58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769EDA7A">
            <w:pPr>
              <w:jc w:val="center"/>
              <w:rPr>
                <w:rFonts w:ascii="宋体" w:hAnsi="宋体"/>
                <w:color w:val="auto"/>
                <w:szCs w:val="21"/>
                <w:highlight w:val="none"/>
              </w:rPr>
            </w:pPr>
            <w:r>
              <w:rPr>
                <w:rFonts w:hint="eastAsia" w:ascii="宋体" w:hAnsi="宋体"/>
                <w:color w:val="auto"/>
                <w:szCs w:val="21"/>
                <w:highlight w:val="none"/>
              </w:rPr>
              <w:t>3</w:t>
            </w:r>
          </w:p>
        </w:tc>
        <w:tc>
          <w:tcPr>
            <w:tcW w:w="2204" w:type="dxa"/>
            <w:vAlign w:val="center"/>
          </w:tcPr>
          <w:p w14:paraId="00A39F69">
            <w:pPr>
              <w:jc w:val="center"/>
              <w:rPr>
                <w:rFonts w:ascii="宋体" w:hAnsi="宋体"/>
                <w:color w:val="auto"/>
                <w:szCs w:val="21"/>
                <w:highlight w:val="none"/>
              </w:rPr>
            </w:pPr>
          </w:p>
        </w:tc>
        <w:tc>
          <w:tcPr>
            <w:tcW w:w="555" w:type="dxa"/>
            <w:vAlign w:val="center"/>
          </w:tcPr>
          <w:p w14:paraId="69022B02">
            <w:pPr>
              <w:jc w:val="center"/>
              <w:rPr>
                <w:rFonts w:ascii="宋体" w:hAnsi="宋体"/>
                <w:color w:val="auto"/>
                <w:szCs w:val="21"/>
                <w:highlight w:val="none"/>
              </w:rPr>
            </w:pPr>
          </w:p>
        </w:tc>
        <w:tc>
          <w:tcPr>
            <w:tcW w:w="556" w:type="dxa"/>
            <w:vAlign w:val="center"/>
          </w:tcPr>
          <w:p w14:paraId="08553F3C">
            <w:pPr>
              <w:jc w:val="center"/>
              <w:rPr>
                <w:rFonts w:ascii="宋体" w:hAnsi="宋体"/>
                <w:color w:val="auto"/>
                <w:szCs w:val="21"/>
                <w:highlight w:val="none"/>
              </w:rPr>
            </w:pPr>
          </w:p>
        </w:tc>
        <w:tc>
          <w:tcPr>
            <w:tcW w:w="556" w:type="dxa"/>
            <w:vAlign w:val="center"/>
          </w:tcPr>
          <w:p w14:paraId="0CE2FD73">
            <w:pPr>
              <w:jc w:val="center"/>
              <w:rPr>
                <w:rFonts w:ascii="宋体" w:hAnsi="宋体"/>
                <w:color w:val="auto"/>
                <w:szCs w:val="21"/>
                <w:highlight w:val="none"/>
              </w:rPr>
            </w:pPr>
          </w:p>
        </w:tc>
        <w:tc>
          <w:tcPr>
            <w:tcW w:w="556" w:type="dxa"/>
            <w:vAlign w:val="center"/>
          </w:tcPr>
          <w:p w14:paraId="22CDEB80">
            <w:pPr>
              <w:jc w:val="center"/>
              <w:rPr>
                <w:rFonts w:ascii="宋体" w:hAnsi="宋体"/>
                <w:color w:val="auto"/>
                <w:szCs w:val="21"/>
                <w:highlight w:val="none"/>
              </w:rPr>
            </w:pPr>
          </w:p>
        </w:tc>
        <w:tc>
          <w:tcPr>
            <w:tcW w:w="556" w:type="dxa"/>
            <w:vAlign w:val="center"/>
          </w:tcPr>
          <w:p w14:paraId="3F851042">
            <w:pPr>
              <w:jc w:val="center"/>
              <w:rPr>
                <w:rFonts w:ascii="宋体" w:hAnsi="宋体"/>
                <w:color w:val="auto"/>
                <w:szCs w:val="21"/>
                <w:highlight w:val="none"/>
              </w:rPr>
            </w:pPr>
          </w:p>
        </w:tc>
        <w:tc>
          <w:tcPr>
            <w:tcW w:w="556" w:type="dxa"/>
            <w:vAlign w:val="center"/>
          </w:tcPr>
          <w:p w14:paraId="36A44269">
            <w:pPr>
              <w:jc w:val="center"/>
              <w:rPr>
                <w:rFonts w:ascii="宋体" w:hAnsi="宋体"/>
                <w:color w:val="auto"/>
                <w:szCs w:val="21"/>
                <w:highlight w:val="none"/>
              </w:rPr>
            </w:pPr>
          </w:p>
        </w:tc>
        <w:tc>
          <w:tcPr>
            <w:tcW w:w="556" w:type="dxa"/>
            <w:vAlign w:val="center"/>
          </w:tcPr>
          <w:p w14:paraId="011A6EBB">
            <w:pPr>
              <w:jc w:val="center"/>
              <w:rPr>
                <w:rFonts w:ascii="宋体" w:hAnsi="宋体"/>
                <w:color w:val="auto"/>
                <w:szCs w:val="21"/>
                <w:highlight w:val="none"/>
              </w:rPr>
            </w:pPr>
          </w:p>
        </w:tc>
        <w:tc>
          <w:tcPr>
            <w:tcW w:w="556" w:type="dxa"/>
            <w:vAlign w:val="center"/>
          </w:tcPr>
          <w:p w14:paraId="79E2F085">
            <w:pPr>
              <w:jc w:val="center"/>
              <w:rPr>
                <w:rFonts w:ascii="宋体" w:hAnsi="宋体"/>
                <w:color w:val="auto"/>
                <w:szCs w:val="21"/>
                <w:highlight w:val="none"/>
              </w:rPr>
            </w:pPr>
          </w:p>
        </w:tc>
        <w:tc>
          <w:tcPr>
            <w:tcW w:w="556" w:type="dxa"/>
            <w:vAlign w:val="center"/>
          </w:tcPr>
          <w:p w14:paraId="61C05FFB">
            <w:pPr>
              <w:jc w:val="center"/>
              <w:rPr>
                <w:rFonts w:ascii="宋体" w:hAnsi="宋体"/>
                <w:color w:val="auto"/>
                <w:szCs w:val="21"/>
                <w:highlight w:val="none"/>
              </w:rPr>
            </w:pPr>
          </w:p>
        </w:tc>
        <w:tc>
          <w:tcPr>
            <w:tcW w:w="556" w:type="dxa"/>
            <w:vAlign w:val="center"/>
          </w:tcPr>
          <w:p w14:paraId="7C620A64">
            <w:pPr>
              <w:jc w:val="center"/>
              <w:rPr>
                <w:rFonts w:ascii="宋体" w:hAnsi="宋体"/>
                <w:color w:val="auto"/>
                <w:szCs w:val="21"/>
                <w:highlight w:val="none"/>
              </w:rPr>
            </w:pPr>
          </w:p>
        </w:tc>
        <w:tc>
          <w:tcPr>
            <w:tcW w:w="555" w:type="dxa"/>
            <w:vAlign w:val="center"/>
          </w:tcPr>
          <w:p w14:paraId="08D08DCD">
            <w:pPr>
              <w:jc w:val="center"/>
              <w:rPr>
                <w:rFonts w:ascii="宋体" w:hAnsi="宋体"/>
                <w:color w:val="auto"/>
                <w:szCs w:val="21"/>
                <w:highlight w:val="none"/>
              </w:rPr>
            </w:pPr>
          </w:p>
        </w:tc>
        <w:tc>
          <w:tcPr>
            <w:tcW w:w="556" w:type="dxa"/>
            <w:vAlign w:val="center"/>
          </w:tcPr>
          <w:p w14:paraId="199D0E35">
            <w:pPr>
              <w:jc w:val="center"/>
              <w:rPr>
                <w:rFonts w:ascii="宋体" w:hAnsi="宋体"/>
                <w:color w:val="auto"/>
                <w:szCs w:val="21"/>
                <w:highlight w:val="none"/>
              </w:rPr>
            </w:pPr>
          </w:p>
        </w:tc>
        <w:tc>
          <w:tcPr>
            <w:tcW w:w="556" w:type="dxa"/>
            <w:vAlign w:val="center"/>
          </w:tcPr>
          <w:p w14:paraId="2AA50D1A">
            <w:pPr>
              <w:jc w:val="center"/>
              <w:rPr>
                <w:rFonts w:ascii="宋体" w:hAnsi="宋体"/>
                <w:color w:val="auto"/>
                <w:szCs w:val="21"/>
                <w:highlight w:val="none"/>
              </w:rPr>
            </w:pPr>
          </w:p>
        </w:tc>
        <w:tc>
          <w:tcPr>
            <w:tcW w:w="556" w:type="dxa"/>
            <w:vAlign w:val="center"/>
          </w:tcPr>
          <w:p w14:paraId="4A1D01FF">
            <w:pPr>
              <w:jc w:val="center"/>
              <w:rPr>
                <w:rFonts w:ascii="宋体" w:hAnsi="宋体"/>
                <w:color w:val="auto"/>
                <w:szCs w:val="21"/>
                <w:highlight w:val="none"/>
              </w:rPr>
            </w:pPr>
          </w:p>
        </w:tc>
        <w:tc>
          <w:tcPr>
            <w:tcW w:w="556" w:type="dxa"/>
          </w:tcPr>
          <w:p w14:paraId="1C017422">
            <w:pPr>
              <w:jc w:val="center"/>
              <w:rPr>
                <w:rFonts w:ascii="宋体" w:hAnsi="宋体"/>
                <w:color w:val="auto"/>
                <w:szCs w:val="21"/>
                <w:highlight w:val="none"/>
              </w:rPr>
            </w:pPr>
          </w:p>
        </w:tc>
        <w:tc>
          <w:tcPr>
            <w:tcW w:w="556" w:type="dxa"/>
          </w:tcPr>
          <w:p w14:paraId="1D7F01BA">
            <w:pPr>
              <w:jc w:val="center"/>
              <w:rPr>
                <w:rFonts w:ascii="宋体" w:hAnsi="宋体"/>
                <w:color w:val="auto"/>
                <w:szCs w:val="21"/>
                <w:highlight w:val="none"/>
              </w:rPr>
            </w:pPr>
          </w:p>
        </w:tc>
        <w:tc>
          <w:tcPr>
            <w:tcW w:w="556" w:type="dxa"/>
            <w:vAlign w:val="center"/>
          </w:tcPr>
          <w:p w14:paraId="38D8CFB6">
            <w:pPr>
              <w:jc w:val="center"/>
              <w:rPr>
                <w:rFonts w:ascii="宋体" w:hAnsi="宋体"/>
                <w:color w:val="auto"/>
                <w:szCs w:val="21"/>
                <w:highlight w:val="none"/>
              </w:rPr>
            </w:pPr>
          </w:p>
        </w:tc>
        <w:tc>
          <w:tcPr>
            <w:tcW w:w="470" w:type="dxa"/>
            <w:vAlign w:val="center"/>
          </w:tcPr>
          <w:p w14:paraId="401F0A06">
            <w:pPr>
              <w:jc w:val="center"/>
              <w:rPr>
                <w:rFonts w:ascii="宋体" w:hAnsi="宋体"/>
                <w:color w:val="auto"/>
                <w:szCs w:val="21"/>
                <w:highlight w:val="none"/>
              </w:rPr>
            </w:pPr>
          </w:p>
        </w:tc>
        <w:tc>
          <w:tcPr>
            <w:tcW w:w="1198" w:type="dxa"/>
            <w:vAlign w:val="center"/>
          </w:tcPr>
          <w:p w14:paraId="6A3506F6">
            <w:pPr>
              <w:jc w:val="center"/>
              <w:rPr>
                <w:rFonts w:ascii="宋体" w:hAnsi="宋体"/>
                <w:color w:val="auto"/>
                <w:szCs w:val="21"/>
                <w:highlight w:val="none"/>
              </w:rPr>
            </w:pPr>
          </w:p>
        </w:tc>
      </w:tr>
      <w:tr w14:paraId="29D7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3C06B1C1">
            <w:pPr>
              <w:jc w:val="center"/>
              <w:rPr>
                <w:rFonts w:ascii="宋体" w:hAnsi="宋体"/>
                <w:color w:val="auto"/>
                <w:szCs w:val="21"/>
                <w:highlight w:val="none"/>
              </w:rPr>
            </w:pPr>
            <w:r>
              <w:rPr>
                <w:rFonts w:hint="eastAsia" w:ascii="宋体" w:hAnsi="宋体"/>
                <w:color w:val="auto"/>
                <w:szCs w:val="21"/>
                <w:highlight w:val="none"/>
              </w:rPr>
              <w:t>4</w:t>
            </w:r>
          </w:p>
        </w:tc>
        <w:tc>
          <w:tcPr>
            <w:tcW w:w="2204" w:type="dxa"/>
            <w:vAlign w:val="center"/>
          </w:tcPr>
          <w:p w14:paraId="73F86CDE">
            <w:pPr>
              <w:jc w:val="center"/>
              <w:rPr>
                <w:rFonts w:ascii="宋体" w:hAnsi="宋体"/>
                <w:color w:val="auto"/>
                <w:szCs w:val="21"/>
                <w:highlight w:val="none"/>
              </w:rPr>
            </w:pPr>
          </w:p>
        </w:tc>
        <w:tc>
          <w:tcPr>
            <w:tcW w:w="555" w:type="dxa"/>
            <w:vAlign w:val="center"/>
          </w:tcPr>
          <w:p w14:paraId="72294EAE">
            <w:pPr>
              <w:jc w:val="center"/>
              <w:rPr>
                <w:rFonts w:ascii="宋体" w:hAnsi="宋体"/>
                <w:color w:val="auto"/>
                <w:szCs w:val="21"/>
                <w:highlight w:val="none"/>
              </w:rPr>
            </w:pPr>
          </w:p>
        </w:tc>
        <w:tc>
          <w:tcPr>
            <w:tcW w:w="556" w:type="dxa"/>
            <w:vAlign w:val="center"/>
          </w:tcPr>
          <w:p w14:paraId="6BBCCD25">
            <w:pPr>
              <w:jc w:val="center"/>
              <w:rPr>
                <w:rFonts w:ascii="宋体" w:hAnsi="宋体"/>
                <w:color w:val="auto"/>
                <w:szCs w:val="21"/>
                <w:highlight w:val="none"/>
              </w:rPr>
            </w:pPr>
          </w:p>
        </w:tc>
        <w:tc>
          <w:tcPr>
            <w:tcW w:w="556" w:type="dxa"/>
            <w:vAlign w:val="center"/>
          </w:tcPr>
          <w:p w14:paraId="5EC01B1C">
            <w:pPr>
              <w:jc w:val="center"/>
              <w:rPr>
                <w:rFonts w:ascii="宋体" w:hAnsi="宋体"/>
                <w:color w:val="auto"/>
                <w:szCs w:val="21"/>
                <w:highlight w:val="none"/>
              </w:rPr>
            </w:pPr>
          </w:p>
        </w:tc>
        <w:tc>
          <w:tcPr>
            <w:tcW w:w="556" w:type="dxa"/>
            <w:vAlign w:val="center"/>
          </w:tcPr>
          <w:p w14:paraId="5B7CBD9C">
            <w:pPr>
              <w:jc w:val="center"/>
              <w:rPr>
                <w:rFonts w:ascii="宋体" w:hAnsi="宋体"/>
                <w:color w:val="auto"/>
                <w:szCs w:val="21"/>
                <w:highlight w:val="none"/>
              </w:rPr>
            </w:pPr>
          </w:p>
        </w:tc>
        <w:tc>
          <w:tcPr>
            <w:tcW w:w="556" w:type="dxa"/>
            <w:vAlign w:val="center"/>
          </w:tcPr>
          <w:p w14:paraId="42ECD9C8">
            <w:pPr>
              <w:jc w:val="center"/>
              <w:rPr>
                <w:rFonts w:ascii="宋体" w:hAnsi="宋体"/>
                <w:color w:val="auto"/>
                <w:szCs w:val="21"/>
                <w:highlight w:val="none"/>
              </w:rPr>
            </w:pPr>
          </w:p>
        </w:tc>
        <w:tc>
          <w:tcPr>
            <w:tcW w:w="556" w:type="dxa"/>
            <w:vAlign w:val="center"/>
          </w:tcPr>
          <w:p w14:paraId="22C9A70B">
            <w:pPr>
              <w:jc w:val="center"/>
              <w:rPr>
                <w:rFonts w:ascii="宋体" w:hAnsi="宋体"/>
                <w:color w:val="auto"/>
                <w:szCs w:val="21"/>
                <w:highlight w:val="none"/>
              </w:rPr>
            </w:pPr>
          </w:p>
        </w:tc>
        <w:tc>
          <w:tcPr>
            <w:tcW w:w="556" w:type="dxa"/>
            <w:vAlign w:val="center"/>
          </w:tcPr>
          <w:p w14:paraId="52DFB008">
            <w:pPr>
              <w:jc w:val="center"/>
              <w:rPr>
                <w:rFonts w:ascii="宋体" w:hAnsi="宋体"/>
                <w:color w:val="auto"/>
                <w:szCs w:val="21"/>
                <w:highlight w:val="none"/>
              </w:rPr>
            </w:pPr>
          </w:p>
        </w:tc>
        <w:tc>
          <w:tcPr>
            <w:tcW w:w="556" w:type="dxa"/>
            <w:vAlign w:val="center"/>
          </w:tcPr>
          <w:p w14:paraId="32F7CC84">
            <w:pPr>
              <w:jc w:val="center"/>
              <w:rPr>
                <w:rFonts w:ascii="宋体" w:hAnsi="宋体"/>
                <w:color w:val="auto"/>
                <w:szCs w:val="21"/>
                <w:highlight w:val="none"/>
              </w:rPr>
            </w:pPr>
          </w:p>
        </w:tc>
        <w:tc>
          <w:tcPr>
            <w:tcW w:w="556" w:type="dxa"/>
            <w:vAlign w:val="center"/>
          </w:tcPr>
          <w:p w14:paraId="1E2398B3">
            <w:pPr>
              <w:jc w:val="center"/>
              <w:rPr>
                <w:rFonts w:ascii="宋体" w:hAnsi="宋体"/>
                <w:color w:val="auto"/>
                <w:szCs w:val="21"/>
                <w:highlight w:val="none"/>
              </w:rPr>
            </w:pPr>
          </w:p>
        </w:tc>
        <w:tc>
          <w:tcPr>
            <w:tcW w:w="556" w:type="dxa"/>
            <w:vAlign w:val="center"/>
          </w:tcPr>
          <w:p w14:paraId="1C09C57F">
            <w:pPr>
              <w:jc w:val="center"/>
              <w:rPr>
                <w:rFonts w:ascii="宋体" w:hAnsi="宋体"/>
                <w:color w:val="auto"/>
                <w:szCs w:val="21"/>
                <w:highlight w:val="none"/>
              </w:rPr>
            </w:pPr>
          </w:p>
        </w:tc>
        <w:tc>
          <w:tcPr>
            <w:tcW w:w="555" w:type="dxa"/>
            <w:vAlign w:val="center"/>
          </w:tcPr>
          <w:p w14:paraId="0B7EB38D">
            <w:pPr>
              <w:jc w:val="center"/>
              <w:rPr>
                <w:rFonts w:ascii="宋体" w:hAnsi="宋体"/>
                <w:color w:val="auto"/>
                <w:szCs w:val="21"/>
                <w:highlight w:val="none"/>
              </w:rPr>
            </w:pPr>
          </w:p>
        </w:tc>
        <w:tc>
          <w:tcPr>
            <w:tcW w:w="556" w:type="dxa"/>
            <w:vAlign w:val="center"/>
          </w:tcPr>
          <w:p w14:paraId="2358AD26">
            <w:pPr>
              <w:jc w:val="center"/>
              <w:rPr>
                <w:rFonts w:ascii="宋体" w:hAnsi="宋体"/>
                <w:color w:val="auto"/>
                <w:szCs w:val="21"/>
                <w:highlight w:val="none"/>
              </w:rPr>
            </w:pPr>
          </w:p>
        </w:tc>
        <w:tc>
          <w:tcPr>
            <w:tcW w:w="556" w:type="dxa"/>
            <w:vAlign w:val="center"/>
          </w:tcPr>
          <w:p w14:paraId="59CC3E84">
            <w:pPr>
              <w:jc w:val="center"/>
              <w:rPr>
                <w:rFonts w:ascii="宋体" w:hAnsi="宋体"/>
                <w:color w:val="auto"/>
                <w:szCs w:val="21"/>
                <w:highlight w:val="none"/>
              </w:rPr>
            </w:pPr>
          </w:p>
        </w:tc>
        <w:tc>
          <w:tcPr>
            <w:tcW w:w="556" w:type="dxa"/>
            <w:vAlign w:val="center"/>
          </w:tcPr>
          <w:p w14:paraId="0311FC21">
            <w:pPr>
              <w:jc w:val="center"/>
              <w:rPr>
                <w:rFonts w:ascii="宋体" w:hAnsi="宋体"/>
                <w:color w:val="auto"/>
                <w:szCs w:val="21"/>
                <w:highlight w:val="none"/>
              </w:rPr>
            </w:pPr>
          </w:p>
        </w:tc>
        <w:tc>
          <w:tcPr>
            <w:tcW w:w="556" w:type="dxa"/>
          </w:tcPr>
          <w:p w14:paraId="40467165">
            <w:pPr>
              <w:jc w:val="center"/>
              <w:rPr>
                <w:rFonts w:ascii="宋体" w:hAnsi="宋体"/>
                <w:color w:val="auto"/>
                <w:szCs w:val="21"/>
                <w:highlight w:val="none"/>
              </w:rPr>
            </w:pPr>
          </w:p>
        </w:tc>
        <w:tc>
          <w:tcPr>
            <w:tcW w:w="556" w:type="dxa"/>
          </w:tcPr>
          <w:p w14:paraId="102389B9">
            <w:pPr>
              <w:jc w:val="center"/>
              <w:rPr>
                <w:rFonts w:ascii="宋体" w:hAnsi="宋体"/>
                <w:color w:val="auto"/>
                <w:szCs w:val="21"/>
                <w:highlight w:val="none"/>
              </w:rPr>
            </w:pPr>
          </w:p>
        </w:tc>
        <w:tc>
          <w:tcPr>
            <w:tcW w:w="556" w:type="dxa"/>
            <w:vAlign w:val="center"/>
          </w:tcPr>
          <w:p w14:paraId="0A1BC3FB">
            <w:pPr>
              <w:jc w:val="center"/>
              <w:rPr>
                <w:rFonts w:ascii="宋体" w:hAnsi="宋体"/>
                <w:color w:val="auto"/>
                <w:szCs w:val="21"/>
                <w:highlight w:val="none"/>
              </w:rPr>
            </w:pPr>
          </w:p>
        </w:tc>
        <w:tc>
          <w:tcPr>
            <w:tcW w:w="470" w:type="dxa"/>
            <w:vAlign w:val="center"/>
          </w:tcPr>
          <w:p w14:paraId="3513E5B8">
            <w:pPr>
              <w:jc w:val="center"/>
              <w:rPr>
                <w:rFonts w:ascii="宋体" w:hAnsi="宋体"/>
                <w:color w:val="auto"/>
                <w:szCs w:val="21"/>
                <w:highlight w:val="none"/>
              </w:rPr>
            </w:pPr>
          </w:p>
        </w:tc>
        <w:tc>
          <w:tcPr>
            <w:tcW w:w="1198" w:type="dxa"/>
            <w:vAlign w:val="center"/>
          </w:tcPr>
          <w:p w14:paraId="2FAD857C">
            <w:pPr>
              <w:jc w:val="center"/>
              <w:rPr>
                <w:rFonts w:ascii="宋体" w:hAnsi="宋体"/>
                <w:color w:val="auto"/>
                <w:szCs w:val="21"/>
                <w:highlight w:val="none"/>
              </w:rPr>
            </w:pPr>
          </w:p>
        </w:tc>
      </w:tr>
      <w:tr w14:paraId="6F70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49D638FD">
            <w:pPr>
              <w:jc w:val="center"/>
              <w:rPr>
                <w:rFonts w:ascii="宋体" w:hAnsi="宋体"/>
                <w:color w:val="auto"/>
                <w:szCs w:val="21"/>
                <w:highlight w:val="none"/>
              </w:rPr>
            </w:pPr>
            <w:r>
              <w:rPr>
                <w:rFonts w:hint="eastAsia" w:ascii="宋体" w:hAnsi="宋体"/>
                <w:color w:val="auto"/>
                <w:szCs w:val="21"/>
                <w:highlight w:val="none"/>
              </w:rPr>
              <w:t>5</w:t>
            </w:r>
          </w:p>
        </w:tc>
        <w:tc>
          <w:tcPr>
            <w:tcW w:w="2204" w:type="dxa"/>
            <w:vAlign w:val="center"/>
          </w:tcPr>
          <w:p w14:paraId="7282F175">
            <w:pPr>
              <w:jc w:val="center"/>
              <w:rPr>
                <w:rFonts w:ascii="宋体" w:hAnsi="宋体"/>
                <w:color w:val="auto"/>
                <w:szCs w:val="21"/>
                <w:highlight w:val="none"/>
              </w:rPr>
            </w:pPr>
          </w:p>
        </w:tc>
        <w:tc>
          <w:tcPr>
            <w:tcW w:w="555" w:type="dxa"/>
            <w:vAlign w:val="center"/>
          </w:tcPr>
          <w:p w14:paraId="4F234162">
            <w:pPr>
              <w:jc w:val="center"/>
              <w:rPr>
                <w:rFonts w:ascii="宋体" w:hAnsi="宋体"/>
                <w:color w:val="auto"/>
                <w:szCs w:val="21"/>
                <w:highlight w:val="none"/>
              </w:rPr>
            </w:pPr>
          </w:p>
        </w:tc>
        <w:tc>
          <w:tcPr>
            <w:tcW w:w="556" w:type="dxa"/>
            <w:vAlign w:val="center"/>
          </w:tcPr>
          <w:p w14:paraId="47D5FD6A">
            <w:pPr>
              <w:jc w:val="center"/>
              <w:rPr>
                <w:rFonts w:ascii="宋体" w:hAnsi="宋体"/>
                <w:color w:val="auto"/>
                <w:szCs w:val="21"/>
                <w:highlight w:val="none"/>
              </w:rPr>
            </w:pPr>
          </w:p>
        </w:tc>
        <w:tc>
          <w:tcPr>
            <w:tcW w:w="556" w:type="dxa"/>
            <w:vAlign w:val="center"/>
          </w:tcPr>
          <w:p w14:paraId="60311388">
            <w:pPr>
              <w:jc w:val="center"/>
              <w:rPr>
                <w:rFonts w:ascii="宋体" w:hAnsi="宋体"/>
                <w:color w:val="auto"/>
                <w:szCs w:val="21"/>
                <w:highlight w:val="none"/>
              </w:rPr>
            </w:pPr>
          </w:p>
        </w:tc>
        <w:tc>
          <w:tcPr>
            <w:tcW w:w="556" w:type="dxa"/>
            <w:vAlign w:val="center"/>
          </w:tcPr>
          <w:p w14:paraId="00455E69">
            <w:pPr>
              <w:jc w:val="center"/>
              <w:rPr>
                <w:rFonts w:ascii="宋体" w:hAnsi="宋体"/>
                <w:color w:val="auto"/>
                <w:szCs w:val="21"/>
                <w:highlight w:val="none"/>
              </w:rPr>
            </w:pPr>
          </w:p>
        </w:tc>
        <w:tc>
          <w:tcPr>
            <w:tcW w:w="556" w:type="dxa"/>
            <w:vAlign w:val="center"/>
          </w:tcPr>
          <w:p w14:paraId="6E57E3B1">
            <w:pPr>
              <w:jc w:val="center"/>
              <w:rPr>
                <w:rFonts w:ascii="宋体" w:hAnsi="宋体"/>
                <w:color w:val="auto"/>
                <w:szCs w:val="21"/>
                <w:highlight w:val="none"/>
              </w:rPr>
            </w:pPr>
          </w:p>
        </w:tc>
        <w:tc>
          <w:tcPr>
            <w:tcW w:w="556" w:type="dxa"/>
            <w:vAlign w:val="center"/>
          </w:tcPr>
          <w:p w14:paraId="52E5C762">
            <w:pPr>
              <w:jc w:val="center"/>
              <w:rPr>
                <w:rFonts w:ascii="宋体" w:hAnsi="宋体"/>
                <w:color w:val="auto"/>
                <w:szCs w:val="21"/>
                <w:highlight w:val="none"/>
              </w:rPr>
            </w:pPr>
          </w:p>
        </w:tc>
        <w:tc>
          <w:tcPr>
            <w:tcW w:w="556" w:type="dxa"/>
            <w:vAlign w:val="center"/>
          </w:tcPr>
          <w:p w14:paraId="18E0A0D5">
            <w:pPr>
              <w:jc w:val="center"/>
              <w:rPr>
                <w:rFonts w:ascii="宋体" w:hAnsi="宋体"/>
                <w:color w:val="auto"/>
                <w:szCs w:val="21"/>
                <w:highlight w:val="none"/>
              </w:rPr>
            </w:pPr>
          </w:p>
        </w:tc>
        <w:tc>
          <w:tcPr>
            <w:tcW w:w="556" w:type="dxa"/>
            <w:vAlign w:val="center"/>
          </w:tcPr>
          <w:p w14:paraId="68DCFB81">
            <w:pPr>
              <w:jc w:val="center"/>
              <w:rPr>
                <w:rFonts w:ascii="宋体" w:hAnsi="宋体"/>
                <w:color w:val="auto"/>
                <w:szCs w:val="21"/>
                <w:highlight w:val="none"/>
              </w:rPr>
            </w:pPr>
          </w:p>
        </w:tc>
        <w:tc>
          <w:tcPr>
            <w:tcW w:w="556" w:type="dxa"/>
            <w:vAlign w:val="center"/>
          </w:tcPr>
          <w:p w14:paraId="2CBA8800">
            <w:pPr>
              <w:jc w:val="center"/>
              <w:rPr>
                <w:rFonts w:ascii="宋体" w:hAnsi="宋体"/>
                <w:color w:val="auto"/>
                <w:szCs w:val="21"/>
                <w:highlight w:val="none"/>
              </w:rPr>
            </w:pPr>
          </w:p>
        </w:tc>
        <w:tc>
          <w:tcPr>
            <w:tcW w:w="556" w:type="dxa"/>
            <w:vAlign w:val="center"/>
          </w:tcPr>
          <w:p w14:paraId="14DDC72C">
            <w:pPr>
              <w:jc w:val="center"/>
              <w:rPr>
                <w:rFonts w:ascii="宋体" w:hAnsi="宋体"/>
                <w:color w:val="auto"/>
                <w:szCs w:val="21"/>
                <w:highlight w:val="none"/>
              </w:rPr>
            </w:pPr>
          </w:p>
        </w:tc>
        <w:tc>
          <w:tcPr>
            <w:tcW w:w="555" w:type="dxa"/>
            <w:vAlign w:val="center"/>
          </w:tcPr>
          <w:p w14:paraId="0665B484">
            <w:pPr>
              <w:jc w:val="center"/>
              <w:rPr>
                <w:rFonts w:ascii="宋体" w:hAnsi="宋体"/>
                <w:color w:val="auto"/>
                <w:szCs w:val="21"/>
                <w:highlight w:val="none"/>
              </w:rPr>
            </w:pPr>
          </w:p>
        </w:tc>
        <w:tc>
          <w:tcPr>
            <w:tcW w:w="556" w:type="dxa"/>
            <w:vAlign w:val="center"/>
          </w:tcPr>
          <w:p w14:paraId="5C20DCF3">
            <w:pPr>
              <w:jc w:val="center"/>
              <w:rPr>
                <w:rFonts w:ascii="宋体" w:hAnsi="宋体"/>
                <w:color w:val="auto"/>
                <w:szCs w:val="21"/>
                <w:highlight w:val="none"/>
              </w:rPr>
            </w:pPr>
          </w:p>
        </w:tc>
        <w:tc>
          <w:tcPr>
            <w:tcW w:w="556" w:type="dxa"/>
            <w:vAlign w:val="center"/>
          </w:tcPr>
          <w:p w14:paraId="5885A17B">
            <w:pPr>
              <w:jc w:val="center"/>
              <w:rPr>
                <w:rFonts w:ascii="宋体" w:hAnsi="宋体"/>
                <w:color w:val="auto"/>
                <w:szCs w:val="21"/>
                <w:highlight w:val="none"/>
              </w:rPr>
            </w:pPr>
          </w:p>
        </w:tc>
        <w:tc>
          <w:tcPr>
            <w:tcW w:w="556" w:type="dxa"/>
            <w:vAlign w:val="center"/>
          </w:tcPr>
          <w:p w14:paraId="6F5DD619">
            <w:pPr>
              <w:jc w:val="center"/>
              <w:rPr>
                <w:rFonts w:ascii="宋体" w:hAnsi="宋体"/>
                <w:color w:val="auto"/>
                <w:szCs w:val="21"/>
                <w:highlight w:val="none"/>
              </w:rPr>
            </w:pPr>
          </w:p>
        </w:tc>
        <w:tc>
          <w:tcPr>
            <w:tcW w:w="556" w:type="dxa"/>
          </w:tcPr>
          <w:p w14:paraId="7FC81D97">
            <w:pPr>
              <w:jc w:val="center"/>
              <w:rPr>
                <w:rFonts w:ascii="宋体" w:hAnsi="宋体"/>
                <w:color w:val="auto"/>
                <w:szCs w:val="21"/>
                <w:highlight w:val="none"/>
              </w:rPr>
            </w:pPr>
          </w:p>
        </w:tc>
        <w:tc>
          <w:tcPr>
            <w:tcW w:w="556" w:type="dxa"/>
          </w:tcPr>
          <w:p w14:paraId="17AFA87C">
            <w:pPr>
              <w:jc w:val="center"/>
              <w:rPr>
                <w:rFonts w:ascii="宋体" w:hAnsi="宋体"/>
                <w:color w:val="auto"/>
                <w:szCs w:val="21"/>
                <w:highlight w:val="none"/>
              </w:rPr>
            </w:pPr>
          </w:p>
        </w:tc>
        <w:tc>
          <w:tcPr>
            <w:tcW w:w="556" w:type="dxa"/>
            <w:vAlign w:val="center"/>
          </w:tcPr>
          <w:p w14:paraId="4F929C1B">
            <w:pPr>
              <w:jc w:val="center"/>
              <w:rPr>
                <w:rFonts w:ascii="宋体" w:hAnsi="宋体"/>
                <w:color w:val="auto"/>
                <w:szCs w:val="21"/>
                <w:highlight w:val="none"/>
              </w:rPr>
            </w:pPr>
          </w:p>
        </w:tc>
        <w:tc>
          <w:tcPr>
            <w:tcW w:w="470" w:type="dxa"/>
            <w:vAlign w:val="center"/>
          </w:tcPr>
          <w:p w14:paraId="377BB776">
            <w:pPr>
              <w:jc w:val="center"/>
              <w:rPr>
                <w:rFonts w:ascii="宋体" w:hAnsi="宋体"/>
                <w:color w:val="auto"/>
                <w:szCs w:val="21"/>
                <w:highlight w:val="none"/>
              </w:rPr>
            </w:pPr>
          </w:p>
        </w:tc>
        <w:tc>
          <w:tcPr>
            <w:tcW w:w="1198" w:type="dxa"/>
            <w:vAlign w:val="center"/>
          </w:tcPr>
          <w:p w14:paraId="5E2C9ACE">
            <w:pPr>
              <w:jc w:val="center"/>
              <w:rPr>
                <w:rFonts w:ascii="宋体" w:hAnsi="宋体"/>
                <w:color w:val="auto"/>
                <w:szCs w:val="21"/>
                <w:highlight w:val="none"/>
              </w:rPr>
            </w:pPr>
          </w:p>
        </w:tc>
      </w:tr>
      <w:tr w14:paraId="3450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0F84BF61">
            <w:pPr>
              <w:jc w:val="center"/>
              <w:rPr>
                <w:rFonts w:ascii="宋体" w:hAnsi="宋体"/>
                <w:color w:val="auto"/>
                <w:szCs w:val="21"/>
                <w:highlight w:val="none"/>
              </w:rPr>
            </w:pPr>
            <w:r>
              <w:rPr>
                <w:rFonts w:hint="eastAsia" w:ascii="黑体" w:hAnsi="黑体" w:eastAsia="黑体"/>
                <w:color w:val="auto"/>
                <w:szCs w:val="44"/>
                <w:highlight w:val="none"/>
              </w:rPr>
              <w:t>…</w:t>
            </w:r>
          </w:p>
        </w:tc>
        <w:tc>
          <w:tcPr>
            <w:tcW w:w="2204" w:type="dxa"/>
            <w:vAlign w:val="center"/>
          </w:tcPr>
          <w:p w14:paraId="31CA2BD4">
            <w:pPr>
              <w:jc w:val="center"/>
              <w:rPr>
                <w:rFonts w:ascii="宋体" w:hAnsi="宋体"/>
                <w:color w:val="auto"/>
                <w:szCs w:val="21"/>
                <w:highlight w:val="none"/>
              </w:rPr>
            </w:pPr>
          </w:p>
        </w:tc>
        <w:tc>
          <w:tcPr>
            <w:tcW w:w="555" w:type="dxa"/>
            <w:vAlign w:val="center"/>
          </w:tcPr>
          <w:p w14:paraId="025B54F0">
            <w:pPr>
              <w:jc w:val="center"/>
              <w:rPr>
                <w:rFonts w:ascii="宋体" w:hAnsi="宋体"/>
                <w:color w:val="auto"/>
                <w:szCs w:val="21"/>
                <w:highlight w:val="none"/>
              </w:rPr>
            </w:pPr>
          </w:p>
        </w:tc>
        <w:tc>
          <w:tcPr>
            <w:tcW w:w="556" w:type="dxa"/>
            <w:vAlign w:val="center"/>
          </w:tcPr>
          <w:p w14:paraId="154FB8A7">
            <w:pPr>
              <w:jc w:val="center"/>
              <w:rPr>
                <w:rFonts w:ascii="宋体" w:hAnsi="宋体"/>
                <w:color w:val="auto"/>
                <w:szCs w:val="21"/>
                <w:highlight w:val="none"/>
              </w:rPr>
            </w:pPr>
          </w:p>
        </w:tc>
        <w:tc>
          <w:tcPr>
            <w:tcW w:w="556" w:type="dxa"/>
            <w:vAlign w:val="center"/>
          </w:tcPr>
          <w:p w14:paraId="61E72668">
            <w:pPr>
              <w:jc w:val="center"/>
              <w:rPr>
                <w:rFonts w:ascii="宋体" w:hAnsi="宋体"/>
                <w:color w:val="auto"/>
                <w:szCs w:val="21"/>
                <w:highlight w:val="none"/>
              </w:rPr>
            </w:pPr>
          </w:p>
        </w:tc>
        <w:tc>
          <w:tcPr>
            <w:tcW w:w="556" w:type="dxa"/>
            <w:vAlign w:val="center"/>
          </w:tcPr>
          <w:p w14:paraId="663A4E8C">
            <w:pPr>
              <w:jc w:val="center"/>
              <w:rPr>
                <w:rFonts w:ascii="宋体" w:hAnsi="宋体"/>
                <w:color w:val="auto"/>
                <w:szCs w:val="21"/>
                <w:highlight w:val="none"/>
              </w:rPr>
            </w:pPr>
          </w:p>
        </w:tc>
        <w:tc>
          <w:tcPr>
            <w:tcW w:w="556" w:type="dxa"/>
            <w:vAlign w:val="center"/>
          </w:tcPr>
          <w:p w14:paraId="1F418E1A">
            <w:pPr>
              <w:jc w:val="center"/>
              <w:rPr>
                <w:rFonts w:ascii="宋体" w:hAnsi="宋体"/>
                <w:color w:val="auto"/>
                <w:szCs w:val="21"/>
                <w:highlight w:val="none"/>
              </w:rPr>
            </w:pPr>
          </w:p>
        </w:tc>
        <w:tc>
          <w:tcPr>
            <w:tcW w:w="556" w:type="dxa"/>
            <w:vAlign w:val="center"/>
          </w:tcPr>
          <w:p w14:paraId="12D975BA">
            <w:pPr>
              <w:jc w:val="center"/>
              <w:rPr>
                <w:rFonts w:ascii="宋体" w:hAnsi="宋体"/>
                <w:color w:val="auto"/>
                <w:szCs w:val="21"/>
                <w:highlight w:val="none"/>
              </w:rPr>
            </w:pPr>
          </w:p>
        </w:tc>
        <w:tc>
          <w:tcPr>
            <w:tcW w:w="556" w:type="dxa"/>
            <w:vAlign w:val="center"/>
          </w:tcPr>
          <w:p w14:paraId="2864D8F0">
            <w:pPr>
              <w:jc w:val="center"/>
              <w:rPr>
                <w:rFonts w:ascii="宋体" w:hAnsi="宋体"/>
                <w:color w:val="auto"/>
                <w:szCs w:val="21"/>
                <w:highlight w:val="none"/>
              </w:rPr>
            </w:pPr>
          </w:p>
        </w:tc>
        <w:tc>
          <w:tcPr>
            <w:tcW w:w="556" w:type="dxa"/>
            <w:vAlign w:val="center"/>
          </w:tcPr>
          <w:p w14:paraId="7F902660">
            <w:pPr>
              <w:jc w:val="center"/>
              <w:rPr>
                <w:rFonts w:ascii="宋体" w:hAnsi="宋体"/>
                <w:color w:val="auto"/>
                <w:szCs w:val="21"/>
                <w:highlight w:val="none"/>
              </w:rPr>
            </w:pPr>
          </w:p>
        </w:tc>
        <w:tc>
          <w:tcPr>
            <w:tcW w:w="556" w:type="dxa"/>
            <w:vAlign w:val="center"/>
          </w:tcPr>
          <w:p w14:paraId="45B3835A">
            <w:pPr>
              <w:jc w:val="center"/>
              <w:rPr>
                <w:rFonts w:ascii="宋体" w:hAnsi="宋体"/>
                <w:color w:val="auto"/>
                <w:szCs w:val="21"/>
                <w:highlight w:val="none"/>
              </w:rPr>
            </w:pPr>
          </w:p>
        </w:tc>
        <w:tc>
          <w:tcPr>
            <w:tcW w:w="556" w:type="dxa"/>
            <w:vAlign w:val="center"/>
          </w:tcPr>
          <w:p w14:paraId="6CFB6BD5">
            <w:pPr>
              <w:jc w:val="center"/>
              <w:rPr>
                <w:rFonts w:ascii="宋体" w:hAnsi="宋体"/>
                <w:color w:val="auto"/>
                <w:szCs w:val="21"/>
                <w:highlight w:val="none"/>
              </w:rPr>
            </w:pPr>
          </w:p>
        </w:tc>
        <w:tc>
          <w:tcPr>
            <w:tcW w:w="555" w:type="dxa"/>
            <w:vAlign w:val="center"/>
          </w:tcPr>
          <w:p w14:paraId="02FEED8A">
            <w:pPr>
              <w:jc w:val="center"/>
              <w:rPr>
                <w:rFonts w:ascii="宋体" w:hAnsi="宋体"/>
                <w:color w:val="auto"/>
                <w:szCs w:val="21"/>
                <w:highlight w:val="none"/>
              </w:rPr>
            </w:pPr>
          </w:p>
        </w:tc>
        <w:tc>
          <w:tcPr>
            <w:tcW w:w="556" w:type="dxa"/>
            <w:vAlign w:val="center"/>
          </w:tcPr>
          <w:p w14:paraId="1EF6BC4B">
            <w:pPr>
              <w:jc w:val="center"/>
              <w:rPr>
                <w:rFonts w:ascii="宋体" w:hAnsi="宋体"/>
                <w:color w:val="auto"/>
                <w:szCs w:val="21"/>
                <w:highlight w:val="none"/>
              </w:rPr>
            </w:pPr>
          </w:p>
        </w:tc>
        <w:tc>
          <w:tcPr>
            <w:tcW w:w="556" w:type="dxa"/>
            <w:vAlign w:val="center"/>
          </w:tcPr>
          <w:p w14:paraId="11B7F3B7">
            <w:pPr>
              <w:jc w:val="center"/>
              <w:rPr>
                <w:rFonts w:ascii="宋体" w:hAnsi="宋体"/>
                <w:color w:val="auto"/>
                <w:szCs w:val="21"/>
                <w:highlight w:val="none"/>
              </w:rPr>
            </w:pPr>
          </w:p>
        </w:tc>
        <w:tc>
          <w:tcPr>
            <w:tcW w:w="556" w:type="dxa"/>
            <w:vAlign w:val="center"/>
          </w:tcPr>
          <w:p w14:paraId="226944C8">
            <w:pPr>
              <w:jc w:val="center"/>
              <w:rPr>
                <w:rFonts w:ascii="宋体" w:hAnsi="宋体"/>
                <w:color w:val="auto"/>
                <w:szCs w:val="21"/>
                <w:highlight w:val="none"/>
              </w:rPr>
            </w:pPr>
          </w:p>
        </w:tc>
        <w:tc>
          <w:tcPr>
            <w:tcW w:w="556" w:type="dxa"/>
          </w:tcPr>
          <w:p w14:paraId="640C82B1">
            <w:pPr>
              <w:jc w:val="center"/>
              <w:rPr>
                <w:rFonts w:ascii="宋体" w:hAnsi="宋体"/>
                <w:color w:val="auto"/>
                <w:szCs w:val="21"/>
                <w:highlight w:val="none"/>
              </w:rPr>
            </w:pPr>
          </w:p>
        </w:tc>
        <w:tc>
          <w:tcPr>
            <w:tcW w:w="556" w:type="dxa"/>
          </w:tcPr>
          <w:p w14:paraId="38E7757B">
            <w:pPr>
              <w:jc w:val="center"/>
              <w:rPr>
                <w:rFonts w:ascii="宋体" w:hAnsi="宋体"/>
                <w:color w:val="auto"/>
                <w:szCs w:val="21"/>
                <w:highlight w:val="none"/>
              </w:rPr>
            </w:pPr>
          </w:p>
        </w:tc>
        <w:tc>
          <w:tcPr>
            <w:tcW w:w="556" w:type="dxa"/>
            <w:vAlign w:val="center"/>
          </w:tcPr>
          <w:p w14:paraId="327DD4A2">
            <w:pPr>
              <w:jc w:val="center"/>
              <w:rPr>
                <w:rFonts w:ascii="宋体" w:hAnsi="宋体"/>
                <w:color w:val="auto"/>
                <w:szCs w:val="21"/>
                <w:highlight w:val="none"/>
              </w:rPr>
            </w:pPr>
          </w:p>
        </w:tc>
        <w:tc>
          <w:tcPr>
            <w:tcW w:w="470" w:type="dxa"/>
            <w:vAlign w:val="center"/>
          </w:tcPr>
          <w:p w14:paraId="76BF72C1">
            <w:pPr>
              <w:jc w:val="center"/>
              <w:rPr>
                <w:rFonts w:ascii="宋体" w:hAnsi="宋体"/>
                <w:color w:val="auto"/>
                <w:szCs w:val="21"/>
                <w:highlight w:val="none"/>
              </w:rPr>
            </w:pPr>
          </w:p>
        </w:tc>
        <w:tc>
          <w:tcPr>
            <w:tcW w:w="1198" w:type="dxa"/>
            <w:vAlign w:val="center"/>
          </w:tcPr>
          <w:p w14:paraId="4C5E1071">
            <w:pPr>
              <w:jc w:val="center"/>
              <w:rPr>
                <w:rFonts w:ascii="宋体" w:hAnsi="宋体"/>
                <w:color w:val="auto"/>
                <w:szCs w:val="21"/>
                <w:highlight w:val="none"/>
              </w:rPr>
            </w:pPr>
          </w:p>
        </w:tc>
      </w:tr>
    </w:tbl>
    <w:p w14:paraId="160A7519">
      <w:pPr>
        <w:rPr>
          <w:color w:val="auto"/>
          <w:highlight w:val="none"/>
        </w:rPr>
      </w:pPr>
    </w:p>
    <w:p w14:paraId="2BAF7F44">
      <w:pPr>
        <w:rPr>
          <w:color w:val="auto"/>
          <w:highlight w:val="none"/>
        </w:rPr>
      </w:pPr>
      <w:r>
        <w:rPr>
          <w:rFonts w:hint="eastAsia"/>
          <w:color w:val="auto"/>
          <w:highlight w:val="none"/>
        </w:rPr>
        <w:t>技术标评委签名：</w:t>
      </w: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日期：      年    月   日</w:t>
      </w:r>
      <w:bookmarkEnd w:id="582"/>
    </w:p>
    <w:p w14:paraId="6797C6A6">
      <w:pPr>
        <w:rPr>
          <w:color w:val="auto"/>
          <w:highlight w:val="none"/>
        </w:rPr>
      </w:pPr>
      <w:r>
        <w:rPr>
          <w:color w:val="auto"/>
          <w:highlight w:val="none"/>
        </w:rPr>
        <w:br w:type="page"/>
      </w:r>
    </w:p>
    <w:p w14:paraId="6ED04528">
      <w:pPr>
        <w:pStyle w:val="25"/>
        <w:rPr>
          <w:rFonts w:ascii="黑体"/>
          <w:color w:val="auto"/>
          <w:highlight w:val="none"/>
        </w:rPr>
      </w:pPr>
      <w:bookmarkStart w:id="583" w:name="_Toc256000142"/>
      <w:bookmarkStart w:id="584" w:name="_Toc32740"/>
      <w:bookmarkStart w:id="585" w:name="_Toc17992"/>
      <w:bookmarkStart w:id="586" w:name="_Toc25711"/>
      <w:bookmarkStart w:id="587" w:name="_Toc29338"/>
      <w:bookmarkStart w:id="588" w:name="_Toc165804459"/>
      <w:r>
        <w:rPr>
          <w:rFonts w:hint="eastAsia"/>
          <w:color w:val="auto"/>
          <w:highlight w:val="none"/>
        </w:rPr>
        <w:t>附表A-1</w:t>
      </w:r>
      <w:r>
        <w:rPr>
          <w:color w:val="auto"/>
          <w:highlight w:val="none"/>
        </w:rPr>
        <w:t>3</w:t>
      </w:r>
      <w:r>
        <w:rPr>
          <w:rFonts w:hint="eastAsia"/>
          <w:color w:val="auto"/>
          <w:highlight w:val="none"/>
        </w:rPr>
        <w:t>：</w:t>
      </w:r>
      <w:r>
        <w:rPr>
          <w:rFonts w:hint="eastAsia" w:ascii="宋体" w:hAnsi="宋体"/>
          <w:color w:val="auto"/>
          <w:szCs w:val="21"/>
          <w:highlight w:val="none"/>
        </w:rPr>
        <w:t>资信标</w:t>
      </w:r>
      <w:r>
        <w:rPr>
          <w:rFonts w:hint="eastAsia"/>
          <w:color w:val="auto"/>
          <w:highlight w:val="none"/>
        </w:rPr>
        <w:t>评审记录表</w:t>
      </w:r>
      <w:bookmarkEnd w:id="583"/>
      <w:bookmarkEnd w:id="584"/>
      <w:bookmarkEnd w:id="585"/>
      <w:bookmarkEnd w:id="586"/>
      <w:bookmarkEnd w:id="587"/>
      <w:bookmarkEnd w:id="588"/>
    </w:p>
    <w:p w14:paraId="6F4FE896">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资信标评审记录表</w:t>
      </w:r>
    </w:p>
    <w:p w14:paraId="285A65E4">
      <w:pPr>
        <w:rPr>
          <w:rFonts w:ascii="宋体" w:hAnsi="宋体"/>
          <w:color w:val="auto"/>
          <w:szCs w:val="44"/>
          <w:highlight w:val="none"/>
        </w:rPr>
      </w:pPr>
      <w:bookmarkStart w:id="589" w:name="_Hlk150332985"/>
      <w:r>
        <w:rPr>
          <w:rFonts w:hint="eastAsia" w:ascii="宋体" w:hAnsi="宋体"/>
          <w:color w:val="auto"/>
          <w:szCs w:val="44"/>
          <w:highlight w:val="none"/>
        </w:rPr>
        <w:t>标段名称：</w:t>
      </w:r>
    </w:p>
    <w:p w14:paraId="17B4D1B2">
      <w:pPr>
        <w:rPr>
          <w:color w:val="auto"/>
          <w:szCs w:val="44"/>
          <w:highlight w:val="none"/>
        </w:rPr>
      </w:pPr>
      <w:r>
        <w:rPr>
          <w:rFonts w:hint="eastAsia"/>
          <w:color w:val="auto"/>
          <w:szCs w:val="44"/>
          <w:highlight w:val="none"/>
        </w:rPr>
        <w:t>标段唯一标识码：</w:t>
      </w:r>
    </w:p>
    <w:tbl>
      <w:tblPr>
        <w:tblStyle w:val="12"/>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14:paraId="0773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14:paraId="7CC5A97E">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811" w:type="dxa"/>
            <w:vMerge w:val="restart"/>
            <w:vAlign w:val="center"/>
          </w:tcPr>
          <w:p w14:paraId="71474B59">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504" w:type="dxa"/>
            <w:gridSpan w:val="7"/>
            <w:vAlign w:val="center"/>
          </w:tcPr>
          <w:p w14:paraId="341D592C">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1793" w:type="dxa"/>
            <w:vMerge w:val="restart"/>
            <w:vAlign w:val="center"/>
          </w:tcPr>
          <w:p w14:paraId="0D0C5384">
            <w:pPr>
              <w:jc w:val="center"/>
              <w:rPr>
                <w:rFonts w:ascii="宋体" w:hAnsi="宋体"/>
                <w:b/>
                <w:bCs/>
                <w:color w:val="auto"/>
                <w:szCs w:val="44"/>
                <w:highlight w:val="none"/>
              </w:rPr>
            </w:pPr>
            <w:r>
              <w:rPr>
                <w:rFonts w:hint="eastAsia" w:ascii="宋体" w:hAnsi="宋体"/>
                <w:b/>
                <w:bCs/>
                <w:color w:val="auto"/>
                <w:szCs w:val="44"/>
                <w:highlight w:val="none"/>
              </w:rPr>
              <w:t>资信标最终得分</w:t>
            </w:r>
          </w:p>
        </w:tc>
      </w:tr>
      <w:tr w14:paraId="72CE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14:paraId="7D472968">
            <w:pPr>
              <w:jc w:val="center"/>
              <w:rPr>
                <w:rFonts w:ascii="宋体" w:hAnsi="宋体"/>
                <w:b/>
                <w:bCs/>
                <w:color w:val="auto"/>
                <w:szCs w:val="44"/>
                <w:highlight w:val="none"/>
              </w:rPr>
            </w:pPr>
          </w:p>
        </w:tc>
        <w:tc>
          <w:tcPr>
            <w:tcW w:w="1811" w:type="dxa"/>
            <w:vMerge w:val="continue"/>
          </w:tcPr>
          <w:p w14:paraId="34E89408">
            <w:pPr>
              <w:jc w:val="center"/>
              <w:rPr>
                <w:rFonts w:ascii="宋体" w:hAnsi="宋体"/>
                <w:b/>
                <w:bCs/>
                <w:color w:val="auto"/>
                <w:szCs w:val="44"/>
                <w:highlight w:val="none"/>
              </w:rPr>
            </w:pPr>
          </w:p>
        </w:tc>
        <w:tc>
          <w:tcPr>
            <w:tcW w:w="1356" w:type="dxa"/>
            <w:vAlign w:val="center"/>
          </w:tcPr>
          <w:p w14:paraId="3D47E181">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57" w:type="dxa"/>
            <w:vAlign w:val="center"/>
          </w:tcPr>
          <w:p w14:paraId="43366AD1">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57" w:type="dxa"/>
            <w:vAlign w:val="center"/>
          </w:tcPr>
          <w:p w14:paraId="019A7237">
            <w:pPr>
              <w:jc w:val="center"/>
              <w:rPr>
                <w:rFonts w:ascii="宋体" w:hAnsi="宋体"/>
                <w:b/>
                <w:bCs/>
                <w:color w:val="auto"/>
                <w:szCs w:val="44"/>
                <w:highlight w:val="none"/>
              </w:rPr>
            </w:pPr>
            <w:r>
              <w:rPr>
                <w:rFonts w:ascii="宋体" w:hAnsi="宋体"/>
                <w:b/>
                <w:bCs/>
                <w:color w:val="auto"/>
                <w:szCs w:val="44"/>
                <w:highlight w:val="none"/>
              </w:rPr>
              <w:t>……</w:t>
            </w:r>
          </w:p>
        </w:tc>
        <w:tc>
          <w:tcPr>
            <w:tcW w:w="1356" w:type="dxa"/>
            <w:vAlign w:val="center"/>
          </w:tcPr>
          <w:p w14:paraId="30784366">
            <w:pPr>
              <w:jc w:val="center"/>
              <w:rPr>
                <w:rFonts w:ascii="宋体" w:hAnsi="宋体"/>
                <w:b/>
                <w:bCs/>
                <w:color w:val="auto"/>
                <w:szCs w:val="44"/>
                <w:highlight w:val="none"/>
              </w:rPr>
            </w:pPr>
          </w:p>
        </w:tc>
        <w:tc>
          <w:tcPr>
            <w:tcW w:w="1357" w:type="dxa"/>
            <w:vAlign w:val="center"/>
          </w:tcPr>
          <w:p w14:paraId="2DEB136B">
            <w:pPr>
              <w:jc w:val="center"/>
              <w:rPr>
                <w:rFonts w:ascii="宋体" w:hAnsi="宋体"/>
                <w:b/>
                <w:bCs/>
                <w:color w:val="auto"/>
                <w:szCs w:val="44"/>
                <w:highlight w:val="none"/>
              </w:rPr>
            </w:pPr>
          </w:p>
        </w:tc>
        <w:tc>
          <w:tcPr>
            <w:tcW w:w="1357" w:type="dxa"/>
            <w:vAlign w:val="center"/>
          </w:tcPr>
          <w:p w14:paraId="40F32D8C">
            <w:pPr>
              <w:jc w:val="center"/>
              <w:rPr>
                <w:rFonts w:ascii="宋体" w:hAnsi="宋体"/>
                <w:b/>
                <w:bCs/>
                <w:color w:val="auto"/>
                <w:szCs w:val="44"/>
                <w:highlight w:val="none"/>
              </w:rPr>
            </w:pPr>
          </w:p>
        </w:tc>
        <w:tc>
          <w:tcPr>
            <w:tcW w:w="1364" w:type="dxa"/>
            <w:vAlign w:val="center"/>
          </w:tcPr>
          <w:p w14:paraId="004EEA87">
            <w:pPr>
              <w:jc w:val="center"/>
              <w:rPr>
                <w:rFonts w:ascii="宋体" w:hAnsi="宋体"/>
                <w:b/>
                <w:bCs/>
                <w:color w:val="auto"/>
                <w:szCs w:val="44"/>
                <w:highlight w:val="none"/>
              </w:rPr>
            </w:pPr>
          </w:p>
        </w:tc>
        <w:tc>
          <w:tcPr>
            <w:tcW w:w="1793" w:type="dxa"/>
            <w:vMerge w:val="continue"/>
            <w:vAlign w:val="center"/>
          </w:tcPr>
          <w:p w14:paraId="15ECEE88">
            <w:pPr>
              <w:jc w:val="center"/>
              <w:rPr>
                <w:rFonts w:ascii="宋体" w:hAnsi="宋体"/>
                <w:b/>
                <w:bCs/>
                <w:color w:val="auto"/>
                <w:szCs w:val="44"/>
                <w:highlight w:val="none"/>
              </w:rPr>
            </w:pPr>
          </w:p>
        </w:tc>
      </w:tr>
      <w:tr w14:paraId="499A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09F4D828">
            <w:pPr>
              <w:jc w:val="center"/>
              <w:rPr>
                <w:rFonts w:ascii="宋体" w:hAnsi="宋体"/>
                <w:color w:val="auto"/>
                <w:szCs w:val="44"/>
                <w:highlight w:val="none"/>
              </w:rPr>
            </w:pPr>
            <w:r>
              <w:rPr>
                <w:rFonts w:hint="eastAsia" w:ascii="宋体" w:hAnsi="宋体"/>
                <w:color w:val="auto"/>
                <w:szCs w:val="44"/>
                <w:highlight w:val="none"/>
              </w:rPr>
              <w:t>1</w:t>
            </w:r>
          </w:p>
        </w:tc>
        <w:tc>
          <w:tcPr>
            <w:tcW w:w="1811" w:type="dxa"/>
            <w:vAlign w:val="center"/>
          </w:tcPr>
          <w:p w14:paraId="4B4B5234">
            <w:pPr>
              <w:jc w:val="center"/>
              <w:rPr>
                <w:rFonts w:ascii="宋体" w:hAnsi="宋体"/>
                <w:color w:val="auto"/>
                <w:szCs w:val="21"/>
                <w:highlight w:val="none"/>
              </w:rPr>
            </w:pPr>
          </w:p>
        </w:tc>
        <w:tc>
          <w:tcPr>
            <w:tcW w:w="1356" w:type="dxa"/>
            <w:vAlign w:val="center"/>
          </w:tcPr>
          <w:p w14:paraId="28FD6EAB">
            <w:pPr>
              <w:rPr>
                <w:rFonts w:ascii="宋体" w:hAnsi="宋体"/>
                <w:color w:val="auto"/>
                <w:szCs w:val="21"/>
                <w:highlight w:val="none"/>
              </w:rPr>
            </w:pPr>
          </w:p>
        </w:tc>
        <w:tc>
          <w:tcPr>
            <w:tcW w:w="1357" w:type="dxa"/>
            <w:vAlign w:val="center"/>
          </w:tcPr>
          <w:p w14:paraId="411764F5">
            <w:pPr>
              <w:jc w:val="center"/>
              <w:rPr>
                <w:rFonts w:ascii="宋体" w:hAnsi="宋体"/>
                <w:color w:val="auto"/>
                <w:szCs w:val="44"/>
                <w:highlight w:val="none"/>
              </w:rPr>
            </w:pPr>
          </w:p>
        </w:tc>
        <w:tc>
          <w:tcPr>
            <w:tcW w:w="1357" w:type="dxa"/>
            <w:vAlign w:val="center"/>
          </w:tcPr>
          <w:p w14:paraId="780AD3A2">
            <w:pPr>
              <w:jc w:val="center"/>
              <w:rPr>
                <w:rFonts w:ascii="宋体" w:hAnsi="宋体"/>
                <w:color w:val="auto"/>
                <w:szCs w:val="44"/>
                <w:highlight w:val="none"/>
              </w:rPr>
            </w:pPr>
          </w:p>
        </w:tc>
        <w:tc>
          <w:tcPr>
            <w:tcW w:w="1356" w:type="dxa"/>
            <w:vAlign w:val="center"/>
          </w:tcPr>
          <w:p w14:paraId="3F978365">
            <w:pPr>
              <w:jc w:val="center"/>
              <w:rPr>
                <w:rFonts w:ascii="宋体" w:hAnsi="宋体"/>
                <w:color w:val="auto"/>
                <w:szCs w:val="44"/>
                <w:highlight w:val="none"/>
              </w:rPr>
            </w:pPr>
          </w:p>
        </w:tc>
        <w:tc>
          <w:tcPr>
            <w:tcW w:w="1357" w:type="dxa"/>
            <w:vAlign w:val="center"/>
          </w:tcPr>
          <w:p w14:paraId="5479833C">
            <w:pPr>
              <w:jc w:val="center"/>
              <w:rPr>
                <w:rFonts w:ascii="宋体" w:hAnsi="宋体"/>
                <w:color w:val="auto"/>
                <w:szCs w:val="44"/>
                <w:highlight w:val="none"/>
              </w:rPr>
            </w:pPr>
          </w:p>
        </w:tc>
        <w:tc>
          <w:tcPr>
            <w:tcW w:w="1357" w:type="dxa"/>
            <w:vAlign w:val="center"/>
          </w:tcPr>
          <w:p w14:paraId="317C231A">
            <w:pPr>
              <w:jc w:val="center"/>
              <w:rPr>
                <w:rFonts w:ascii="宋体" w:hAnsi="宋体"/>
                <w:color w:val="auto"/>
                <w:szCs w:val="44"/>
                <w:highlight w:val="none"/>
              </w:rPr>
            </w:pPr>
          </w:p>
        </w:tc>
        <w:tc>
          <w:tcPr>
            <w:tcW w:w="1364" w:type="dxa"/>
            <w:vAlign w:val="center"/>
          </w:tcPr>
          <w:p w14:paraId="7995EC12">
            <w:pPr>
              <w:jc w:val="center"/>
              <w:rPr>
                <w:rFonts w:ascii="宋体" w:hAnsi="宋体"/>
                <w:color w:val="auto"/>
                <w:szCs w:val="44"/>
                <w:highlight w:val="none"/>
              </w:rPr>
            </w:pPr>
          </w:p>
        </w:tc>
        <w:tc>
          <w:tcPr>
            <w:tcW w:w="1793" w:type="dxa"/>
            <w:vAlign w:val="center"/>
          </w:tcPr>
          <w:p w14:paraId="375B6A88">
            <w:pPr>
              <w:jc w:val="center"/>
              <w:rPr>
                <w:rFonts w:ascii="宋体" w:hAnsi="宋体"/>
                <w:color w:val="auto"/>
                <w:szCs w:val="44"/>
                <w:highlight w:val="none"/>
              </w:rPr>
            </w:pPr>
          </w:p>
        </w:tc>
      </w:tr>
      <w:tr w14:paraId="6406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4C443D85">
            <w:pPr>
              <w:jc w:val="center"/>
              <w:rPr>
                <w:rFonts w:ascii="宋体" w:hAnsi="宋体"/>
                <w:color w:val="auto"/>
                <w:szCs w:val="44"/>
                <w:highlight w:val="none"/>
              </w:rPr>
            </w:pPr>
            <w:r>
              <w:rPr>
                <w:rFonts w:hint="eastAsia" w:ascii="宋体" w:hAnsi="宋体"/>
                <w:color w:val="auto"/>
                <w:szCs w:val="44"/>
                <w:highlight w:val="none"/>
              </w:rPr>
              <w:t>2</w:t>
            </w:r>
          </w:p>
        </w:tc>
        <w:tc>
          <w:tcPr>
            <w:tcW w:w="1811" w:type="dxa"/>
            <w:vAlign w:val="center"/>
          </w:tcPr>
          <w:p w14:paraId="51A498F1">
            <w:pPr>
              <w:jc w:val="center"/>
              <w:rPr>
                <w:rFonts w:ascii="宋体" w:hAnsi="宋体"/>
                <w:color w:val="auto"/>
                <w:szCs w:val="44"/>
                <w:highlight w:val="none"/>
              </w:rPr>
            </w:pPr>
          </w:p>
        </w:tc>
        <w:tc>
          <w:tcPr>
            <w:tcW w:w="1356" w:type="dxa"/>
            <w:vAlign w:val="center"/>
          </w:tcPr>
          <w:p w14:paraId="3BC650A2">
            <w:pPr>
              <w:jc w:val="center"/>
              <w:rPr>
                <w:color w:val="auto"/>
                <w:highlight w:val="none"/>
              </w:rPr>
            </w:pPr>
          </w:p>
        </w:tc>
        <w:tc>
          <w:tcPr>
            <w:tcW w:w="1357" w:type="dxa"/>
            <w:vAlign w:val="center"/>
          </w:tcPr>
          <w:p w14:paraId="5494CF0C">
            <w:pPr>
              <w:jc w:val="center"/>
              <w:rPr>
                <w:rFonts w:ascii="宋体" w:hAnsi="宋体"/>
                <w:color w:val="auto"/>
                <w:szCs w:val="44"/>
                <w:highlight w:val="none"/>
              </w:rPr>
            </w:pPr>
          </w:p>
        </w:tc>
        <w:tc>
          <w:tcPr>
            <w:tcW w:w="1357" w:type="dxa"/>
            <w:vAlign w:val="center"/>
          </w:tcPr>
          <w:p w14:paraId="3EB3B13D">
            <w:pPr>
              <w:jc w:val="center"/>
              <w:rPr>
                <w:rFonts w:ascii="宋体" w:hAnsi="宋体"/>
                <w:color w:val="auto"/>
                <w:szCs w:val="44"/>
                <w:highlight w:val="none"/>
              </w:rPr>
            </w:pPr>
          </w:p>
        </w:tc>
        <w:tc>
          <w:tcPr>
            <w:tcW w:w="1356" w:type="dxa"/>
            <w:vAlign w:val="center"/>
          </w:tcPr>
          <w:p w14:paraId="35D8F53F">
            <w:pPr>
              <w:jc w:val="center"/>
              <w:rPr>
                <w:rFonts w:ascii="宋体" w:hAnsi="宋体"/>
                <w:color w:val="auto"/>
                <w:szCs w:val="44"/>
                <w:highlight w:val="none"/>
              </w:rPr>
            </w:pPr>
          </w:p>
        </w:tc>
        <w:tc>
          <w:tcPr>
            <w:tcW w:w="1357" w:type="dxa"/>
            <w:vAlign w:val="center"/>
          </w:tcPr>
          <w:p w14:paraId="703B902A">
            <w:pPr>
              <w:jc w:val="center"/>
              <w:rPr>
                <w:rFonts w:ascii="宋体" w:hAnsi="宋体"/>
                <w:color w:val="auto"/>
                <w:szCs w:val="44"/>
                <w:highlight w:val="none"/>
              </w:rPr>
            </w:pPr>
          </w:p>
        </w:tc>
        <w:tc>
          <w:tcPr>
            <w:tcW w:w="1357" w:type="dxa"/>
            <w:vAlign w:val="center"/>
          </w:tcPr>
          <w:p w14:paraId="68FD0F79">
            <w:pPr>
              <w:jc w:val="center"/>
              <w:rPr>
                <w:rFonts w:ascii="宋体" w:hAnsi="宋体"/>
                <w:color w:val="auto"/>
                <w:szCs w:val="44"/>
                <w:highlight w:val="none"/>
              </w:rPr>
            </w:pPr>
          </w:p>
        </w:tc>
        <w:tc>
          <w:tcPr>
            <w:tcW w:w="1364" w:type="dxa"/>
            <w:vAlign w:val="center"/>
          </w:tcPr>
          <w:p w14:paraId="0D98C3A9">
            <w:pPr>
              <w:jc w:val="center"/>
              <w:rPr>
                <w:rFonts w:ascii="宋体" w:hAnsi="宋体"/>
                <w:color w:val="auto"/>
                <w:szCs w:val="44"/>
                <w:highlight w:val="none"/>
              </w:rPr>
            </w:pPr>
          </w:p>
        </w:tc>
        <w:tc>
          <w:tcPr>
            <w:tcW w:w="1793" w:type="dxa"/>
            <w:vAlign w:val="center"/>
          </w:tcPr>
          <w:p w14:paraId="25D86D0B">
            <w:pPr>
              <w:jc w:val="center"/>
              <w:rPr>
                <w:rFonts w:ascii="宋体" w:hAnsi="宋体"/>
                <w:color w:val="auto"/>
                <w:szCs w:val="44"/>
                <w:highlight w:val="none"/>
              </w:rPr>
            </w:pPr>
          </w:p>
        </w:tc>
      </w:tr>
      <w:tr w14:paraId="414E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3EE598A3">
            <w:pPr>
              <w:jc w:val="center"/>
              <w:rPr>
                <w:rFonts w:ascii="宋体" w:hAnsi="宋体"/>
                <w:color w:val="auto"/>
                <w:szCs w:val="44"/>
                <w:highlight w:val="none"/>
              </w:rPr>
            </w:pPr>
            <w:r>
              <w:rPr>
                <w:rFonts w:hint="eastAsia" w:ascii="宋体" w:hAnsi="宋体"/>
                <w:color w:val="auto"/>
                <w:szCs w:val="44"/>
                <w:highlight w:val="none"/>
              </w:rPr>
              <w:t>3</w:t>
            </w:r>
          </w:p>
        </w:tc>
        <w:tc>
          <w:tcPr>
            <w:tcW w:w="1811" w:type="dxa"/>
            <w:vAlign w:val="center"/>
          </w:tcPr>
          <w:p w14:paraId="7DDB77FA">
            <w:pPr>
              <w:jc w:val="center"/>
              <w:rPr>
                <w:rFonts w:ascii="宋体" w:hAnsi="宋体"/>
                <w:color w:val="auto"/>
                <w:szCs w:val="44"/>
                <w:highlight w:val="none"/>
              </w:rPr>
            </w:pPr>
          </w:p>
        </w:tc>
        <w:tc>
          <w:tcPr>
            <w:tcW w:w="1356" w:type="dxa"/>
            <w:vAlign w:val="center"/>
          </w:tcPr>
          <w:p w14:paraId="487231A5">
            <w:pPr>
              <w:jc w:val="center"/>
              <w:rPr>
                <w:color w:val="auto"/>
                <w:highlight w:val="none"/>
              </w:rPr>
            </w:pPr>
          </w:p>
        </w:tc>
        <w:tc>
          <w:tcPr>
            <w:tcW w:w="1357" w:type="dxa"/>
            <w:vAlign w:val="center"/>
          </w:tcPr>
          <w:p w14:paraId="33995980">
            <w:pPr>
              <w:jc w:val="center"/>
              <w:rPr>
                <w:rFonts w:ascii="宋体" w:hAnsi="宋体"/>
                <w:color w:val="auto"/>
                <w:szCs w:val="44"/>
                <w:highlight w:val="none"/>
              </w:rPr>
            </w:pPr>
          </w:p>
        </w:tc>
        <w:tc>
          <w:tcPr>
            <w:tcW w:w="1357" w:type="dxa"/>
            <w:vAlign w:val="center"/>
          </w:tcPr>
          <w:p w14:paraId="7BD51585">
            <w:pPr>
              <w:jc w:val="center"/>
              <w:rPr>
                <w:rFonts w:ascii="宋体" w:hAnsi="宋体"/>
                <w:color w:val="auto"/>
                <w:szCs w:val="44"/>
                <w:highlight w:val="none"/>
              </w:rPr>
            </w:pPr>
          </w:p>
        </w:tc>
        <w:tc>
          <w:tcPr>
            <w:tcW w:w="1356" w:type="dxa"/>
            <w:vAlign w:val="center"/>
          </w:tcPr>
          <w:p w14:paraId="72548ED8">
            <w:pPr>
              <w:jc w:val="center"/>
              <w:rPr>
                <w:rFonts w:ascii="宋体" w:hAnsi="宋体"/>
                <w:color w:val="auto"/>
                <w:szCs w:val="44"/>
                <w:highlight w:val="none"/>
              </w:rPr>
            </w:pPr>
          </w:p>
        </w:tc>
        <w:tc>
          <w:tcPr>
            <w:tcW w:w="1357" w:type="dxa"/>
            <w:vAlign w:val="center"/>
          </w:tcPr>
          <w:p w14:paraId="10056ED4">
            <w:pPr>
              <w:jc w:val="center"/>
              <w:rPr>
                <w:rFonts w:ascii="宋体" w:hAnsi="宋体"/>
                <w:color w:val="auto"/>
                <w:szCs w:val="44"/>
                <w:highlight w:val="none"/>
              </w:rPr>
            </w:pPr>
          </w:p>
        </w:tc>
        <w:tc>
          <w:tcPr>
            <w:tcW w:w="1357" w:type="dxa"/>
            <w:vAlign w:val="center"/>
          </w:tcPr>
          <w:p w14:paraId="063B312C">
            <w:pPr>
              <w:jc w:val="center"/>
              <w:rPr>
                <w:rFonts w:ascii="宋体" w:hAnsi="宋体"/>
                <w:color w:val="auto"/>
                <w:szCs w:val="44"/>
                <w:highlight w:val="none"/>
              </w:rPr>
            </w:pPr>
          </w:p>
        </w:tc>
        <w:tc>
          <w:tcPr>
            <w:tcW w:w="1364" w:type="dxa"/>
            <w:vAlign w:val="center"/>
          </w:tcPr>
          <w:p w14:paraId="5BE2032D">
            <w:pPr>
              <w:jc w:val="center"/>
              <w:rPr>
                <w:rFonts w:ascii="宋体" w:hAnsi="宋体"/>
                <w:color w:val="auto"/>
                <w:szCs w:val="44"/>
                <w:highlight w:val="none"/>
              </w:rPr>
            </w:pPr>
          </w:p>
        </w:tc>
        <w:tc>
          <w:tcPr>
            <w:tcW w:w="1793" w:type="dxa"/>
            <w:vAlign w:val="center"/>
          </w:tcPr>
          <w:p w14:paraId="7AC89D0D">
            <w:pPr>
              <w:jc w:val="center"/>
              <w:rPr>
                <w:rFonts w:ascii="宋体" w:hAnsi="宋体"/>
                <w:color w:val="auto"/>
                <w:szCs w:val="44"/>
                <w:highlight w:val="none"/>
              </w:rPr>
            </w:pPr>
          </w:p>
        </w:tc>
      </w:tr>
      <w:tr w14:paraId="5F1D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6AFE739C">
            <w:pPr>
              <w:jc w:val="center"/>
              <w:rPr>
                <w:rFonts w:ascii="宋体" w:hAnsi="宋体"/>
                <w:color w:val="auto"/>
                <w:szCs w:val="44"/>
                <w:highlight w:val="none"/>
              </w:rPr>
            </w:pPr>
            <w:r>
              <w:rPr>
                <w:rFonts w:hint="eastAsia" w:ascii="宋体" w:hAnsi="宋体"/>
                <w:color w:val="auto"/>
                <w:szCs w:val="44"/>
                <w:highlight w:val="none"/>
              </w:rPr>
              <w:t>4</w:t>
            </w:r>
          </w:p>
        </w:tc>
        <w:tc>
          <w:tcPr>
            <w:tcW w:w="1811" w:type="dxa"/>
            <w:vAlign w:val="center"/>
          </w:tcPr>
          <w:p w14:paraId="05CDBEDB">
            <w:pPr>
              <w:jc w:val="center"/>
              <w:rPr>
                <w:rFonts w:ascii="宋体" w:hAnsi="宋体"/>
                <w:color w:val="auto"/>
                <w:szCs w:val="44"/>
                <w:highlight w:val="none"/>
              </w:rPr>
            </w:pPr>
          </w:p>
        </w:tc>
        <w:tc>
          <w:tcPr>
            <w:tcW w:w="1356" w:type="dxa"/>
            <w:vAlign w:val="center"/>
          </w:tcPr>
          <w:p w14:paraId="3F58B23E">
            <w:pPr>
              <w:jc w:val="center"/>
              <w:rPr>
                <w:color w:val="auto"/>
                <w:highlight w:val="none"/>
              </w:rPr>
            </w:pPr>
          </w:p>
        </w:tc>
        <w:tc>
          <w:tcPr>
            <w:tcW w:w="1357" w:type="dxa"/>
            <w:vAlign w:val="center"/>
          </w:tcPr>
          <w:p w14:paraId="4C0CEE97">
            <w:pPr>
              <w:jc w:val="center"/>
              <w:rPr>
                <w:rFonts w:ascii="宋体" w:hAnsi="宋体"/>
                <w:color w:val="auto"/>
                <w:szCs w:val="44"/>
                <w:highlight w:val="none"/>
              </w:rPr>
            </w:pPr>
          </w:p>
        </w:tc>
        <w:tc>
          <w:tcPr>
            <w:tcW w:w="1357" w:type="dxa"/>
            <w:vAlign w:val="center"/>
          </w:tcPr>
          <w:p w14:paraId="2386E29A">
            <w:pPr>
              <w:jc w:val="center"/>
              <w:rPr>
                <w:rFonts w:ascii="宋体" w:hAnsi="宋体"/>
                <w:color w:val="auto"/>
                <w:szCs w:val="44"/>
                <w:highlight w:val="none"/>
              </w:rPr>
            </w:pPr>
          </w:p>
        </w:tc>
        <w:tc>
          <w:tcPr>
            <w:tcW w:w="1356" w:type="dxa"/>
            <w:vAlign w:val="center"/>
          </w:tcPr>
          <w:p w14:paraId="172B2C1F">
            <w:pPr>
              <w:jc w:val="center"/>
              <w:rPr>
                <w:rFonts w:ascii="宋体" w:hAnsi="宋体"/>
                <w:color w:val="auto"/>
                <w:szCs w:val="44"/>
                <w:highlight w:val="none"/>
              </w:rPr>
            </w:pPr>
          </w:p>
        </w:tc>
        <w:tc>
          <w:tcPr>
            <w:tcW w:w="1357" w:type="dxa"/>
            <w:vAlign w:val="center"/>
          </w:tcPr>
          <w:p w14:paraId="27C70ECD">
            <w:pPr>
              <w:jc w:val="center"/>
              <w:rPr>
                <w:rFonts w:ascii="宋体" w:hAnsi="宋体"/>
                <w:color w:val="auto"/>
                <w:szCs w:val="44"/>
                <w:highlight w:val="none"/>
              </w:rPr>
            </w:pPr>
          </w:p>
        </w:tc>
        <w:tc>
          <w:tcPr>
            <w:tcW w:w="1357" w:type="dxa"/>
            <w:vAlign w:val="center"/>
          </w:tcPr>
          <w:p w14:paraId="31D443DE">
            <w:pPr>
              <w:jc w:val="center"/>
              <w:rPr>
                <w:rFonts w:ascii="宋体" w:hAnsi="宋体"/>
                <w:color w:val="auto"/>
                <w:szCs w:val="44"/>
                <w:highlight w:val="none"/>
              </w:rPr>
            </w:pPr>
          </w:p>
        </w:tc>
        <w:tc>
          <w:tcPr>
            <w:tcW w:w="1364" w:type="dxa"/>
            <w:vAlign w:val="center"/>
          </w:tcPr>
          <w:p w14:paraId="502BB124">
            <w:pPr>
              <w:jc w:val="center"/>
              <w:rPr>
                <w:rFonts w:ascii="宋体" w:hAnsi="宋体"/>
                <w:color w:val="auto"/>
                <w:szCs w:val="44"/>
                <w:highlight w:val="none"/>
              </w:rPr>
            </w:pPr>
          </w:p>
        </w:tc>
        <w:tc>
          <w:tcPr>
            <w:tcW w:w="1793" w:type="dxa"/>
            <w:vAlign w:val="center"/>
          </w:tcPr>
          <w:p w14:paraId="0E4BBF2B">
            <w:pPr>
              <w:jc w:val="center"/>
              <w:rPr>
                <w:rFonts w:ascii="宋体" w:hAnsi="宋体"/>
                <w:color w:val="auto"/>
                <w:szCs w:val="44"/>
                <w:highlight w:val="none"/>
              </w:rPr>
            </w:pPr>
          </w:p>
        </w:tc>
      </w:tr>
      <w:tr w14:paraId="0037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74F4CAC0">
            <w:pPr>
              <w:jc w:val="center"/>
              <w:rPr>
                <w:rFonts w:ascii="宋体" w:hAnsi="宋体"/>
                <w:color w:val="auto"/>
                <w:szCs w:val="44"/>
                <w:highlight w:val="none"/>
              </w:rPr>
            </w:pPr>
            <w:r>
              <w:rPr>
                <w:rFonts w:hint="eastAsia" w:ascii="宋体" w:hAnsi="宋体"/>
                <w:color w:val="auto"/>
                <w:szCs w:val="44"/>
                <w:highlight w:val="none"/>
              </w:rPr>
              <w:t>5</w:t>
            </w:r>
          </w:p>
        </w:tc>
        <w:tc>
          <w:tcPr>
            <w:tcW w:w="1811" w:type="dxa"/>
            <w:vAlign w:val="center"/>
          </w:tcPr>
          <w:p w14:paraId="0CC34036">
            <w:pPr>
              <w:jc w:val="center"/>
              <w:rPr>
                <w:rFonts w:ascii="宋体" w:hAnsi="宋体"/>
                <w:color w:val="auto"/>
                <w:szCs w:val="44"/>
                <w:highlight w:val="none"/>
              </w:rPr>
            </w:pPr>
          </w:p>
        </w:tc>
        <w:tc>
          <w:tcPr>
            <w:tcW w:w="1356" w:type="dxa"/>
            <w:vAlign w:val="center"/>
          </w:tcPr>
          <w:p w14:paraId="58AC50AD">
            <w:pPr>
              <w:jc w:val="center"/>
              <w:rPr>
                <w:color w:val="auto"/>
                <w:highlight w:val="none"/>
              </w:rPr>
            </w:pPr>
          </w:p>
        </w:tc>
        <w:tc>
          <w:tcPr>
            <w:tcW w:w="1357" w:type="dxa"/>
            <w:vAlign w:val="center"/>
          </w:tcPr>
          <w:p w14:paraId="6928CB6E">
            <w:pPr>
              <w:jc w:val="center"/>
              <w:rPr>
                <w:rFonts w:ascii="宋体" w:hAnsi="宋体"/>
                <w:color w:val="auto"/>
                <w:szCs w:val="44"/>
                <w:highlight w:val="none"/>
              </w:rPr>
            </w:pPr>
          </w:p>
        </w:tc>
        <w:tc>
          <w:tcPr>
            <w:tcW w:w="1357" w:type="dxa"/>
            <w:vAlign w:val="center"/>
          </w:tcPr>
          <w:p w14:paraId="654276EA">
            <w:pPr>
              <w:jc w:val="center"/>
              <w:rPr>
                <w:rFonts w:ascii="宋体" w:hAnsi="宋体"/>
                <w:color w:val="auto"/>
                <w:szCs w:val="44"/>
                <w:highlight w:val="none"/>
              </w:rPr>
            </w:pPr>
          </w:p>
        </w:tc>
        <w:tc>
          <w:tcPr>
            <w:tcW w:w="1356" w:type="dxa"/>
            <w:vAlign w:val="center"/>
          </w:tcPr>
          <w:p w14:paraId="57080217">
            <w:pPr>
              <w:jc w:val="center"/>
              <w:rPr>
                <w:rFonts w:ascii="宋体" w:hAnsi="宋体"/>
                <w:color w:val="auto"/>
                <w:szCs w:val="44"/>
                <w:highlight w:val="none"/>
              </w:rPr>
            </w:pPr>
          </w:p>
        </w:tc>
        <w:tc>
          <w:tcPr>
            <w:tcW w:w="1357" w:type="dxa"/>
            <w:vAlign w:val="center"/>
          </w:tcPr>
          <w:p w14:paraId="4125C9D2">
            <w:pPr>
              <w:jc w:val="center"/>
              <w:rPr>
                <w:rFonts w:ascii="宋体" w:hAnsi="宋体"/>
                <w:color w:val="auto"/>
                <w:szCs w:val="44"/>
                <w:highlight w:val="none"/>
              </w:rPr>
            </w:pPr>
          </w:p>
        </w:tc>
        <w:tc>
          <w:tcPr>
            <w:tcW w:w="1357" w:type="dxa"/>
            <w:vAlign w:val="center"/>
          </w:tcPr>
          <w:p w14:paraId="767FE31B">
            <w:pPr>
              <w:jc w:val="center"/>
              <w:rPr>
                <w:rFonts w:ascii="宋体" w:hAnsi="宋体"/>
                <w:color w:val="auto"/>
                <w:szCs w:val="44"/>
                <w:highlight w:val="none"/>
              </w:rPr>
            </w:pPr>
          </w:p>
        </w:tc>
        <w:tc>
          <w:tcPr>
            <w:tcW w:w="1364" w:type="dxa"/>
            <w:vAlign w:val="center"/>
          </w:tcPr>
          <w:p w14:paraId="77375BFE">
            <w:pPr>
              <w:jc w:val="center"/>
              <w:rPr>
                <w:rFonts w:ascii="宋体" w:hAnsi="宋体"/>
                <w:color w:val="auto"/>
                <w:szCs w:val="44"/>
                <w:highlight w:val="none"/>
              </w:rPr>
            </w:pPr>
          </w:p>
        </w:tc>
        <w:tc>
          <w:tcPr>
            <w:tcW w:w="1793" w:type="dxa"/>
            <w:vAlign w:val="center"/>
          </w:tcPr>
          <w:p w14:paraId="2DC18866">
            <w:pPr>
              <w:jc w:val="center"/>
              <w:rPr>
                <w:rFonts w:ascii="宋体" w:hAnsi="宋体"/>
                <w:color w:val="auto"/>
                <w:szCs w:val="44"/>
                <w:highlight w:val="none"/>
              </w:rPr>
            </w:pPr>
          </w:p>
        </w:tc>
      </w:tr>
      <w:tr w14:paraId="4B8C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45FA92EB">
            <w:pPr>
              <w:jc w:val="center"/>
              <w:rPr>
                <w:rFonts w:ascii="宋体" w:hAnsi="宋体"/>
                <w:color w:val="auto"/>
                <w:szCs w:val="44"/>
                <w:highlight w:val="none"/>
              </w:rPr>
            </w:pPr>
            <w:r>
              <w:rPr>
                <w:rFonts w:hint="eastAsia" w:ascii="宋体" w:hAnsi="宋体"/>
                <w:color w:val="auto"/>
                <w:szCs w:val="44"/>
                <w:highlight w:val="none"/>
              </w:rPr>
              <w:t>6</w:t>
            </w:r>
          </w:p>
        </w:tc>
        <w:tc>
          <w:tcPr>
            <w:tcW w:w="1811" w:type="dxa"/>
            <w:vAlign w:val="center"/>
          </w:tcPr>
          <w:p w14:paraId="425496B1">
            <w:pPr>
              <w:jc w:val="center"/>
              <w:rPr>
                <w:rFonts w:ascii="宋体" w:hAnsi="宋体"/>
                <w:color w:val="auto"/>
                <w:szCs w:val="44"/>
                <w:highlight w:val="none"/>
              </w:rPr>
            </w:pPr>
          </w:p>
        </w:tc>
        <w:tc>
          <w:tcPr>
            <w:tcW w:w="1356" w:type="dxa"/>
            <w:vAlign w:val="center"/>
          </w:tcPr>
          <w:p w14:paraId="414DD45B">
            <w:pPr>
              <w:jc w:val="center"/>
              <w:rPr>
                <w:color w:val="auto"/>
                <w:highlight w:val="none"/>
              </w:rPr>
            </w:pPr>
          </w:p>
        </w:tc>
        <w:tc>
          <w:tcPr>
            <w:tcW w:w="1357" w:type="dxa"/>
            <w:vAlign w:val="center"/>
          </w:tcPr>
          <w:p w14:paraId="2D41FF95">
            <w:pPr>
              <w:jc w:val="center"/>
              <w:rPr>
                <w:rFonts w:ascii="宋体" w:hAnsi="宋体"/>
                <w:color w:val="auto"/>
                <w:szCs w:val="44"/>
                <w:highlight w:val="none"/>
              </w:rPr>
            </w:pPr>
          </w:p>
        </w:tc>
        <w:tc>
          <w:tcPr>
            <w:tcW w:w="1357" w:type="dxa"/>
            <w:vAlign w:val="center"/>
          </w:tcPr>
          <w:p w14:paraId="0E29E825">
            <w:pPr>
              <w:jc w:val="center"/>
              <w:rPr>
                <w:rFonts w:ascii="宋体" w:hAnsi="宋体"/>
                <w:color w:val="auto"/>
                <w:szCs w:val="44"/>
                <w:highlight w:val="none"/>
              </w:rPr>
            </w:pPr>
          </w:p>
        </w:tc>
        <w:tc>
          <w:tcPr>
            <w:tcW w:w="1356" w:type="dxa"/>
            <w:vAlign w:val="center"/>
          </w:tcPr>
          <w:p w14:paraId="4C0A96D3">
            <w:pPr>
              <w:jc w:val="center"/>
              <w:rPr>
                <w:rFonts w:ascii="宋体" w:hAnsi="宋体"/>
                <w:color w:val="auto"/>
                <w:szCs w:val="44"/>
                <w:highlight w:val="none"/>
              </w:rPr>
            </w:pPr>
          </w:p>
        </w:tc>
        <w:tc>
          <w:tcPr>
            <w:tcW w:w="1357" w:type="dxa"/>
            <w:vAlign w:val="center"/>
          </w:tcPr>
          <w:p w14:paraId="23E08F2E">
            <w:pPr>
              <w:jc w:val="center"/>
              <w:rPr>
                <w:rFonts w:ascii="宋体" w:hAnsi="宋体"/>
                <w:color w:val="auto"/>
                <w:szCs w:val="44"/>
                <w:highlight w:val="none"/>
              </w:rPr>
            </w:pPr>
          </w:p>
        </w:tc>
        <w:tc>
          <w:tcPr>
            <w:tcW w:w="1357" w:type="dxa"/>
            <w:vAlign w:val="center"/>
          </w:tcPr>
          <w:p w14:paraId="6615A07A">
            <w:pPr>
              <w:jc w:val="center"/>
              <w:rPr>
                <w:rFonts w:ascii="宋体" w:hAnsi="宋体"/>
                <w:color w:val="auto"/>
                <w:szCs w:val="44"/>
                <w:highlight w:val="none"/>
              </w:rPr>
            </w:pPr>
          </w:p>
        </w:tc>
        <w:tc>
          <w:tcPr>
            <w:tcW w:w="1364" w:type="dxa"/>
            <w:vAlign w:val="center"/>
          </w:tcPr>
          <w:p w14:paraId="61EB7EE1">
            <w:pPr>
              <w:jc w:val="center"/>
              <w:rPr>
                <w:rFonts w:ascii="宋体" w:hAnsi="宋体"/>
                <w:color w:val="auto"/>
                <w:szCs w:val="44"/>
                <w:highlight w:val="none"/>
              </w:rPr>
            </w:pPr>
          </w:p>
        </w:tc>
        <w:tc>
          <w:tcPr>
            <w:tcW w:w="1793" w:type="dxa"/>
            <w:vAlign w:val="center"/>
          </w:tcPr>
          <w:p w14:paraId="0C67C7DB">
            <w:pPr>
              <w:jc w:val="center"/>
              <w:rPr>
                <w:rFonts w:ascii="宋体" w:hAnsi="宋体"/>
                <w:color w:val="auto"/>
                <w:szCs w:val="44"/>
                <w:highlight w:val="none"/>
              </w:rPr>
            </w:pPr>
          </w:p>
        </w:tc>
      </w:tr>
      <w:tr w14:paraId="25FE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39EE9971">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811" w:type="dxa"/>
            <w:vAlign w:val="center"/>
          </w:tcPr>
          <w:p w14:paraId="2F491E24">
            <w:pPr>
              <w:rPr>
                <w:rFonts w:ascii="宋体" w:hAnsi="宋体"/>
                <w:color w:val="auto"/>
                <w:szCs w:val="21"/>
                <w:highlight w:val="none"/>
              </w:rPr>
            </w:pPr>
          </w:p>
        </w:tc>
        <w:tc>
          <w:tcPr>
            <w:tcW w:w="1356" w:type="dxa"/>
            <w:vAlign w:val="center"/>
          </w:tcPr>
          <w:p w14:paraId="3DC5D950">
            <w:pPr>
              <w:jc w:val="center"/>
              <w:rPr>
                <w:color w:val="auto"/>
                <w:highlight w:val="none"/>
              </w:rPr>
            </w:pPr>
          </w:p>
        </w:tc>
        <w:tc>
          <w:tcPr>
            <w:tcW w:w="1357" w:type="dxa"/>
            <w:vAlign w:val="center"/>
          </w:tcPr>
          <w:p w14:paraId="33A7734B">
            <w:pPr>
              <w:jc w:val="center"/>
              <w:rPr>
                <w:rFonts w:ascii="宋体" w:hAnsi="宋体"/>
                <w:color w:val="auto"/>
                <w:szCs w:val="44"/>
                <w:highlight w:val="none"/>
              </w:rPr>
            </w:pPr>
          </w:p>
        </w:tc>
        <w:tc>
          <w:tcPr>
            <w:tcW w:w="1357" w:type="dxa"/>
            <w:vAlign w:val="center"/>
          </w:tcPr>
          <w:p w14:paraId="3984EF7E">
            <w:pPr>
              <w:jc w:val="center"/>
              <w:rPr>
                <w:rFonts w:ascii="宋体" w:hAnsi="宋体"/>
                <w:color w:val="auto"/>
                <w:szCs w:val="44"/>
                <w:highlight w:val="none"/>
              </w:rPr>
            </w:pPr>
          </w:p>
        </w:tc>
        <w:tc>
          <w:tcPr>
            <w:tcW w:w="1356" w:type="dxa"/>
            <w:vAlign w:val="center"/>
          </w:tcPr>
          <w:p w14:paraId="60F9ECE2">
            <w:pPr>
              <w:jc w:val="center"/>
              <w:rPr>
                <w:rFonts w:ascii="宋体" w:hAnsi="宋体"/>
                <w:color w:val="auto"/>
                <w:szCs w:val="44"/>
                <w:highlight w:val="none"/>
              </w:rPr>
            </w:pPr>
          </w:p>
        </w:tc>
        <w:tc>
          <w:tcPr>
            <w:tcW w:w="1357" w:type="dxa"/>
            <w:vAlign w:val="center"/>
          </w:tcPr>
          <w:p w14:paraId="178B5188">
            <w:pPr>
              <w:jc w:val="center"/>
              <w:rPr>
                <w:rFonts w:ascii="宋体" w:hAnsi="宋体"/>
                <w:color w:val="auto"/>
                <w:szCs w:val="44"/>
                <w:highlight w:val="none"/>
              </w:rPr>
            </w:pPr>
          </w:p>
        </w:tc>
        <w:tc>
          <w:tcPr>
            <w:tcW w:w="1357" w:type="dxa"/>
            <w:vAlign w:val="center"/>
          </w:tcPr>
          <w:p w14:paraId="44D6CE15">
            <w:pPr>
              <w:jc w:val="center"/>
              <w:rPr>
                <w:rFonts w:ascii="宋体" w:hAnsi="宋体"/>
                <w:color w:val="auto"/>
                <w:szCs w:val="44"/>
                <w:highlight w:val="none"/>
              </w:rPr>
            </w:pPr>
          </w:p>
        </w:tc>
        <w:tc>
          <w:tcPr>
            <w:tcW w:w="1364" w:type="dxa"/>
            <w:vAlign w:val="center"/>
          </w:tcPr>
          <w:p w14:paraId="23323DD3">
            <w:pPr>
              <w:jc w:val="center"/>
              <w:rPr>
                <w:rFonts w:ascii="宋体" w:hAnsi="宋体"/>
                <w:color w:val="auto"/>
                <w:szCs w:val="44"/>
                <w:highlight w:val="none"/>
              </w:rPr>
            </w:pPr>
          </w:p>
        </w:tc>
        <w:tc>
          <w:tcPr>
            <w:tcW w:w="1793" w:type="dxa"/>
            <w:vAlign w:val="center"/>
          </w:tcPr>
          <w:p w14:paraId="64ACAD6A">
            <w:pPr>
              <w:jc w:val="center"/>
              <w:rPr>
                <w:rFonts w:ascii="宋体" w:hAnsi="宋体"/>
                <w:color w:val="auto"/>
                <w:szCs w:val="44"/>
                <w:highlight w:val="none"/>
              </w:rPr>
            </w:pPr>
          </w:p>
        </w:tc>
      </w:tr>
      <w:tr w14:paraId="1932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14:paraId="5A5CF1D2">
            <w:pPr>
              <w:rPr>
                <w:color w:val="auto"/>
                <w:highlight w:val="none"/>
              </w:rPr>
            </w:pPr>
            <w:r>
              <w:rPr>
                <w:rFonts w:hint="eastAsia" w:ascii="宋体" w:hAnsi="宋体"/>
                <w:color w:val="auto"/>
                <w:szCs w:val="21"/>
                <w:highlight w:val="none"/>
              </w:rPr>
              <w:t>资信标</w:t>
            </w:r>
            <w:r>
              <w:rPr>
                <w:rFonts w:hint="eastAsia"/>
                <w:color w:val="auto"/>
                <w:highlight w:val="none"/>
              </w:rPr>
              <w:t>评委签名：</w:t>
            </w:r>
          </w:p>
          <w:p w14:paraId="6C21C4A0">
            <w:pPr>
              <w:rPr>
                <w:color w:val="auto"/>
                <w:highlight w:val="none"/>
              </w:rPr>
            </w:pPr>
          </w:p>
          <w:p w14:paraId="4E999411">
            <w:pPr>
              <w:rPr>
                <w:rFonts w:ascii="宋体" w:hAnsi="宋体"/>
                <w:color w:val="auto"/>
                <w:szCs w:val="44"/>
                <w:highlight w:val="none"/>
              </w:rPr>
            </w:pPr>
          </w:p>
          <w:p w14:paraId="2F0A0391">
            <w:pPr>
              <w:jc w:val="center"/>
              <w:rPr>
                <w:rFonts w:ascii="宋体" w:hAnsi="宋体"/>
                <w:color w:val="auto"/>
                <w:szCs w:val="44"/>
                <w:highlight w:val="none"/>
              </w:rPr>
            </w:pPr>
          </w:p>
        </w:tc>
      </w:tr>
    </w:tbl>
    <w:p w14:paraId="269FEFCF">
      <w:pPr>
        <w:rPr>
          <w:rFonts w:ascii="宋体" w:hAnsi="宋体"/>
          <w:color w:val="auto"/>
          <w:szCs w:val="44"/>
          <w:highlight w:val="none"/>
        </w:rPr>
      </w:pPr>
    </w:p>
    <w:p w14:paraId="01069891">
      <w:pPr>
        <w:jc w:val="right"/>
        <w:rPr>
          <w:color w:val="auto"/>
          <w:highlight w:val="none"/>
        </w:rPr>
      </w:pPr>
      <w:r>
        <w:rPr>
          <w:rFonts w:hint="eastAsia"/>
          <w:color w:val="auto"/>
          <w:highlight w:val="none"/>
        </w:rPr>
        <w:t xml:space="preserve">                   日期：      年    月   日</w:t>
      </w:r>
    </w:p>
    <w:p w14:paraId="7FEDBF70">
      <w:pPr>
        <w:rPr>
          <w:color w:val="auto"/>
          <w:highlight w:val="none"/>
        </w:rPr>
      </w:pPr>
    </w:p>
    <w:bookmarkEnd w:id="589"/>
    <w:p w14:paraId="0F8E7BB5">
      <w:pPr>
        <w:pStyle w:val="25"/>
        <w:rPr>
          <w:rFonts w:ascii="黑体"/>
          <w:color w:val="auto"/>
          <w:highlight w:val="none"/>
        </w:rPr>
      </w:pPr>
      <w:bookmarkStart w:id="590" w:name="_Toc256000143"/>
      <w:bookmarkStart w:id="591" w:name="_Toc20256"/>
      <w:bookmarkStart w:id="592" w:name="_Toc165804460"/>
      <w:bookmarkStart w:id="593" w:name="_Toc13748"/>
      <w:bookmarkStart w:id="594" w:name="_Toc4667"/>
      <w:bookmarkStart w:id="595" w:name="_Toc12154"/>
      <w:r>
        <w:rPr>
          <w:rFonts w:hint="eastAsia"/>
          <w:color w:val="auto"/>
          <w:highlight w:val="none"/>
        </w:rPr>
        <w:t>附表A-1</w:t>
      </w:r>
      <w:r>
        <w:rPr>
          <w:color w:val="auto"/>
          <w:highlight w:val="none"/>
        </w:rPr>
        <w:t>4</w:t>
      </w:r>
      <w:r>
        <w:rPr>
          <w:rFonts w:hint="eastAsia"/>
          <w:color w:val="auto"/>
          <w:highlight w:val="none"/>
        </w:rPr>
        <w:t>：其他因素评审记录表</w:t>
      </w:r>
      <w:bookmarkEnd w:id="590"/>
      <w:bookmarkEnd w:id="591"/>
      <w:bookmarkEnd w:id="592"/>
      <w:bookmarkEnd w:id="593"/>
      <w:bookmarkEnd w:id="594"/>
      <w:bookmarkEnd w:id="595"/>
    </w:p>
    <w:p w14:paraId="35F87F0F">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其他因素评审记录表</w:t>
      </w:r>
    </w:p>
    <w:p w14:paraId="682A60B7">
      <w:pPr>
        <w:ind w:firstLine="210" w:firstLineChars="100"/>
        <w:rPr>
          <w:rFonts w:ascii="宋体" w:hAnsi="宋体"/>
          <w:color w:val="auto"/>
          <w:szCs w:val="44"/>
          <w:highlight w:val="none"/>
        </w:rPr>
      </w:pPr>
      <w:bookmarkStart w:id="596" w:name="_Hlk150333006"/>
      <w:r>
        <w:rPr>
          <w:rFonts w:hint="eastAsia" w:ascii="宋体" w:hAnsi="宋体"/>
          <w:color w:val="auto"/>
          <w:szCs w:val="44"/>
          <w:highlight w:val="none"/>
        </w:rPr>
        <w:t>标段名称：</w:t>
      </w:r>
    </w:p>
    <w:p w14:paraId="665EBA78">
      <w:pPr>
        <w:ind w:firstLine="210" w:firstLineChars="100"/>
        <w:rPr>
          <w:color w:val="auto"/>
          <w:szCs w:val="44"/>
          <w:highlight w:val="none"/>
        </w:rPr>
      </w:pPr>
      <w:r>
        <w:rPr>
          <w:rFonts w:hint="eastAsia"/>
          <w:color w:val="auto"/>
          <w:szCs w:val="44"/>
          <w:highlight w:val="none"/>
        </w:rPr>
        <w:t>标段唯一标识码：</w:t>
      </w:r>
    </w:p>
    <w:tbl>
      <w:tblPr>
        <w:tblStyle w:val="12"/>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14:paraId="7607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14:paraId="0FCF7AAD">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753" w:type="dxa"/>
            <w:vMerge w:val="restart"/>
            <w:vAlign w:val="center"/>
          </w:tcPr>
          <w:p w14:paraId="1C59D40D">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061" w:type="dxa"/>
            <w:gridSpan w:val="7"/>
            <w:vAlign w:val="center"/>
          </w:tcPr>
          <w:p w14:paraId="4DD9C602">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2020" w:type="dxa"/>
            <w:vMerge w:val="restart"/>
            <w:vAlign w:val="center"/>
          </w:tcPr>
          <w:p w14:paraId="692185C3">
            <w:pPr>
              <w:jc w:val="center"/>
              <w:rPr>
                <w:rFonts w:ascii="宋体" w:hAnsi="宋体"/>
                <w:b/>
                <w:bCs/>
                <w:color w:val="auto"/>
                <w:szCs w:val="44"/>
                <w:highlight w:val="none"/>
              </w:rPr>
            </w:pPr>
            <w:r>
              <w:rPr>
                <w:rFonts w:hint="eastAsia" w:ascii="宋体" w:hAnsi="宋体"/>
                <w:b/>
                <w:bCs/>
                <w:color w:val="auto"/>
                <w:szCs w:val="44"/>
                <w:highlight w:val="none"/>
              </w:rPr>
              <w:t>其他因素最终得分</w:t>
            </w:r>
          </w:p>
        </w:tc>
      </w:tr>
      <w:tr w14:paraId="442E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14:paraId="186F1706">
            <w:pPr>
              <w:jc w:val="center"/>
              <w:rPr>
                <w:rFonts w:ascii="宋体" w:hAnsi="宋体"/>
                <w:b/>
                <w:bCs/>
                <w:color w:val="auto"/>
                <w:szCs w:val="44"/>
                <w:highlight w:val="none"/>
              </w:rPr>
            </w:pPr>
          </w:p>
        </w:tc>
        <w:tc>
          <w:tcPr>
            <w:tcW w:w="1753" w:type="dxa"/>
            <w:vMerge w:val="continue"/>
          </w:tcPr>
          <w:p w14:paraId="4ED832A0">
            <w:pPr>
              <w:jc w:val="center"/>
              <w:rPr>
                <w:rFonts w:ascii="宋体" w:hAnsi="宋体"/>
                <w:b/>
                <w:bCs/>
                <w:color w:val="auto"/>
                <w:szCs w:val="44"/>
                <w:highlight w:val="none"/>
              </w:rPr>
            </w:pPr>
          </w:p>
        </w:tc>
        <w:tc>
          <w:tcPr>
            <w:tcW w:w="1313" w:type="dxa"/>
            <w:vAlign w:val="center"/>
          </w:tcPr>
          <w:p w14:paraId="621114EF">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14" w:type="dxa"/>
            <w:vAlign w:val="center"/>
          </w:tcPr>
          <w:p w14:paraId="139E6B11">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14" w:type="dxa"/>
            <w:vAlign w:val="center"/>
          </w:tcPr>
          <w:p w14:paraId="2D5D6270">
            <w:pPr>
              <w:jc w:val="center"/>
              <w:rPr>
                <w:rFonts w:ascii="宋体" w:hAnsi="宋体"/>
                <w:b/>
                <w:bCs/>
                <w:color w:val="auto"/>
                <w:szCs w:val="44"/>
                <w:highlight w:val="none"/>
              </w:rPr>
            </w:pPr>
            <w:r>
              <w:rPr>
                <w:rFonts w:ascii="宋体" w:hAnsi="宋体"/>
                <w:b/>
                <w:bCs/>
                <w:color w:val="auto"/>
                <w:szCs w:val="44"/>
                <w:highlight w:val="none"/>
              </w:rPr>
              <w:t>……</w:t>
            </w:r>
          </w:p>
        </w:tc>
        <w:tc>
          <w:tcPr>
            <w:tcW w:w="1313" w:type="dxa"/>
            <w:vAlign w:val="center"/>
          </w:tcPr>
          <w:p w14:paraId="75CE222E">
            <w:pPr>
              <w:jc w:val="center"/>
              <w:rPr>
                <w:rFonts w:ascii="宋体" w:hAnsi="宋体"/>
                <w:b/>
                <w:bCs/>
                <w:color w:val="auto"/>
                <w:szCs w:val="44"/>
                <w:highlight w:val="none"/>
              </w:rPr>
            </w:pPr>
          </w:p>
        </w:tc>
        <w:tc>
          <w:tcPr>
            <w:tcW w:w="1314" w:type="dxa"/>
            <w:vAlign w:val="center"/>
          </w:tcPr>
          <w:p w14:paraId="23F9D3B5">
            <w:pPr>
              <w:jc w:val="center"/>
              <w:rPr>
                <w:rFonts w:ascii="宋体" w:hAnsi="宋体"/>
                <w:b/>
                <w:bCs/>
                <w:color w:val="auto"/>
                <w:szCs w:val="44"/>
                <w:highlight w:val="none"/>
              </w:rPr>
            </w:pPr>
          </w:p>
        </w:tc>
        <w:tc>
          <w:tcPr>
            <w:tcW w:w="1314" w:type="dxa"/>
            <w:vAlign w:val="center"/>
          </w:tcPr>
          <w:p w14:paraId="2EEB9A8B">
            <w:pPr>
              <w:jc w:val="center"/>
              <w:rPr>
                <w:rFonts w:ascii="宋体" w:hAnsi="宋体"/>
                <w:b/>
                <w:bCs/>
                <w:color w:val="auto"/>
                <w:szCs w:val="44"/>
                <w:highlight w:val="none"/>
              </w:rPr>
            </w:pPr>
          </w:p>
        </w:tc>
        <w:tc>
          <w:tcPr>
            <w:tcW w:w="1179" w:type="dxa"/>
            <w:vAlign w:val="center"/>
          </w:tcPr>
          <w:p w14:paraId="22EF9559">
            <w:pPr>
              <w:jc w:val="center"/>
              <w:rPr>
                <w:rFonts w:ascii="宋体" w:hAnsi="宋体"/>
                <w:b/>
                <w:bCs/>
                <w:color w:val="auto"/>
                <w:szCs w:val="44"/>
                <w:highlight w:val="none"/>
              </w:rPr>
            </w:pPr>
          </w:p>
        </w:tc>
        <w:tc>
          <w:tcPr>
            <w:tcW w:w="2020" w:type="dxa"/>
            <w:vMerge w:val="continue"/>
            <w:vAlign w:val="center"/>
          </w:tcPr>
          <w:p w14:paraId="4CBDEB87">
            <w:pPr>
              <w:jc w:val="center"/>
              <w:rPr>
                <w:rFonts w:ascii="宋体" w:hAnsi="宋体"/>
                <w:b/>
                <w:bCs/>
                <w:color w:val="auto"/>
                <w:szCs w:val="44"/>
                <w:highlight w:val="none"/>
              </w:rPr>
            </w:pPr>
          </w:p>
        </w:tc>
      </w:tr>
      <w:tr w14:paraId="48AB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44F4D1A8">
            <w:pPr>
              <w:jc w:val="center"/>
              <w:rPr>
                <w:rFonts w:ascii="宋体" w:hAnsi="宋体"/>
                <w:color w:val="auto"/>
                <w:szCs w:val="44"/>
                <w:highlight w:val="none"/>
              </w:rPr>
            </w:pPr>
            <w:r>
              <w:rPr>
                <w:rFonts w:hint="eastAsia" w:ascii="宋体" w:hAnsi="宋体"/>
                <w:color w:val="auto"/>
                <w:szCs w:val="44"/>
                <w:highlight w:val="none"/>
              </w:rPr>
              <w:t>1</w:t>
            </w:r>
          </w:p>
        </w:tc>
        <w:tc>
          <w:tcPr>
            <w:tcW w:w="1753" w:type="dxa"/>
            <w:vAlign w:val="center"/>
          </w:tcPr>
          <w:p w14:paraId="6611008E">
            <w:pPr>
              <w:jc w:val="center"/>
              <w:rPr>
                <w:rFonts w:ascii="宋体" w:hAnsi="宋体"/>
                <w:color w:val="auto"/>
                <w:szCs w:val="21"/>
                <w:highlight w:val="none"/>
              </w:rPr>
            </w:pPr>
          </w:p>
        </w:tc>
        <w:tc>
          <w:tcPr>
            <w:tcW w:w="1313" w:type="dxa"/>
            <w:vAlign w:val="center"/>
          </w:tcPr>
          <w:p w14:paraId="092EC9B5">
            <w:pPr>
              <w:rPr>
                <w:rFonts w:ascii="宋体" w:hAnsi="宋体"/>
                <w:color w:val="auto"/>
                <w:szCs w:val="21"/>
                <w:highlight w:val="none"/>
              </w:rPr>
            </w:pPr>
          </w:p>
        </w:tc>
        <w:tc>
          <w:tcPr>
            <w:tcW w:w="1314" w:type="dxa"/>
            <w:vAlign w:val="center"/>
          </w:tcPr>
          <w:p w14:paraId="61CA6F5C">
            <w:pPr>
              <w:jc w:val="center"/>
              <w:rPr>
                <w:rFonts w:ascii="宋体" w:hAnsi="宋体"/>
                <w:color w:val="auto"/>
                <w:szCs w:val="44"/>
                <w:highlight w:val="none"/>
              </w:rPr>
            </w:pPr>
          </w:p>
        </w:tc>
        <w:tc>
          <w:tcPr>
            <w:tcW w:w="1314" w:type="dxa"/>
            <w:vAlign w:val="center"/>
          </w:tcPr>
          <w:p w14:paraId="2D46BA99">
            <w:pPr>
              <w:jc w:val="center"/>
              <w:rPr>
                <w:rFonts w:ascii="宋体" w:hAnsi="宋体"/>
                <w:color w:val="auto"/>
                <w:szCs w:val="44"/>
                <w:highlight w:val="none"/>
              </w:rPr>
            </w:pPr>
          </w:p>
        </w:tc>
        <w:tc>
          <w:tcPr>
            <w:tcW w:w="1313" w:type="dxa"/>
            <w:vAlign w:val="center"/>
          </w:tcPr>
          <w:p w14:paraId="27F1A0E9">
            <w:pPr>
              <w:jc w:val="center"/>
              <w:rPr>
                <w:rFonts w:ascii="宋体" w:hAnsi="宋体"/>
                <w:color w:val="auto"/>
                <w:szCs w:val="44"/>
                <w:highlight w:val="none"/>
              </w:rPr>
            </w:pPr>
          </w:p>
        </w:tc>
        <w:tc>
          <w:tcPr>
            <w:tcW w:w="1314" w:type="dxa"/>
            <w:vAlign w:val="center"/>
          </w:tcPr>
          <w:p w14:paraId="04E9274F">
            <w:pPr>
              <w:jc w:val="center"/>
              <w:rPr>
                <w:rFonts w:ascii="宋体" w:hAnsi="宋体"/>
                <w:color w:val="auto"/>
                <w:szCs w:val="44"/>
                <w:highlight w:val="none"/>
              </w:rPr>
            </w:pPr>
          </w:p>
        </w:tc>
        <w:tc>
          <w:tcPr>
            <w:tcW w:w="1314" w:type="dxa"/>
            <w:vAlign w:val="center"/>
          </w:tcPr>
          <w:p w14:paraId="084A25AD">
            <w:pPr>
              <w:jc w:val="center"/>
              <w:rPr>
                <w:rFonts w:ascii="宋体" w:hAnsi="宋体"/>
                <w:color w:val="auto"/>
                <w:szCs w:val="44"/>
                <w:highlight w:val="none"/>
              </w:rPr>
            </w:pPr>
          </w:p>
        </w:tc>
        <w:tc>
          <w:tcPr>
            <w:tcW w:w="1179" w:type="dxa"/>
            <w:vAlign w:val="center"/>
          </w:tcPr>
          <w:p w14:paraId="6A42EB08">
            <w:pPr>
              <w:jc w:val="center"/>
              <w:rPr>
                <w:rFonts w:ascii="宋体" w:hAnsi="宋体"/>
                <w:color w:val="auto"/>
                <w:szCs w:val="44"/>
                <w:highlight w:val="none"/>
              </w:rPr>
            </w:pPr>
          </w:p>
        </w:tc>
        <w:tc>
          <w:tcPr>
            <w:tcW w:w="2020" w:type="dxa"/>
            <w:vAlign w:val="center"/>
          </w:tcPr>
          <w:p w14:paraId="7E47E90D">
            <w:pPr>
              <w:jc w:val="center"/>
              <w:rPr>
                <w:rFonts w:ascii="宋体" w:hAnsi="宋体"/>
                <w:color w:val="auto"/>
                <w:szCs w:val="44"/>
                <w:highlight w:val="none"/>
              </w:rPr>
            </w:pPr>
          </w:p>
        </w:tc>
      </w:tr>
      <w:tr w14:paraId="0169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74544D17">
            <w:pPr>
              <w:jc w:val="center"/>
              <w:rPr>
                <w:rFonts w:ascii="宋体" w:hAnsi="宋体"/>
                <w:color w:val="auto"/>
                <w:szCs w:val="44"/>
                <w:highlight w:val="none"/>
              </w:rPr>
            </w:pPr>
            <w:r>
              <w:rPr>
                <w:rFonts w:hint="eastAsia" w:ascii="宋体" w:hAnsi="宋体"/>
                <w:color w:val="auto"/>
                <w:szCs w:val="44"/>
                <w:highlight w:val="none"/>
              </w:rPr>
              <w:t>2</w:t>
            </w:r>
          </w:p>
        </w:tc>
        <w:tc>
          <w:tcPr>
            <w:tcW w:w="1753" w:type="dxa"/>
            <w:vAlign w:val="center"/>
          </w:tcPr>
          <w:p w14:paraId="0083157C">
            <w:pPr>
              <w:jc w:val="center"/>
              <w:rPr>
                <w:rFonts w:ascii="宋体" w:hAnsi="宋体"/>
                <w:color w:val="auto"/>
                <w:szCs w:val="44"/>
                <w:highlight w:val="none"/>
              </w:rPr>
            </w:pPr>
          </w:p>
        </w:tc>
        <w:tc>
          <w:tcPr>
            <w:tcW w:w="1313" w:type="dxa"/>
            <w:vAlign w:val="center"/>
          </w:tcPr>
          <w:p w14:paraId="06B16588">
            <w:pPr>
              <w:jc w:val="center"/>
              <w:rPr>
                <w:color w:val="auto"/>
                <w:highlight w:val="none"/>
              </w:rPr>
            </w:pPr>
          </w:p>
        </w:tc>
        <w:tc>
          <w:tcPr>
            <w:tcW w:w="1314" w:type="dxa"/>
            <w:vAlign w:val="center"/>
          </w:tcPr>
          <w:p w14:paraId="7A95F8F4">
            <w:pPr>
              <w:jc w:val="center"/>
              <w:rPr>
                <w:rFonts w:ascii="宋体" w:hAnsi="宋体"/>
                <w:color w:val="auto"/>
                <w:szCs w:val="44"/>
                <w:highlight w:val="none"/>
              </w:rPr>
            </w:pPr>
          </w:p>
        </w:tc>
        <w:tc>
          <w:tcPr>
            <w:tcW w:w="1314" w:type="dxa"/>
            <w:vAlign w:val="center"/>
          </w:tcPr>
          <w:p w14:paraId="196188D1">
            <w:pPr>
              <w:jc w:val="center"/>
              <w:rPr>
                <w:rFonts w:ascii="宋体" w:hAnsi="宋体"/>
                <w:color w:val="auto"/>
                <w:szCs w:val="44"/>
                <w:highlight w:val="none"/>
              </w:rPr>
            </w:pPr>
          </w:p>
        </w:tc>
        <w:tc>
          <w:tcPr>
            <w:tcW w:w="1313" w:type="dxa"/>
            <w:vAlign w:val="center"/>
          </w:tcPr>
          <w:p w14:paraId="526036DC">
            <w:pPr>
              <w:jc w:val="center"/>
              <w:rPr>
                <w:rFonts w:ascii="宋体" w:hAnsi="宋体"/>
                <w:color w:val="auto"/>
                <w:szCs w:val="44"/>
                <w:highlight w:val="none"/>
              </w:rPr>
            </w:pPr>
          </w:p>
        </w:tc>
        <w:tc>
          <w:tcPr>
            <w:tcW w:w="1314" w:type="dxa"/>
            <w:vAlign w:val="center"/>
          </w:tcPr>
          <w:p w14:paraId="02D70527">
            <w:pPr>
              <w:jc w:val="center"/>
              <w:rPr>
                <w:rFonts w:ascii="宋体" w:hAnsi="宋体"/>
                <w:color w:val="auto"/>
                <w:szCs w:val="44"/>
                <w:highlight w:val="none"/>
              </w:rPr>
            </w:pPr>
          </w:p>
        </w:tc>
        <w:tc>
          <w:tcPr>
            <w:tcW w:w="1314" w:type="dxa"/>
            <w:vAlign w:val="center"/>
          </w:tcPr>
          <w:p w14:paraId="4A6DB6C0">
            <w:pPr>
              <w:jc w:val="center"/>
              <w:rPr>
                <w:rFonts w:ascii="宋体" w:hAnsi="宋体"/>
                <w:color w:val="auto"/>
                <w:szCs w:val="44"/>
                <w:highlight w:val="none"/>
              </w:rPr>
            </w:pPr>
          </w:p>
        </w:tc>
        <w:tc>
          <w:tcPr>
            <w:tcW w:w="1179" w:type="dxa"/>
            <w:vAlign w:val="center"/>
          </w:tcPr>
          <w:p w14:paraId="52726EFD">
            <w:pPr>
              <w:jc w:val="center"/>
              <w:rPr>
                <w:rFonts w:ascii="宋体" w:hAnsi="宋体"/>
                <w:color w:val="auto"/>
                <w:szCs w:val="44"/>
                <w:highlight w:val="none"/>
              </w:rPr>
            </w:pPr>
          </w:p>
        </w:tc>
        <w:tc>
          <w:tcPr>
            <w:tcW w:w="2020" w:type="dxa"/>
            <w:vAlign w:val="center"/>
          </w:tcPr>
          <w:p w14:paraId="36B4F492">
            <w:pPr>
              <w:jc w:val="center"/>
              <w:rPr>
                <w:rFonts w:ascii="宋体" w:hAnsi="宋体"/>
                <w:color w:val="auto"/>
                <w:szCs w:val="44"/>
                <w:highlight w:val="none"/>
              </w:rPr>
            </w:pPr>
          </w:p>
        </w:tc>
      </w:tr>
      <w:tr w14:paraId="2D93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1AECF7F7">
            <w:pPr>
              <w:jc w:val="center"/>
              <w:rPr>
                <w:rFonts w:ascii="宋体" w:hAnsi="宋体"/>
                <w:color w:val="auto"/>
                <w:szCs w:val="44"/>
                <w:highlight w:val="none"/>
              </w:rPr>
            </w:pPr>
            <w:r>
              <w:rPr>
                <w:rFonts w:hint="eastAsia" w:ascii="宋体" w:hAnsi="宋体"/>
                <w:color w:val="auto"/>
                <w:szCs w:val="44"/>
                <w:highlight w:val="none"/>
              </w:rPr>
              <w:t>3</w:t>
            </w:r>
          </w:p>
        </w:tc>
        <w:tc>
          <w:tcPr>
            <w:tcW w:w="1753" w:type="dxa"/>
            <w:vAlign w:val="center"/>
          </w:tcPr>
          <w:p w14:paraId="4A264A1C">
            <w:pPr>
              <w:jc w:val="center"/>
              <w:rPr>
                <w:rFonts w:ascii="宋体" w:hAnsi="宋体"/>
                <w:color w:val="auto"/>
                <w:szCs w:val="44"/>
                <w:highlight w:val="none"/>
              </w:rPr>
            </w:pPr>
          </w:p>
        </w:tc>
        <w:tc>
          <w:tcPr>
            <w:tcW w:w="1313" w:type="dxa"/>
            <w:vAlign w:val="center"/>
          </w:tcPr>
          <w:p w14:paraId="4696C222">
            <w:pPr>
              <w:jc w:val="center"/>
              <w:rPr>
                <w:color w:val="auto"/>
                <w:highlight w:val="none"/>
              </w:rPr>
            </w:pPr>
          </w:p>
        </w:tc>
        <w:tc>
          <w:tcPr>
            <w:tcW w:w="1314" w:type="dxa"/>
            <w:vAlign w:val="center"/>
          </w:tcPr>
          <w:p w14:paraId="65CD8326">
            <w:pPr>
              <w:jc w:val="center"/>
              <w:rPr>
                <w:rFonts w:ascii="宋体" w:hAnsi="宋体"/>
                <w:color w:val="auto"/>
                <w:szCs w:val="44"/>
                <w:highlight w:val="none"/>
              </w:rPr>
            </w:pPr>
          </w:p>
        </w:tc>
        <w:tc>
          <w:tcPr>
            <w:tcW w:w="1314" w:type="dxa"/>
            <w:vAlign w:val="center"/>
          </w:tcPr>
          <w:p w14:paraId="7793BB2F">
            <w:pPr>
              <w:jc w:val="center"/>
              <w:rPr>
                <w:rFonts w:ascii="宋体" w:hAnsi="宋体"/>
                <w:color w:val="auto"/>
                <w:szCs w:val="44"/>
                <w:highlight w:val="none"/>
              </w:rPr>
            </w:pPr>
          </w:p>
        </w:tc>
        <w:tc>
          <w:tcPr>
            <w:tcW w:w="1313" w:type="dxa"/>
            <w:vAlign w:val="center"/>
          </w:tcPr>
          <w:p w14:paraId="5A43F49F">
            <w:pPr>
              <w:jc w:val="center"/>
              <w:rPr>
                <w:rFonts w:ascii="宋体" w:hAnsi="宋体"/>
                <w:color w:val="auto"/>
                <w:szCs w:val="44"/>
                <w:highlight w:val="none"/>
              </w:rPr>
            </w:pPr>
          </w:p>
        </w:tc>
        <w:tc>
          <w:tcPr>
            <w:tcW w:w="1314" w:type="dxa"/>
            <w:vAlign w:val="center"/>
          </w:tcPr>
          <w:p w14:paraId="150C151A">
            <w:pPr>
              <w:jc w:val="center"/>
              <w:rPr>
                <w:rFonts w:ascii="宋体" w:hAnsi="宋体"/>
                <w:color w:val="auto"/>
                <w:szCs w:val="44"/>
                <w:highlight w:val="none"/>
              </w:rPr>
            </w:pPr>
          </w:p>
        </w:tc>
        <w:tc>
          <w:tcPr>
            <w:tcW w:w="1314" w:type="dxa"/>
            <w:vAlign w:val="center"/>
          </w:tcPr>
          <w:p w14:paraId="1CD79259">
            <w:pPr>
              <w:jc w:val="center"/>
              <w:rPr>
                <w:rFonts w:ascii="宋体" w:hAnsi="宋体"/>
                <w:color w:val="auto"/>
                <w:szCs w:val="44"/>
                <w:highlight w:val="none"/>
              </w:rPr>
            </w:pPr>
          </w:p>
        </w:tc>
        <w:tc>
          <w:tcPr>
            <w:tcW w:w="1179" w:type="dxa"/>
            <w:vAlign w:val="center"/>
          </w:tcPr>
          <w:p w14:paraId="0B61644D">
            <w:pPr>
              <w:jc w:val="center"/>
              <w:rPr>
                <w:rFonts w:ascii="宋体" w:hAnsi="宋体"/>
                <w:color w:val="auto"/>
                <w:szCs w:val="44"/>
                <w:highlight w:val="none"/>
              </w:rPr>
            </w:pPr>
          </w:p>
        </w:tc>
        <w:tc>
          <w:tcPr>
            <w:tcW w:w="2020" w:type="dxa"/>
            <w:vAlign w:val="center"/>
          </w:tcPr>
          <w:p w14:paraId="0E125E55">
            <w:pPr>
              <w:jc w:val="center"/>
              <w:rPr>
                <w:rFonts w:ascii="宋体" w:hAnsi="宋体"/>
                <w:color w:val="auto"/>
                <w:szCs w:val="44"/>
                <w:highlight w:val="none"/>
              </w:rPr>
            </w:pPr>
          </w:p>
        </w:tc>
      </w:tr>
      <w:tr w14:paraId="10AB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406E0F7B">
            <w:pPr>
              <w:jc w:val="center"/>
              <w:rPr>
                <w:rFonts w:ascii="宋体" w:hAnsi="宋体"/>
                <w:color w:val="auto"/>
                <w:szCs w:val="44"/>
                <w:highlight w:val="none"/>
              </w:rPr>
            </w:pPr>
            <w:r>
              <w:rPr>
                <w:rFonts w:hint="eastAsia" w:ascii="宋体" w:hAnsi="宋体"/>
                <w:color w:val="auto"/>
                <w:szCs w:val="44"/>
                <w:highlight w:val="none"/>
              </w:rPr>
              <w:t>4</w:t>
            </w:r>
          </w:p>
        </w:tc>
        <w:tc>
          <w:tcPr>
            <w:tcW w:w="1753" w:type="dxa"/>
            <w:vAlign w:val="center"/>
          </w:tcPr>
          <w:p w14:paraId="47FD70D7">
            <w:pPr>
              <w:jc w:val="center"/>
              <w:rPr>
                <w:rFonts w:ascii="宋体" w:hAnsi="宋体"/>
                <w:color w:val="auto"/>
                <w:szCs w:val="44"/>
                <w:highlight w:val="none"/>
              </w:rPr>
            </w:pPr>
          </w:p>
        </w:tc>
        <w:tc>
          <w:tcPr>
            <w:tcW w:w="1313" w:type="dxa"/>
            <w:vAlign w:val="center"/>
          </w:tcPr>
          <w:p w14:paraId="5C7AE503">
            <w:pPr>
              <w:jc w:val="center"/>
              <w:rPr>
                <w:color w:val="auto"/>
                <w:highlight w:val="none"/>
              </w:rPr>
            </w:pPr>
          </w:p>
        </w:tc>
        <w:tc>
          <w:tcPr>
            <w:tcW w:w="1314" w:type="dxa"/>
            <w:vAlign w:val="center"/>
          </w:tcPr>
          <w:p w14:paraId="71C48C0D">
            <w:pPr>
              <w:jc w:val="center"/>
              <w:rPr>
                <w:rFonts w:ascii="宋体" w:hAnsi="宋体"/>
                <w:color w:val="auto"/>
                <w:szCs w:val="44"/>
                <w:highlight w:val="none"/>
              </w:rPr>
            </w:pPr>
          </w:p>
        </w:tc>
        <w:tc>
          <w:tcPr>
            <w:tcW w:w="1314" w:type="dxa"/>
            <w:vAlign w:val="center"/>
          </w:tcPr>
          <w:p w14:paraId="31833355">
            <w:pPr>
              <w:jc w:val="center"/>
              <w:rPr>
                <w:rFonts w:ascii="宋体" w:hAnsi="宋体"/>
                <w:color w:val="auto"/>
                <w:szCs w:val="44"/>
                <w:highlight w:val="none"/>
              </w:rPr>
            </w:pPr>
          </w:p>
        </w:tc>
        <w:tc>
          <w:tcPr>
            <w:tcW w:w="1313" w:type="dxa"/>
            <w:vAlign w:val="center"/>
          </w:tcPr>
          <w:p w14:paraId="44846E41">
            <w:pPr>
              <w:jc w:val="center"/>
              <w:rPr>
                <w:rFonts w:ascii="宋体" w:hAnsi="宋体"/>
                <w:color w:val="auto"/>
                <w:szCs w:val="44"/>
                <w:highlight w:val="none"/>
              </w:rPr>
            </w:pPr>
          </w:p>
        </w:tc>
        <w:tc>
          <w:tcPr>
            <w:tcW w:w="1314" w:type="dxa"/>
            <w:vAlign w:val="center"/>
          </w:tcPr>
          <w:p w14:paraId="05729924">
            <w:pPr>
              <w:jc w:val="center"/>
              <w:rPr>
                <w:rFonts w:ascii="宋体" w:hAnsi="宋体"/>
                <w:color w:val="auto"/>
                <w:szCs w:val="44"/>
                <w:highlight w:val="none"/>
              </w:rPr>
            </w:pPr>
          </w:p>
        </w:tc>
        <w:tc>
          <w:tcPr>
            <w:tcW w:w="1314" w:type="dxa"/>
            <w:vAlign w:val="center"/>
          </w:tcPr>
          <w:p w14:paraId="5E3CCB96">
            <w:pPr>
              <w:jc w:val="center"/>
              <w:rPr>
                <w:rFonts w:ascii="宋体" w:hAnsi="宋体"/>
                <w:color w:val="auto"/>
                <w:szCs w:val="44"/>
                <w:highlight w:val="none"/>
              </w:rPr>
            </w:pPr>
          </w:p>
        </w:tc>
        <w:tc>
          <w:tcPr>
            <w:tcW w:w="1179" w:type="dxa"/>
            <w:vAlign w:val="center"/>
          </w:tcPr>
          <w:p w14:paraId="023E4DEC">
            <w:pPr>
              <w:jc w:val="center"/>
              <w:rPr>
                <w:rFonts w:ascii="宋体" w:hAnsi="宋体"/>
                <w:color w:val="auto"/>
                <w:szCs w:val="44"/>
                <w:highlight w:val="none"/>
              </w:rPr>
            </w:pPr>
          </w:p>
        </w:tc>
        <w:tc>
          <w:tcPr>
            <w:tcW w:w="2020" w:type="dxa"/>
            <w:vAlign w:val="center"/>
          </w:tcPr>
          <w:p w14:paraId="34737525">
            <w:pPr>
              <w:jc w:val="center"/>
              <w:rPr>
                <w:rFonts w:ascii="宋体" w:hAnsi="宋体"/>
                <w:color w:val="auto"/>
                <w:szCs w:val="44"/>
                <w:highlight w:val="none"/>
              </w:rPr>
            </w:pPr>
          </w:p>
        </w:tc>
      </w:tr>
      <w:tr w14:paraId="1B57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14:paraId="3BE5DB14">
            <w:pPr>
              <w:jc w:val="center"/>
              <w:rPr>
                <w:rFonts w:ascii="宋体" w:hAnsi="宋体"/>
                <w:color w:val="auto"/>
                <w:szCs w:val="44"/>
                <w:highlight w:val="none"/>
              </w:rPr>
            </w:pPr>
            <w:r>
              <w:rPr>
                <w:rFonts w:hint="eastAsia" w:ascii="宋体" w:hAnsi="宋体"/>
                <w:color w:val="auto"/>
                <w:szCs w:val="44"/>
                <w:highlight w:val="none"/>
              </w:rPr>
              <w:t>5</w:t>
            </w:r>
          </w:p>
        </w:tc>
        <w:tc>
          <w:tcPr>
            <w:tcW w:w="1753" w:type="dxa"/>
            <w:tcBorders>
              <w:bottom w:val="single" w:color="auto" w:sz="4" w:space="0"/>
            </w:tcBorders>
            <w:vAlign w:val="center"/>
          </w:tcPr>
          <w:p w14:paraId="1037F38D">
            <w:pPr>
              <w:jc w:val="center"/>
              <w:rPr>
                <w:rFonts w:ascii="宋体" w:hAnsi="宋体"/>
                <w:color w:val="auto"/>
                <w:szCs w:val="44"/>
                <w:highlight w:val="none"/>
              </w:rPr>
            </w:pPr>
          </w:p>
        </w:tc>
        <w:tc>
          <w:tcPr>
            <w:tcW w:w="1313" w:type="dxa"/>
            <w:tcBorders>
              <w:bottom w:val="single" w:color="auto" w:sz="4" w:space="0"/>
            </w:tcBorders>
            <w:vAlign w:val="center"/>
          </w:tcPr>
          <w:p w14:paraId="3CE4A930">
            <w:pPr>
              <w:jc w:val="center"/>
              <w:rPr>
                <w:color w:val="auto"/>
                <w:highlight w:val="none"/>
              </w:rPr>
            </w:pPr>
          </w:p>
        </w:tc>
        <w:tc>
          <w:tcPr>
            <w:tcW w:w="1314" w:type="dxa"/>
            <w:tcBorders>
              <w:bottom w:val="single" w:color="auto" w:sz="4" w:space="0"/>
            </w:tcBorders>
            <w:vAlign w:val="center"/>
          </w:tcPr>
          <w:p w14:paraId="15964C4B">
            <w:pPr>
              <w:jc w:val="center"/>
              <w:rPr>
                <w:rFonts w:ascii="宋体" w:hAnsi="宋体"/>
                <w:color w:val="auto"/>
                <w:szCs w:val="44"/>
                <w:highlight w:val="none"/>
              </w:rPr>
            </w:pPr>
          </w:p>
        </w:tc>
        <w:tc>
          <w:tcPr>
            <w:tcW w:w="1314" w:type="dxa"/>
            <w:tcBorders>
              <w:bottom w:val="single" w:color="auto" w:sz="4" w:space="0"/>
            </w:tcBorders>
            <w:vAlign w:val="center"/>
          </w:tcPr>
          <w:p w14:paraId="4DFFDB61">
            <w:pPr>
              <w:jc w:val="center"/>
              <w:rPr>
                <w:rFonts w:ascii="宋体" w:hAnsi="宋体"/>
                <w:color w:val="auto"/>
                <w:szCs w:val="44"/>
                <w:highlight w:val="none"/>
              </w:rPr>
            </w:pPr>
          </w:p>
        </w:tc>
        <w:tc>
          <w:tcPr>
            <w:tcW w:w="1313" w:type="dxa"/>
            <w:tcBorders>
              <w:bottom w:val="single" w:color="auto" w:sz="4" w:space="0"/>
            </w:tcBorders>
            <w:vAlign w:val="center"/>
          </w:tcPr>
          <w:p w14:paraId="02D2E622">
            <w:pPr>
              <w:jc w:val="center"/>
              <w:rPr>
                <w:rFonts w:ascii="宋体" w:hAnsi="宋体"/>
                <w:color w:val="auto"/>
                <w:szCs w:val="44"/>
                <w:highlight w:val="none"/>
              </w:rPr>
            </w:pPr>
          </w:p>
        </w:tc>
        <w:tc>
          <w:tcPr>
            <w:tcW w:w="1314" w:type="dxa"/>
            <w:tcBorders>
              <w:bottom w:val="single" w:color="auto" w:sz="4" w:space="0"/>
            </w:tcBorders>
            <w:vAlign w:val="center"/>
          </w:tcPr>
          <w:p w14:paraId="5E77CB49">
            <w:pPr>
              <w:jc w:val="center"/>
              <w:rPr>
                <w:rFonts w:ascii="宋体" w:hAnsi="宋体"/>
                <w:color w:val="auto"/>
                <w:szCs w:val="44"/>
                <w:highlight w:val="none"/>
              </w:rPr>
            </w:pPr>
          </w:p>
        </w:tc>
        <w:tc>
          <w:tcPr>
            <w:tcW w:w="1314" w:type="dxa"/>
            <w:tcBorders>
              <w:bottom w:val="single" w:color="auto" w:sz="4" w:space="0"/>
            </w:tcBorders>
            <w:vAlign w:val="center"/>
          </w:tcPr>
          <w:p w14:paraId="006FE71D">
            <w:pPr>
              <w:jc w:val="center"/>
              <w:rPr>
                <w:rFonts w:ascii="宋体" w:hAnsi="宋体"/>
                <w:color w:val="auto"/>
                <w:szCs w:val="44"/>
                <w:highlight w:val="none"/>
              </w:rPr>
            </w:pPr>
          </w:p>
        </w:tc>
        <w:tc>
          <w:tcPr>
            <w:tcW w:w="1179" w:type="dxa"/>
            <w:tcBorders>
              <w:bottom w:val="single" w:color="auto" w:sz="4" w:space="0"/>
            </w:tcBorders>
            <w:vAlign w:val="center"/>
          </w:tcPr>
          <w:p w14:paraId="591A2287">
            <w:pPr>
              <w:jc w:val="center"/>
              <w:rPr>
                <w:rFonts w:ascii="宋体" w:hAnsi="宋体"/>
                <w:color w:val="auto"/>
                <w:szCs w:val="44"/>
                <w:highlight w:val="none"/>
              </w:rPr>
            </w:pPr>
          </w:p>
        </w:tc>
        <w:tc>
          <w:tcPr>
            <w:tcW w:w="2020" w:type="dxa"/>
            <w:tcBorders>
              <w:bottom w:val="single" w:color="auto" w:sz="4" w:space="0"/>
            </w:tcBorders>
            <w:vAlign w:val="center"/>
          </w:tcPr>
          <w:p w14:paraId="0B4ABE44">
            <w:pPr>
              <w:jc w:val="center"/>
              <w:rPr>
                <w:rFonts w:ascii="宋体" w:hAnsi="宋体"/>
                <w:color w:val="auto"/>
                <w:szCs w:val="44"/>
                <w:highlight w:val="none"/>
              </w:rPr>
            </w:pPr>
          </w:p>
        </w:tc>
      </w:tr>
      <w:tr w14:paraId="0E45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007B2262">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53" w:type="dxa"/>
            <w:tcBorders>
              <w:top w:val="single" w:color="auto" w:sz="4" w:space="0"/>
              <w:left w:val="single" w:color="auto" w:sz="4" w:space="0"/>
              <w:bottom w:val="single" w:color="auto" w:sz="4" w:space="0"/>
              <w:right w:val="single" w:color="auto" w:sz="4" w:space="0"/>
            </w:tcBorders>
            <w:vAlign w:val="center"/>
          </w:tcPr>
          <w:p w14:paraId="06BF2FBC">
            <w:pPr>
              <w:rPr>
                <w:rFonts w:ascii="宋体" w:hAnsi="宋体"/>
                <w:color w:val="auto"/>
                <w:szCs w:val="21"/>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5891D2BA">
            <w:pPr>
              <w:jc w:val="center"/>
              <w:rPr>
                <w:color w:val="auto"/>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67E860C1">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1DC40E05">
            <w:pPr>
              <w:jc w:val="center"/>
              <w:rPr>
                <w:rFonts w:ascii="宋体" w:hAnsi="宋体"/>
                <w:color w:val="auto"/>
                <w:szCs w:val="4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416EEAD4">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39FDC791">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6FC88EB6">
            <w:pPr>
              <w:jc w:val="center"/>
              <w:rPr>
                <w:rFonts w:ascii="宋体" w:hAnsi="宋体"/>
                <w:color w:val="auto"/>
                <w:szCs w:val="4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14:paraId="33ADA86B">
            <w:pPr>
              <w:jc w:val="center"/>
              <w:rPr>
                <w:rFonts w:ascii="宋体" w:hAnsi="宋体"/>
                <w:color w:val="auto"/>
                <w:szCs w:val="44"/>
                <w:highlight w:val="none"/>
              </w:rPr>
            </w:pPr>
          </w:p>
        </w:tc>
        <w:tc>
          <w:tcPr>
            <w:tcW w:w="2020" w:type="dxa"/>
            <w:tcBorders>
              <w:top w:val="single" w:color="auto" w:sz="4" w:space="0"/>
              <w:left w:val="single" w:color="auto" w:sz="4" w:space="0"/>
              <w:bottom w:val="single" w:color="auto" w:sz="4" w:space="0"/>
              <w:right w:val="single" w:color="auto" w:sz="4" w:space="0"/>
            </w:tcBorders>
            <w:vAlign w:val="center"/>
          </w:tcPr>
          <w:p w14:paraId="2BE9785F">
            <w:pPr>
              <w:jc w:val="center"/>
              <w:rPr>
                <w:rFonts w:ascii="宋体" w:hAnsi="宋体"/>
                <w:color w:val="auto"/>
                <w:szCs w:val="44"/>
                <w:highlight w:val="none"/>
              </w:rPr>
            </w:pPr>
          </w:p>
        </w:tc>
      </w:tr>
      <w:tr w14:paraId="1A36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14:paraId="4571249C">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452E6087">
            <w:pPr>
              <w:jc w:val="left"/>
              <w:rPr>
                <w:rFonts w:ascii="宋体" w:hAnsi="宋体"/>
                <w:color w:val="auto"/>
                <w:szCs w:val="44"/>
                <w:highlight w:val="none"/>
              </w:rPr>
            </w:pPr>
          </w:p>
          <w:p w14:paraId="06C507B0">
            <w:pPr>
              <w:jc w:val="left"/>
              <w:rPr>
                <w:rFonts w:ascii="宋体" w:hAnsi="宋体"/>
                <w:color w:val="auto"/>
                <w:szCs w:val="44"/>
                <w:highlight w:val="none"/>
              </w:rPr>
            </w:pPr>
          </w:p>
          <w:p w14:paraId="1AD47A02">
            <w:pPr>
              <w:jc w:val="center"/>
              <w:rPr>
                <w:rFonts w:ascii="宋体" w:hAnsi="宋体"/>
                <w:color w:val="auto"/>
                <w:szCs w:val="44"/>
                <w:highlight w:val="none"/>
              </w:rPr>
            </w:pPr>
          </w:p>
        </w:tc>
      </w:tr>
    </w:tbl>
    <w:p w14:paraId="786FB58F">
      <w:pPr>
        <w:ind w:right="420"/>
        <w:jc w:val="right"/>
        <w:rPr>
          <w:color w:val="auto"/>
          <w:highlight w:val="none"/>
        </w:rPr>
      </w:pPr>
      <w:r>
        <w:rPr>
          <w:rFonts w:hint="eastAsia"/>
          <w:color w:val="auto"/>
          <w:highlight w:val="none"/>
        </w:rPr>
        <w:t xml:space="preserve">   日期：      年    月   日</w:t>
      </w:r>
    </w:p>
    <w:bookmarkEnd w:id="596"/>
    <w:p w14:paraId="6D9831B5">
      <w:pPr>
        <w:rPr>
          <w:color w:val="auto"/>
          <w:highlight w:val="none"/>
        </w:rPr>
      </w:pPr>
    </w:p>
    <w:p w14:paraId="4D1BA929">
      <w:pPr>
        <w:rPr>
          <w:color w:val="auto"/>
          <w:highlight w:val="none"/>
        </w:rPr>
      </w:pPr>
      <w:r>
        <w:rPr>
          <w:color w:val="auto"/>
          <w:highlight w:val="none"/>
        </w:rPr>
        <w:br w:type="page"/>
      </w:r>
    </w:p>
    <w:p w14:paraId="74471922">
      <w:pPr>
        <w:pStyle w:val="25"/>
        <w:rPr>
          <w:rFonts w:ascii="黑体"/>
          <w:color w:val="auto"/>
          <w:highlight w:val="none"/>
        </w:rPr>
      </w:pPr>
      <w:bookmarkStart w:id="597" w:name="_Toc11138"/>
      <w:bookmarkStart w:id="598" w:name="_Toc7071"/>
      <w:bookmarkStart w:id="599" w:name="_Toc256000144"/>
      <w:bookmarkStart w:id="600" w:name="_Toc165804461"/>
      <w:bookmarkStart w:id="601" w:name="_Toc6584"/>
      <w:bookmarkStart w:id="602" w:name="_Toc9678"/>
      <w:r>
        <w:rPr>
          <w:rFonts w:hint="eastAsia"/>
          <w:color w:val="auto"/>
          <w:highlight w:val="none"/>
        </w:rPr>
        <w:t>附表A-1</w:t>
      </w:r>
      <w:r>
        <w:rPr>
          <w:color w:val="auto"/>
          <w:highlight w:val="none"/>
        </w:rPr>
        <w:t>5</w:t>
      </w:r>
      <w:r>
        <w:rPr>
          <w:rFonts w:hint="eastAsia"/>
          <w:color w:val="auto"/>
          <w:highlight w:val="none"/>
        </w:rPr>
        <w:t>：详细评审评分汇总表</w:t>
      </w:r>
      <w:bookmarkEnd w:id="597"/>
      <w:bookmarkEnd w:id="598"/>
      <w:bookmarkEnd w:id="599"/>
      <w:bookmarkEnd w:id="600"/>
      <w:bookmarkEnd w:id="601"/>
      <w:bookmarkEnd w:id="602"/>
    </w:p>
    <w:p w14:paraId="43264251">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详细评审评分汇总表</w:t>
      </w:r>
    </w:p>
    <w:p w14:paraId="0497E425">
      <w:pPr>
        <w:rPr>
          <w:rFonts w:ascii="宋体" w:hAnsi="宋体"/>
          <w:color w:val="auto"/>
          <w:szCs w:val="44"/>
          <w:highlight w:val="none"/>
        </w:rPr>
      </w:pPr>
      <w:bookmarkStart w:id="603" w:name="_Hlk150333034"/>
      <w:r>
        <w:rPr>
          <w:rFonts w:hint="eastAsia" w:ascii="宋体" w:hAnsi="宋体"/>
          <w:color w:val="auto"/>
          <w:szCs w:val="44"/>
          <w:highlight w:val="none"/>
        </w:rPr>
        <w:t>标段名称：</w:t>
      </w:r>
    </w:p>
    <w:p w14:paraId="05645153">
      <w:pPr>
        <w:rPr>
          <w:color w:val="auto"/>
          <w:szCs w:val="44"/>
          <w:highlight w:val="none"/>
        </w:rPr>
      </w:pPr>
      <w:r>
        <w:rPr>
          <w:rFonts w:hint="eastAsia"/>
          <w:color w:val="auto"/>
          <w:szCs w:val="44"/>
          <w:highlight w:val="none"/>
        </w:rPr>
        <w:t>标段唯一标识码：</w:t>
      </w:r>
    </w:p>
    <w:tbl>
      <w:tblPr>
        <w:tblStyle w:val="12"/>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14:paraId="79C4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14:paraId="5CC9C53D">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2963" w:type="dxa"/>
            <w:vMerge w:val="restart"/>
            <w:vAlign w:val="center"/>
          </w:tcPr>
          <w:p w14:paraId="6D6A9F62">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7568" w:type="dxa"/>
            <w:gridSpan w:val="4"/>
            <w:vAlign w:val="center"/>
          </w:tcPr>
          <w:p w14:paraId="04881FF5">
            <w:pPr>
              <w:jc w:val="center"/>
              <w:rPr>
                <w:rFonts w:ascii="宋体" w:hAnsi="宋体"/>
                <w:b/>
                <w:bCs/>
                <w:color w:val="auto"/>
                <w:szCs w:val="21"/>
                <w:highlight w:val="none"/>
              </w:rPr>
            </w:pPr>
            <w:r>
              <w:rPr>
                <w:rFonts w:hint="eastAsia" w:ascii="宋体" w:hAnsi="宋体"/>
                <w:b/>
                <w:bCs/>
                <w:color w:val="auto"/>
                <w:szCs w:val="21"/>
                <w:highlight w:val="none"/>
              </w:rPr>
              <w:t>评审类别评审得分</w:t>
            </w:r>
          </w:p>
        </w:tc>
        <w:tc>
          <w:tcPr>
            <w:tcW w:w="1221" w:type="dxa"/>
            <w:vMerge w:val="restart"/>
            <w:vAlign w:val="center"/>
          </w:tcPr>
          <w:p w14:paraId="093E432D">
            <w:pPr>
              <w:jc w:val="center"/>
              <w:rPr>
                <w:rFonts w:ascii="宋体" w:hAnsi="宋体"/>
                <w:b/>
                <w:bCs/>
                <w:color w:val="auto"/>
                <w:szCs w:val="21"/>
                <w:highlight w:val="none"/>
              </w:rPr>
            </w:pPr>
            <w:r>
              <w:rPr>
                <w:rFonts w:hint="eastAsia" w:ascii="宋体" w:hAnsi="宋体"/>
                <w:b/>
                <w:bCs/>
                <w:color w:val="auto"/>
                <w:szCs w:val="21"/>
                <w:highlight w:val="none"/>
              </w:rPr>
              <w:t>评审得分汇总</w:t>
            </w:r>
          </w:p>
        </w:tc>
        <w:tc>
          <w:tcPr>
            <w:tcW w:w="1298" w:type="dxa"/>
            <w:vMerge w:val="restart"/>
            <w:vAlign w:val="center"/>
          </w:tcPr>
          <w:p w14:paraId="749693B2">
            <w:pPr>
              <w:jc w:val="center"/>
              <w:rPr>
                <w:rFonts w:ascii="宋体" w:hAnsi="宋体"/>
                <w:b/>
                <w:bCs/>
                <w:color w:val="auto"/>
                <w:szCs w:val="21"/>
                <w:highlight w:val="none"/>
              </w:rPr>
            </w:pPr>
            <w:r>
              <w:rPr>
                <w:rFonts w:hint="eastAsia" w:ascii="宋体" w:hAnsi="宋体"/>
                <w:b/>
                <w:bCs/>
                <w:color w:val="auto"/>
                <w:szCs w:val="21"/>
                <w:highlight w:val="none"/>
              </w:rPr>
              <w:t>投标人排名</w:t>
            </w:r>
          </w:p>
        </w:tc>
      </w:tr>
      <w:tr w14:paraId="176C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14:paraId="4068BBC0">
            <w:pPr>
              <w:jc w:val="center"/>
              <w:rPr>
                <w:rFonts w:ascii="宋体" w:hAnsi="宋体"/>
                <w:b/>
                <w:bCs/>
                <w:color w:val="auto"/>
                <w:szCs w:val="21"/>
                <w:highlight w:val="none"/>
              </w:rPr>
            </w:pPr>
          </w:p>
        </w:tc>
        <w:tc>
          <w:tcPr>
            <w:tcW w:w="2963" w:type="dxa"/>
            <w:vMerge w:val="continue"/>
          </w:tcPr>
          <w:p w14:paraId="5631492A">
            <w:pPr>
              <w:jc w:val="center"/>
              <w:rPr>
                <w:rFonts w:ascii="宋体" w:hAnsi="宋体"/>
                <w:b/>
                <w:bCs/>
                <w:color w:val="auto"/>
                <w:szCs w:val="21"/>
                <w:highlight w:val="none"/>
              </w:rPr>
            </w:pPr>
          </w:p>
        </w:tc>
        <w:tc>
          <w:tcPr>
            <w:tcW w:w="1892" w:type="dxa"/>
            <w:vAlign w:val="center"/>
          </w:tcPr>
          <w:p w14:paraId="091902A6">
            <w:pPr>
              <w:jc w:val="center"/>
              <w:rPr>
                <w:rFonts w:ascii="宋体" w:hAnsi="宋体"/>
                <w:b/>
                <w:bCs/>
                <w:color w:val="auto"/>
                <w:szCs w:val="21"/>
                <w:highlight w:val="none"/>
              </w:rPr>
            </w:pPr>
            <w:r>
              <w:rPr>
                <w:rFonts w:hint="eastAsia"/>
                <w:b/>
                <w:bCs/>
                <w:color w:val="auto"/>
                <w:highlight w:val="none"/>
              </w:rPr>
              <w:t>投标报价</w:t>
            </w:r>
          </w:p>
        </w:tc>
        <w:tc>
          <w:tcPr>
            <w:tcW w:w="1892" w:type="dxa"/>
            <w:vAlign w:val="center"/>
          </w:tcPr>
          <w:p w14:paraId="387BC41C">
            <w:pPr>
              <w:jc w:val="center"/>
              <w:rPr>
                <w:rFonts w:ascii="宋体" w:hAnsi="宋体"/>
                <w:b/>
                <w:bCs/>
                <w:color w:val="auto"/>
                <w:szCs w:val="21"/>
                <w:highlight w:val="none"/>
              </w:rPr>
            </w:pPr>
            <w:r>
              <w:rPr>
                <w:rFonts w:hint="eastAsia"/>
                <w:b/>
                <w:bCs/>
                <w:color w:val="auto"/>
                <w:highlight w:val="none"/>
              </w:rPr>
              <w:t>技术标</w:t>
            </w:r>
          </w:p>
        </w:tc>
        <w:tc>
          <w:tcPr>
            <w:tcW w:w="1892" w:type="dxa"/>
            <w:vAlign w:val="center"/>
          </w:tcPr>
          <w:p w14:paraId="24C69915">
            <w:pPr>
              <w:jc w:val="center"/>
              <w:rPr>
                <w:rFonts w:ascii="宋体" w:hAnsi="宋体"/>
                <w:b/>
                <w:bCs/>
                <w:color w:val="auto"/>
                <w:szCs w:val="21"/>
                <w:highlight w:val="none"/>
              </w:rPr>
            </w:pPr>
            <w:r>
              <w:rPr>
                <w:rFonts w:hint="eastAsia"/>
                <w:b/>
                <w:bCs/>
                <w:color w:val="auto"/>
                <w:highlight w:val="none"/>
              </w:rPr>
              <w:t>资信标</w:t>
            </w:r>
          </w:p>
        </w:tc>
        <w:tc>
          <w:tcPr>
            <w:tcW w:w="1892" w:type="dxa"/>
            <w:tcBorders>
              <w:right w:val="single" w:color="auto" w:sz="4" w:space="0"/>
            </w:tcBorders>
            <w:vAlign w:val="center"/>
          </w:tcPr>
          <w:p w14:paraId="414741A8">
            <w:pPr>
              <w:jc w:val="center"/>
              <w:rPr>
                <w:rFonts w:ascii="宋体" w:hAnsi="宋体"/>
                <w:b/>
                <w:bCs/>
                <w:color w:val="auto"/>
                <w:szCs w:val="21"/>
                <w:highlight w:val="none"/>
              </w:rPr>
            </w:pPr>
            <w:r>
              <w:rPr>
                <w:rFonts w:hint="eastAsia" w:ascii="宋体" w:hAnsi="宋体"/>
                <w:b/>
                <w:bCs/>
                <w:color w:val="auto"/>
                <w:szCs w:val="21"/>
                <w:highlight w:val="none"/>
              </w:rPr>
              <w:t>其他因素</w:t>
            </w:r>
          </w:p>
        </w:tc>
        <w:tc>
          <w:tcPr>
            <w:tcW w:w="1221" w:type="dxa"/>
            <w:vMerge w:val="continue"/>
            <w:vAlign w:val="center"/>
          </w:tcPr>
          <w:p w14:paraId="70345437">
            <w:pPr>
              <w:jc w:val="center"/>
              <w:rPr>
                <w:rFonts w:ascii="宋体" w:hAnsi="宋体"/>
                <w:b/>
                <w:bCs/>
                <w:color w:val="auto"/>
                <w:szCs w:val="21"/>
                <w:highlight w:val="none"/>
              </w:rPr>
            </w:pPr>
          </w:p>
        </w:tc>
        <w:tc>
          <w:tcPr>
            <w:tcW w:w="1298" w:type="dxa"/>
            <w:vMerge w:val="continue"/>
            <w:vAlign w:val="center"/>
          </w:tcPr>
          <w:p w14:paraId="76B4F63E">
            <w:pPr>
              <w:jc w:val="center"/>
              <w:rPr>
                <w:rFonts w:ascii="宋体" w:hAnsi="宋体"/>
                <w:b/>
                <w:bCs/>
                <w:color w:val="auto"/>
                <w:szCs w:val="21"/>
                <w:highlight w:val="none"/>
              </w:rPr>
            </w:pPr>
          </w:p>
        </w:tc>
      </w:tr>
      <w:tr w14:paraId="691A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6806A093">
            <w:pPr>
              <w:jc w:val="center"/>
              <w:rPr>
                <w:rFonts w:ascii="宋体" w:hAnsi="宋体"/>
                <w:color w:val="auto"/>
                <w:szCs w:val="21"/>
                <w:highlight w:val="none"/>
              </w:rPr>
            </w:pPr>
            <w:r>
              <w:rPr>
                <w:rFonts w:hint="eastAsia" w:ascii="宋体" w:hAnsi="宋体"/>
                <w:color w:val="auto"/>
                <w:szCs w:val="21"/>
                <w:highlight w:val="none"/>
              </w:rPr>
              <w:t>1</w:t>
            </w:r>
          </w:p>
        </w:tc>
        <w:tc>
          <w:tcPr>
            <w:tcW w:w="2963" w:type="dxa"/>
            <w:vAlign w:val="center"/>
          </w:tcPr>
          <w:p w14:paraId="0508DA64">
            <w:pPr>
              <w:jc w:val="center"/>
              <w:rPr>
                <w:rFonts w:ascii="宋体" w:hAnsi="宋体"/>
                <w:color w:val="auto"/>
                <w:szCs w:val="21"/>
                <w:highlight w:val="none"/>
              </w:rPr>
            </w:pPr>
          </w:p>
        </w:tc>
        <w:tc>
          <w:tcPr>
            <w:tcW w:w="1892" w:type="dxa"/>
            <w:vAlign w:val="center"/>
          </w:tcPr>
          <w:p w14:paraId="7D3A05A2">
            <w:pPr>
              <w:jc w:val="center"/>
              <w:rPr>
                <w:rFonts w:ascii="宋体" w:hAnsi="宋体"/>
                <w:color w:val="auto"/>
                <w:szCs w:val="21"/>
                <w:highlight w:val="none"/>
              </w:rPr>
            </w:pPr>
          </w:p>
        </w:tc>
        <w:tc>
          <w:tcPr>
            <w:tcW w:w="1892" w:type="dxa"/>
            <w:vAlign w:val="center"/>
          </w:tcPr>
          <w:p w14:paraId="45624962">
            <w:pPr>
              <w:jc w:val="center"/>
              <w:rPr>
                <w:rFonts w:ascii="宋体" w:hAnsi="宋体"/>
                <w:color w:val="auto"/>
                <w:szCs w:val="21"/>
                <w:highlight w:val="none"/>
              </w:rPr>
            </w:pPr>
          </w:p>
        </w:tc>
        <w:tc>
          <w:tcPr>
            <w:tcW w:w="1892" w:type="dxa"/>
            <w:vAlign w:val="center"/>
          </w:tcPr>
          <w:p w14:paraId="55C434CA">
            <w:pPr>
              <w:jc w:val="center"/>
              <w:rPr>
                <w:rFonts w:ascii="宋体" w:hAnsi="宋体"/>
                <w:color w:val="auto"/>
                <w:szCs w:val="21"/>
                <w:highlight w:val="none"/>
              </w:rPr>
            </w:pPr>
          </w:p>
        </w:tc>
        <w:tc>
          <w:tcPr>
            <w:tcW w:w="1892" w:type="dxa"/>
            <w:tcBorders>
              <w:right w:val="single" w:color="auto" w:sz="4" w:space="0"/>
            </w:tcBorders>
            <w:vAlign w:val="center"/>
          </w:tcPr>
          <w:p w14:paraId="71878324">
            <w:pPr>
              <w:jc w:val="center"/>
              <w:rPr>
                <w:rFonts w:ascii="宋体" w:hAnsi="宋体"/>
                <w:color w:val="auto"/>
                <w:szCs w:val="21"/>
                <w:highlight w:val="none"/>
              </w:rPr>
            </w:pPr>
          </w:p>
        </w:tc>
        <w:tc>
          <w:tcPr>
            <w:tcW w:w="1221" w:type="dxa"/>
            <w:tcBorders>
              <w:right w:val="single" w:color="auto" w:sz="4" w:space="0"/>
            </w:tcBorders>
            <w:vAlign w:val="center"/>
          </w:tcPr>
          <w:p w14:paraId="36DC90BC">
            <w:pPr>
              <w:jc w:val="center"/>
              <w:rPr>
                <w:rFonts w:ascii="宋体" w:hAnsi="宋体"/>
                <w:color w:val="auto"/>
                <w:szCs w:val="21"/>
                <w:highlight w:val="none"/>
              </w:rPr>
            </w:pPr>
          </w:p>
        </w:tc>
        <w:tc>
          <w:tcPr>
            <w:tcW w:w="1298" w:type="dxa"/>
            <w:tcBorders>
              <w:right w:val="single" w:color="auto" w:sz="4" w:space="0"/>
            </w:tcBorders>
            <w:vAlign w:val="center"/>
          </w:tcPr>
          <w:p w14:paraId="363E7BD9">
            <w:pPr>
              <w:jc w:val="center"/>
              <w:rPr>
                <w:rFonts w:ascii="宋体" w:hAnsi="宋体"/>
                <w:color w:val="auto"/>
                <w:szCs w:val="21"/>
                <w:highlight w:val="none"/>
              </w:rPr>
            </w:pPr>
          </w:p>
        </w:tc>
      </w:tr>
      <w:tr w14:paraId="250A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3AB620B9">
            <w:pPr>
              <w:jc w:val="center"/>
              <w:rPr>
                <w:rFonts w:ascii="宋体" w:hAnsi="宋体"/>
                <w:color w:val="auto"/>
                <w:szCs w:val="21"/>
                <w:highlight w:val="none"/>
              </w:rPr>
            </w:pPr>
            <w:r>
              <w:rPr>
                <w:rFonts w:hint="eastAsia" w:ascii="宋体" w:hAnsi="宋体"/>
                <w:color w:val="auto"/>
                <w:szCs w:val="21"/>
                <w:highlight w:val="none"/>
              </w:rPr>
              <w:t>2</w:t>
            </w:r>
          </w:p>
        </w:tc>
        <w:tc>
          <w:tcPr>
            <w:tcW w:w="2963" w:type="dxa"/>
            <w:vAlign w:val="center"/>
          </w:tcPr>
          <w:p w14:paraId="1A938CAF">
            <w:pPr>
              <w:jc w:val="center"/>
              <w:rPr>
                <w:rFonts w:ascii="宋体" w:hAnsi="宋体"/>
                <w:color w:val="auto"/>
                <w:szCs w:val="21"/>
                <w:highlight w:val="none"/>
              </w:rPr>
            </w:pPr>
          </w:p>
        </w:tc>
        <w:tc>
          <w:tcPr>
            <w:tcW w:w="1892" w:type="dxa"/>
            <w:vAlign w:val="center"/>
          </w:tcPr>
          <w:p w14:paraId="7A82D782">
            <w:pPr>
              <w:jc w:val="center"/>
              <w:rPr>
                <w:rFonts w:ascii="宋体" w:hAnsi="宋体"/>
                <w:color w:val="auto"/>
                <w:szCs w:val="21"/>
                <w:highlight w:val="none"/>
              </w:rPr>
            </w:pPr>
          </w:p>
        </w:tc>
        <w:tc>
          <w:tcPr>
            <w:tcW w:w="1892" w:type="dxa"/>
            <w:vAlign w:val="center"/>
          </w:tcPr>
          <w:p w14:paraId="12FF16E9">
            <w:pPr>
              <w:jc w:val="center"/>
              <w:rPr>
                <w:rFonts w:ascii="宋体" w:hAnsi="宋体"/>
                <w:color w:val="auto"/>
                <w:szCs w:val="21"/>
                <w:highlight w:val="none"/>
              </w:rPr>
            </w:pPr>
          </w:p>
        </w:tc>
        <w:tc>
          <w:tcPr>
            <w:tcW w:w="1892" w:type="dxa"/>
            <w:vAlign w:val="center"/>
          </w:tcPr>
          <w:p w14:paraId="7B332F07">
            <w:pPr>
              <w:jc w:val="center"/>
              <w:rPr>
                <w:rFonts w:ascii="宋体" w:hAnsi="宋体"/>
                <w:color w:val="auto"/>
                <w:szCs w:val="21"/>
                <w:highlight w:val="none"/>
              </w:rPr>
            </w:pPr>
          </w:p>
        </w:tc>
        <w:tc>
          <w:tcPr>
            <w:tcW w:w="1892" w:type="dxa"/>
            <w:tcBorders>
              <w:right w:val="single" w:color="auto" w:sz="4" w:space="0"/>
            </w:tcBorders>
            <w:vAlign w:val="center"/>
          </w:tcPr>
          <w:p w14:paraId="1916DCFC">
            <w:pPr>
              <w:jc w:val="center"/>
              <w:rPr>
                <w:rFonts w:ascii="宋体" w:hAnsi="宋体"/>
                <w:color w:val="auto"/>
                <w:szCs w:val="21"/>
                <w:highlight w:val="none"/>
              </w:rPr>
            </w:pPr>
          </w:p>
        </w:tc>
        <w:tc>
          <w:tcPr>
            <w:tcW w:w="1221" w:type="dxa"/>
            <w:tcBorders>
              <w:right w:val="single" w:color="auto" w:sz="4" w:space="0"/>
            </w:tcBorders>
            <w:vAlign w:val="center"/>
          </w:tcPr>
          <w:p w14:paraId="22AF5033">
            <w:pPr>
              <w:jc w:val="center"/>
              <w:rPr>
                <w:rFonts w:ascii="宋体" w:hAnsi="宋体"/>
                <w:color w:val="auto"/>
                <w:szCs w:val="21"/>
                <w:highlight w:val="none"/>
              </w:rPr>
            </w:pPr>
          </w:p>
        </w:tc>
        <w:tc>
          <w:tcPr>
            <w:tcW w:w="1298" w:type="dxa"/>
            <w:tcBorders>
              <w:right w:val="single" w:color="auto" w:sz="4" w:space="0"/>
            </w:tcBorders>
            <w:vAlign w:val="center"/>
          </w:tcPr>
          <w:p w14:paraId="64B46D63">
            <w:pPr>
              <w:jc w:val="center"/>
              <w:rPr>
                <w:rFonts w:ascii="宋体" w:hAnsi="宋体"/>
                <w:color w:val="auto"/>
                <w:szCs w:val="21"/>
                <w:highlight w:val="none"/>
              </w:rPr>
            </w:pPr>
          </w:p>
        </w:tc>
      </w:tr>
      <w:tr w14:paraId="03B5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539A19BF">
            <w:pPr>
              <w:jc w:val="center"/>
              <w:rPr>
                <w:rFonts w:ascii="宋体" w:hAnsi="宋体"/>
                <w:color w:val="auto"/>
                <w:szCs w:val="21"/>
                <w:highlight w:val="none"/>
              </w:rPr>
            </w:pPr>
            <w:r>
              <w:rPr>
                <w:rFonts w:hint="eastAsia" w:ascii="宋体" w:hAnsi="宋体"/>
                <w:color w:val="auto"/>
                <w:szCs w:val="21"/>
                <w:highlight w:val="none"/>
              </w:rPr>
              <w:t>3</w:t>
            </w:r>
          </w:p>
        </w:tc>
        <w:tc>
          <w:tcPr>
            <w:tcW w:w="2963" w:type="dxa"/>
            <w:vAlign w:val="center"/>
          </w:tcPr>
          <w:p w14:paraId="7C251EC1">
            <w:pPr>
              <w:jc w:val="center"/>
              <w:rPr>
                <w:rFonts w:ascii="宋体" w:hAnsi="宋体"/>
                <w:color w:val="auto"/>
                <w:szCs w:val="21"/>
                <w:highlight w:val="none"/>
              </w:rPr>
            </w:pPr>
          </w:p>
        </w:tc>
        <w:tc>
          <w:tcPr>
            <w:tcW w:w="1892" w:type="dxa"/>
            <w:vAlign w:val="center"/>
          </w:tcPr>
          <w:p w14:paraId="2B491F16">
            <w:pPr>
              <w:jc w:val="center"/>
              <w:rPr>
                <w:rFonts w:ascii="宋体" w:hAnsi="宋体"/>
                <w:color w:val="auto"/>
                <w:szCs w:val="21"/>
                <w:highlight w:val="none"/>
              </w:rPr>
            </w:pPr>
          </w:p>
        </w:tc>
        <w:tc>
          <w:tcPr>
            <w:tcW w:w="1892" w:type="dxa"/>
            <w:vAlign w:val="center"/>
          </w:tcPr>
          <w:p w14:paraId="67349A1C">
            <w:pPr>
              <w:jc w:val="center"/>
              <w:rPr>
                <w:rFonts w:ascii="宋体" w:hAnsi="宋体"/>
                <w:color w:val="auto"/>
                <w:szCs w:val="21"/>
                <w:highlight w:val="none"/>
              </w:rPr>
            </w:pPr>
          </w:p>
        </w:tc>
        <w:tc>
          <w:tcPr>
            <w:tcW w:w="1892" w:type="dxa"/>
            <w:vAlign w:val="center"/>
          </w:tcPr>
          <w:p w14:paraId="2D65B659">
            <w:pPr>
              <w:jc w:val="center"/>
              <w:rPr>
                <w:rFonts w:ascii="宋体" w:hAnsi="宋体"/>
                <w:color w:val="auto"/>
                <w:szCs w:val="21"/>
                <w:highlight w:val="none"/>
              </w:rPr>
            </w:pPr>
          </w:p>
        </w:tc>
        <w:tc>
          <w:tcPr>
            <w:tcW w:w="1892" w:type="dxa"/>
            <w:tcBorders>
              <w:right w:val="single" w:color="auto" w:sz="4" w:space="0"/>
            </w:tcBorders>
            <w:vAlign w:val="center"/>
          </w:tcPr>
          <w:p w14:paraId="216642C9">
            <w:pPr>
              <w:jc w:val="center"/>
              <w:rPr>
                <w:rFonts w:ascii="宋体" w:hAnsi="宋体"/>
                <w:color w:val="auto"/>
                <w:szCs w:val="21"/>
                <w:highlight w:val="none"/>
              </w:rPr>
            </w:pPr>
          </w:p>
        </w:tc>
        <w:tc>
          <w:tcPr>
            <w:tcW w:w="1221" w:type="dxa"/>
            <w:tcBorders>
              <w:right w:val="single" w:color="auto" w:sz="4" w:space="0"/>
            </w:tcBorders>
            <w:vAlign w:val="center"/>
          </w:tcPr>
          <w:p w14:paraId="763EF17B">
            <w:pPr>
              <w:jc w:val="center"/>
              <w:rPr>
                <w:rFonts w:ascii="宋体" w:hAnsi="宋体"/>
                <w:color w:val="auto"/>
                <w:szCs w:val="21"/>
                <w:highlight w:val="none"/>
              </w:rPr>
            </w:pPr>
          </w:p>
        </w:tc>
        <w:tc>
          <w:tcPr>
            <w:tcW w:w="1298" w:type="dxa"/>
            <w:tcBorders>
              <w:right w:val="single" w:color="auto" w:sz="4" w:space="0"/>
            </w:tcBorders>
            <w:vAlign w:val="center"/>
          </w:tcPr>
          <w:p w14:paraId="1C45BE9C">
            <w:pPr>
              <w:jc w:val="center"/>
              <w:rPr>
                <w:rFonts w:ascii="宋体" w:hAnsi="宋体"/>
                <w:color w:val="auto"/>
                <w:szCs w:val="21"/>
                <w:highlight w:val="none"/>
              </w:rPr>
            </w:pPr>
          </w:p>
        </w:tc>
      </w:tr>
      <w:tr w14:paraId="0D1A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0B48E0B4">
            <w:pPr>
              <w:jc w:val="center"/>
              <w:rPr>
                <w:rFonts w:ascii="宋体" w:hAnsi="宋体"/>
                <w:color w:val="auto"/>
                <w:szCs w:val="21"/>
                <w:highlight w:val="none"/>
              </w:rPr>
            </w:pPr>
            <w:r>
              <w:rPr>
                <w:rFonts w:hint="eastAsia" w:ascii="宋体" w:hAnsi="宋体"/>
                <w:color w:val="auto"/>
                <w:szCs w:val="21"/>
                <w:highlight w:val="none"/>
              </w:rPr>
              <w:t>4</w:t>
            </w:r>
          </w:p>
        </w:tc>
        <w:tc>
          <w:tcPr>
            <w:tcW w:w="2963" w:type="dxa"/>
            <w:vAlign w:val="center"/>
          </w:tcPr>
          <w:p w14:paraId="0FD5CA14">
            <w:pPr>
              <w:jc w:val="center"/>
              <w:rPr>
                <w:rFonts w:ascii="宋体" w:hAnsi="宋体"/>
                <w:color w:val="auto"/>
                <w:szCs w:val="21"/>
                <w:highlight w:val="none"/>
              </w:rPr>
            </w:pPr>
          </w:p>
        </w:tc>
        <w:tc>
          <w:tcPr>
            <w:tcW w:w="1892" w:type="dxa"/>
            <w:vAlign w:val="center"/>
          </w:tcPr>
          <w:p w14:paraId="270FE232">
            <w:pPr>
              <w:jc w:val="center"/>
              <w:rPr>
                <w:rFonts w:ascii="宋体" w:hAnsi="宋体"/>
                <w:color w:val="auto"/>
                <w:szCs w:val="21"/>
                <w:highlight w:val="none"/>
              </w:rPr>
            </w:pPr>
          </w:p>
        </w:tc>
        <w:tc>
          <w:tcPr>
            <w:tcW w:w="1892" w:type="dxa"/>
            <w:vAlign w:val="center"/>
          </w:tcPr>
          <w:p w14:paraId="3D328CFE">
            <w:pPr>
              <w:jc w:val="center"/>
              <w:rPr>
                <w:rFonts w:ascii="宋体" w:hAnsi="宋体"/>
                <w:color w:val="auto"/>
                <w:szCs w:val="21"/>
                <w:highlight w:val="none"/>
              </w:rPr>
            </w:pPr>
          </w:p>
        </w:tc>
        <w:tc>
          <w:tcPr>
            <w:tcW w:w="1892" w:type="dxa"/>
            <w:vAlign w:val="center"/>
          </w:tcPr>
          <w:p w14:paraId="1A3A8F78">
            <w:pPr>
              <w:jc w:val="center"/>
              <w:rPr>
                <w:rFonts w:ascii="宋体" w:hAnsi="宋体"/>
                <w:color w:val="auto"/>
                <w:szCs w:val="21"/>
                <w:highlight w:val="none"/>
              </w:rPr>
            </w:pPr>
          </w:p>
        </w:tc>
        <w:tc>
          <w:tcPr>
            <w:tcW w:w="1892" w:type="dxa"/>
            <w:tcBorders>
              <w:right w:val="single" w:color="auto" w:sz="4" w:space="0"/>
            </w:tcBorders>
            <w:vAlign w:val="center"/>
          </w:tcPr>
          <w:p w14:paraId="0F44D446">
            <w:pPr>
              <w:jc w:val="center"/>
              <w:rPr>
                <w:rFonts w:ascii="宋体" w:hAnsi="宋体"/>
                <w:color w:val="auto"/>
                <w:szCs w:val="21"/>
                <w:highlight w:val="none"/>
              </w:rPr>
            </w:pPr>
          </w:p>
        </w:tc>
        <w:tc>
          <w:tcPr>
            <w:tcW w:w="1221" w:type="dxa"/>
            <w:tcBorders>
              <w:right w:val="single" w:color="auto" w:sz="4" w:space="0"/>
            </w:tcBorders>
            <w:vAlign w:val="center"/>
          </w:tcPr>
          <w:p w14:paraId="2AF73B2B">
            <w:pPr>
              <w:jc w:val="center"/>
              <w:rPr>
                <w:rFonts w:ascii="宋体" w:hAnsi="宋体"/>
                <w:color w:val="auto"/>
                <w:szCs w:val="21"/>
                <w:highlight w:val="none"/>
              </w:rPr>
            </w:pPr>
          </w:p>
        </w:tc>
        <w:tc>
          <w:tcPr>
            <w:tcW w:w="1298" w:type="dxa"/>
            <w:tcBorders>
              <w:right w:val="single" w:color="auto" w:sz="4" w:space="0"/>
            </w:tcBorders>
            <w:vAlign w:val="center"/>
          </w:tcPr>
          <w:p w14:paraId="7C7BF2F0">
            <w:pPr>
              <w:jc w:val="center"/>
              <w:rPr>
                <w:rFonts w:ascii="宋体" w:hAnsi="宋体"/>
                <w:color w:val="auto"/>
                <w:szCs w:val="21"/>
                <w:highlight w:val="none"/>
              </w:rPr>
            </w:pPr>
          </w:p>
        </w:tc>
      </w:tr>
      <w:tr w14:paraId="631E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3754442D">
            <w:pPr>
              <w:jc w:val="center"/>
              <w:rPr>
                <w:rFonts w:ascii="宋体" w:hAnsi="宋体"/>
                <w:color w:val="auto"/>
                <w:szCs w:val="21"/>
                <w:highlight w:val="none"/>
              </w:rPr>
            </w:pPr>
            <w:r>
              <w:rPr>
                <w:rFonts w:hint="eastAsia" w:ascii="宋体" w:hAnsi="宋体"/>
                <w:color w:val="auto"/>
                <w:szCs w:val="21"/>
                <w:highlight w:val="none"/>
              </w:rPr>
              <w:t>5</w:t>
            </w:r>
          </w:p>
        </w:tc>
        <w:tc>
          <w:tcPr>
            <w:tcW w:w="2963" w:type="dxa"/>
            <w:vAlign w:val="center"/>
          </w:tcPr>
          <w:p w14:paraId="7E42EEE6">
            <w:pPr>
              <w:jc w:val="center"/>
              <w:rPr>
                <w:rFonts w:ascii="宋体" w:hAnsi="宋体"/>
                <w:color w:val="auto"/>
                <w:szCs w:val="21"/>
                <w:highlight w:val="none"/>
              </w:rPr>
            </w:pPr>
          </w:p>
        </w:tc>
        <w:tc>
          <w:tcPr>
            <w:tcW w:w="1892" w:type="dxa"/>
            <w:vAlign w:val="center"/>
          </w:tcPr>
          <w:p w14:paraId="74FEDAD0">
            <w:pPr>
              <w:jc w:val="center"/>
              <w:rPr>
                <w:rFonts w:ascii="宋体" w:hAnsi="宋体"/>
                <w:color w:val="auto"/>
                <w:szCs w:val="21"/>
                <w:highlight w:val="none"/>
              </w:rPr>
            </w:pPr>
          </w:p>
        </w:tc>
        <w:tc>
          <w:tcPr>
            <w:tcW w:w="1892" w:type="dxa"/>
            <w:vAlign w:val="center"/>
          </w:tcPr>
          <w:p w14:paraId="034477A9">
            <w:pPr>
              <w:jc w:val="center"/>
              <w:rPr>
                <w:rFonts w:ascii="宋体" w:hAnsi="宋体"/>
                <w:color w:val="auto"/>
                <w:szCs w:val="21"/>
                <w:highlight w:val="none"/>
              </w:rPr>
            </w:pPr>
          </w:p>
        </w:tc>
        <w:tc>
          <w:tcPr>
            <w:tcW w:w="1892" w:type="dxa"/>
            <w:vAlign w:val="center"/>
          </w:tcPr>
          <w:p w14:paraId="40C8AF51">
            <w:pPr>
              <w:jc w:val="center"/>
              <w:rPr>
                <w:rFonts w:ascii="宋体" w:hAnsi="宋体"/>
                <w:color w:val="auto"/>
                <w:szCs w:val="21"/>
                <w:highlight w:val="none"/>
              </w:rPr>
            </w:pPr>
          </w:p>
        </w:tc>
        <w:tc>
          <w:tcPr>
            <w:tcW w:w="1892" w:type="dxa"/>
            <w:tcBorders>
              <w:right w:val="single" w:color="auto" w:sz="4" w:space="0"/>
            </w:tcBorders>
            <w:vAlign w:val="center"/>
          </w:tcPr>
          <w:p w14:paraId="5F2B4EDF">
            <w:pPr>
              <w:jc w:val="center"/>
              <w:rPr>
                <w:rFonts w:ascii="宋体" w:hAnsi="宋体"/>
                <w:color w:val="auto"/>
                <w:szCs w:val="21"/>
                <w:highlight w:val="none"/>
              </w:rPr>
            </w:pPr>
          </w:p>
        </w:tc>
        <w:tc>
          <w:tcPr>
            <w:tcW w:w="1221" w:type="dxa"/>
            <w:tcBorders>
              <w:right w:val="single" w:color="auto" w:sz="4" w:space="0"/>
            </w:tcBorders>
            <w:vAlign w:val="center"/>
          </w:tcPr>
          <w:p w14:paraId="1CD3E5D3">
            <w:pPr>
              <w:jc w:val="center"/>
              <w:rPr>
                <w:rFonts w:ascii="宋体" w:hAnsi="宋体"/>
                <w:color w:val="auto"/>
                <w:szCs w:val="21"/>
                <w:highlight w:val="none"/>
              </w:rPr>
            </w:pPr>
          </w:p>
        </w:tc>
        <w:tc>
          <w:tcPr>
            <w:tcW w:w="1298" w:type="dxa"/>
            <w:tcBorders>
              <w:right w:val="single" w:color="auto" w:sz="4" w:space="0"/>
            </w:tcBorders>
            <w:vAlign w:val="center"/>
          </w:tcPr>
          <w:p w14:paraId="3F158033">
            <w:pPr>
              <w:jc w:val="center"/>
              <w:rPr>
                <w:rFonts w:ascii="宋体" w:hAnsi="宋体"/>
                <w:color w:val="auto"/>
                <w:szCs w:val="21"/>
                <w:highlight w:val="none"/>
              </w:rPr>
            </w:pPr>
          </w:p>
        </w:tc>
      </w:tr>
      <w:tr w14:paraId="5B04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37946D0D">
            <w:pPr>
              <w:jc w:val="center"/>
              <w:rPr>
                <w:rFonts w:ascii="宋体" w:hAnsi="宋体"/>
                <w:color w:val="auto"/>
                <w:szCs w:val="21"/>
                <w:highlight w:val="none"/>
              </w:rPr>
            </w:pPr>
            <w:r>
              <w:rPr>
                <w:rFonts w:hint="eastAsia" w:ascii="宋体" w:hAnsi="宋体"/>
                <w:color w:val="auto"/>
                <w:szCs w:val="44"/>
                <w:highlight w:val="none"/>
              </w:rPr>
              <w:t>…</w:t>
            </w:r>
          </w:p>
        </w:tc>
        <w:tc>
          <w:tcPr>
            <w:tcW w:w="2963" w:type="dxa"/>
            <w:vAlign w:val="center"/>
          </w:tcPr>
          <w:p w14:paraId="2946ADD1">
            <w:pPr>
              <w:jc w:val="center"/>
              <w:rPr>
                <w:rFonts w:ascii="宋体" w:hAnsi="宋体"/>
                <w:color w:val="auto"/>
                <w:szCs w:val="21"/>
                <w:highlight w:val="none"/>
              </w:rPr>
            </w:pPr>
          </w:p>
        </w:tc>
        <w:tc>
          <w:tcPr>
            <w:tcW w:w="1892" w:type="dxa"/>
            <w:vAlign w:val="center"/>
          </w:tcPr>
          <w:p w14:paraId="2F07B45F">
            <w:pPr>
              <w:jc w:val="center"/>
              <w:rPr>
                <w:rFonts w:ascii="宋体" w:hAnsi="宋体"/>
                <w:color w:val="auto"/>
                <w:szCs w:val="21"/>
                <w:highlight w:val="none"/>
              </w:rPr>
            </w:pPr>
          </w:p>
        </w:tc>
        <w:tc>
          <w:tcPr>
            <w:tcW w:w="1892" w:type="dxa"/>
            <w:vAlign w:val="center"/>
          </w:tcPr>
          <w:p w14:paraId="744A8CA1">
            <w:pPr>
              <w:jc w:val="center"/>
              <w:rPr>
                <w:rFonts w:ascii="宋体" w:hAnsi="宋体"/>
                <w:color w:val="auto"/>
                <w:szCs w:val="21"/>
                <w:highlight w:val="none"/>
              </w:rPr>
            </w:pPr>
          </w:p>
        </w:tc>
        <w:tc>
          <w:tcPr>
            <w:tcW w:w="1892" w:type="dxa"/>
            <w:vAlign w:val="center"/>
          </w:tcPr>
          <w:p w14:paraId="6E4DFAC8">
            <w:pPr>
              <w:jc w:val="center"/>
              <w:rPr>
                <w:rFonts w:ascii="宋体" w:hAnsi="宋体"/>
                <w:color w:val="auto"/>
                <w:szCs w:val="21"/>
                <w:highlight w:val="none"/>
              </w:rPr>
            </w:pPr>
          </w:p>
        </w:tc>
        <w:tc>
          <w:tcPr>
            <w:tcW w:w="1892" w:type="dxa"/>
            <w:tcBorders>
              <w:right w:val="single" w:color="auto" w:sz="4" w:space="0"/>
            </w:tcBorders>
            <w:vAlign w:val="center"/>
          </w:tcPr>
          <w:p w14:paraId="3C14F6D5">
            <w:pPr>
              <w:jc w:val="center"/>
              <w:rPr>
                <w:rFonts w:ascii="宋体" w:hAnsi="宋体"/>
                <w:color w:val="auto"/>
                <w:szCs w:val="21"/>
                <w:highlight w:val="none"/>
              </w:rPr>
            </w:pPr>
          </w:p>
        </w:tc>
        <w:tc>
          <w:tcPr>
            <w:tcW w:w="1221" w:type="dxa"/>
            <w:tcBorders>
              <w:right w:val="single" w:color="auto" w:sz="4" w:space="0"/>
            </w:tcBorders>
            <w:vAlign w:val="center"/>
          </w:tcPr>
          <w:p w14:paraId="6A0D95E5">
            <w:pPr>
              <w:jc w:val="center"/>
              <w:rPr>
                <w:rFonts w:ascii="宋体" w:hAnsi="宋体"/>
                <w:color w:val="auto"/>
                <w:szCs w:val="21"/>
                <w:highlight w:val="none"/>
              </w:rPr>
            </w:pPr>
          </w:p>
        </w:tc>
        <w:tc>
          <w:tcPr>
            <w:tcW w:w="1298" w:type="dxa"/>
            <w:tcBorders>
              <w:right w:val="single" w:color="auto" w:sz="4" w:space="0"/>
            </w:tcBorders>
            <w:vAlign w:val="center"/>
          </w:tcPr>
          <w:p w14:paraId="458D90B8">
            <w:pPr>
              <w:jc w:val="center"/>
              <w:rPr>
                <w:rFonts w:ascii="宋体" w:hAnsi="宋体"/>
                <w:color w:val="auto"/>
                <w:szCs w:val="21"/>
                <w:highlight w:val="none"/>
              </w:rPr>
            </w:pPr>
          </w:p>
        </w:tc>
      </w:tr>
      <w:tr w14:paraId="6764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14:paraId="3E70048B">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76F3CFF5">
            <w:pPr>
              <w:jc w:val="left"/>
              <w:rPr>
                <w:rFonts w:ascii="宋体" w:hAnsi="宋体"/>
                <w:color w:val="auto"/>
                <w:szCs w:val="44"/>
                <w:highlight w:val="none"/>
              </w:rPr>
            </w:pPr>
          </w:p>
          <w:p w14:paraId="304B274D">
            <w:pPr>
              <w:jc w:val="left"/>
              <w:rPr>
                <w:rFonts w:ascii="宋体" w:hAnsi="宋体"/>
                <w:color w:val="auto"/>
                <w:szCs w:val="44"/>
                <w:highlight w:val="none"/>
              </w:rPr>
            </w:pPr>
          </w:p>
          <w:p w14:paraId="72AB60B1">
            <w:pPr>
              <w:jc w:val="left"/>
              <w:rPr>
                <w:rFonts w:ascii="宋体" w:hAnsi="宋体"/>
                <w:color w:val="auto"/>
                <w:szCs w:val="44"/>
                <w:highlight w:val="none"/>
              </w:rPr>
            </w:pPr>
          </w:p>
          <w:p w14:paraId="5A735328">
            <w:pPr>
              <w:jc w:val="left"/>
              <w:rPr>
                <w:rFonts w:ascii="宋体" w:hAnsi="宋体"/>
                <w:color w:val="auto"/>
                <w:szCs w:val="44"/>
                <w:highlight w:val="none"/>
              </w:rPr>
            </w:pPr>
          </w:p>
          <w:p w14:paraId="706C8271">
            <w:pPr>
              <w:jc w:val="left"/>
              <w:rPr>
                <w:rFonts w:ascii="宋体" w:hAnsi="宋体"/>
                <w:color w:val="auto"/>
                <w:szCs w:val="44"/>
                <w:highlight w:val="none"/>
              </w:rPr>
            </w:pPr>
          </w:p>
          <w:p w14:paraId="2E5546D9">
            <w:pPr>
              <w:jc w:val="left"/>
              <w:rPr>
                <w:rFonts w:ascii="宋体" w:hAnsi="宋体"/>
                <w:color w:val="auto"/>
                <w:szCs w:val="44"/>
                <w:highlight w:val="none"/>
              </w:rPr>
            </w:pPr>
          </w:p>
          <w:p w14:paraId="51AB59FA">
            <w:pPr>
              <w:jc w:val="left"/>
              <w:rPr>
                <w:color w:val="auto"/>
                <w:highlight w:val="none"/>
              </w:rPr>
            </w:pPr>
          </w:p>
        </w:tc>
      </w:tr>
    </w:tbl>
    <w:p w14:paraId="0329C833">
      <w:pPr>
        <w:rPr>
          <w:color w:val="auto"/>
          <w:highlight w:val="none"/>
        </w:rPr>
      </w:pPr>
    </w:p>
    <w:p w14:paraId="251BAC52">
      <w:pPr>
        <w:ind w:firstLine="5250" w:firstLineChars="2500"/>
        <w:rPr>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日期： </w:t>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 xml:space="preserve">月 </w:t>
      </w:r>
      <w:r>
        <w:rPr>
          <w:color w:val="auto"/>
          <w:highlight w:val="none"/>
        </w:rPr>
        <w:t xml:space="preserve">   </w:t>
      </w:r>
      <w:r>
        <w:rPr>
          <w:rFonts w:hint="eastAsia"/>
          <w:color w:val="auto"/>
          <w:highlight w:val="none"/>
        </w:rPr>
        <w:t xml:space="preserve"> 日</w:t>
      </w:r>
    </w:p>
    <w:bookmarkEnd w:id="603"/>
    <w:p w14:paraId="0F5F1A0F">
      <w:pPr>
        <w:ind w:firstLine="5250" w:firstLineChars="2500"/>
        <w:rPr>
          <w:color w:val="auto"/>
          <w:highlight w:val="none"/>
        </w:rPr>
      </w:pPr>
    </w:p>
    <w:p w14:paraId="1EBF8506">
      <w:pPr>
        <w:rPr>
          <w:color w:val="auto"/>
          <w:highlight w:val="none"/>
        </w:rPr>
      </w:pPr>
    </w:p>
    <w:p w14:paraId="008174D4">
      <w:pPr>
        <w:pStyle w:val="25"/>
        <w:rPr>
          <w:rFonts w:ascii="黑体"/>
          <w:color w:val="auto"/>
          <w:highlight w:val="none"/>
        </w:rPr>
      </w:pPr>
      <w:bookmarkStart w:id="604" w:name="_Toc256000145"/>
      <w:bookmarkStart w:id="605" w:name="_Toc165804462"/>
      <w:bookmarkStart w:id="606" w:name="_Toc19220"/>
      <w:bookmarkStart w:id="607" w:name="_Toc26812"/>
      <w:bookmarkStart w:id="608" w:name="_Toc32540"/>
      <w:bookmarkStart w:id="609" w:name="_Toc9548"/>
      <w:bookmarkStart w:id="610" w:name="_Hlk150782230"/>
      <w:r>
        <w:rPr>
          <w:rFonts w:hint="eastAsia"/>
          <w:color w:val="auto"/>
          <w:highlight w:val="none"/>
        </w:rPr>
        <w:t>附表A-1</w:t>
      </w:r>
      <w:r>
        <w:rPr>
          <w:color w:val="auto"/>
          <w:highlight w:val="none"/>
        </w:rPr>
        <w:t>6</w:t>
      </w:r>
      <w:r>
        <w:rPr>
          <w:rFonts w:hint="eastAsia"/>
          <w:color w:val="auto"/>
          <w:highlight w:val="none"/>
        </w:rPr>
        <w:t>：评标结果汇总表</w:t>
      </w:r>
      <w:bookmarkEnd w:id="604"/>
      <w:bookmarkEnd w:id="605"/>
      <w:bookmarkEnd w:id="606"/>
      <w:bookmarkEnd w:id="607"/>
      <w:bookmarkEnd w:id="608"/>
      <w:bookmarkEnd w:id="609"/>
    </w:p>
    <w:p w14:paraId="686F3DA6">
      <w:pPr>
        <w:spacing w:after="240" w:afterLines="100"/>
        <w:jc w:val="center"/>
        <w:rPr>
          <w:rFonts w:ascii="黑体" w:eastAsia="黑体"/>
          <w:color w:val="auto"/>
          <w:sz w:val="36"/>
          <w:szCs w:val="36"/>
          <w:highlight w:val="none"/>
        </w:rPr>
      </w:pPr>
    </w:p>
    <w:p w14:paraId="46DFCD23">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评标结果汇总表</w:t>
      </w:r>
    </w:p>
    <w:p w14:paraId="237A75E5">
      <w:pPr>
        <w:spacing w:line="400" w:lineRule="exact"/>
        <w:jc w:val="center"/>
        <w:rPr>
          <w:rFonts w:ascii="宋体" w:hAnsi="宋体"/>
          <w:color w:val="auto"/>
          <w:szCs w:val="44"/>
          <w:highlight w:val="none"/>
        </w:rPr>
      </w:pPr>
      <w:bookmarkStart w:id="611" w:name="_Hlk150875312"/>
      <w:r>
        <w:rPr>
          <w:rFonts w:hint="eastAsia" w:ascii="黑体" w:hAnsi="宋体" w:eastAsia="黑体"/>
          <w:color w:val="auto"/>
          <w:sz w:val="36"/>
          <w:szCs w:val="36"/>
          <w:highlight w:val="none"/>
        </w:rPr>
        <w:t>（适用于经评审的最低投标价法）</w:t>
      </w:r>
    </w:p>
    <w:p w14:paraId="1C7CE206">
      <w:pPr>
        <w:rPr>
          <w:rFonts w:ascii="宋体" w:hAnsi="宋体"/>
          <w:color w:val="auto"/>
          <w:szCs w:val="21"/>
          <w:highlight w:val="none"/>
        </w:rPr>
      </w:pPr>
      <w:r>
        <w:rPr>
          <w:rFonts w:hint="eastAsia" w:ascii="宋体" w:hAnsi="宋体"/>
          <w:color w:val="auto"/>
          <w:szCs w:val="21"/>
          <w:highlight w:val="none"/>
        </w:rPr>
        <w:t xml:space="preserve">标段名称： </w:t>
      </w:r>
      <w:r>
        <w:rPr>
          <w:rFonts w:ascii="宋体" w:hAnsi="宋体"/>
          <w:color w:val="auto"/>
          <w:szCs w:val="21"/>
          <w:highlight w:val="none"/>
        </w:rPr>
        <w:t xml:space="preserve"> </w:t>
      </w:r>
    </w:p>
    <w:p w14:paraId="5DBAF662">
      <w:pPr>
        <w:rPr>
          <w:rFonts w:ascii="宋体" w:hAnsi="宋体"/>
          <w:color w:val="auto"/>
          <w:szCs w:val="21"/>
          <w:highlight w:val="none"/>
        </w:rPr>
      </w:pPr>
      <w:r>
        <w:rPr>
          <w:rFonts w:hint="eastAsia" w:ascii="宋体" w:hAnsi="宋体"/>
          <w:color w:val="auto"/>
          <w:szCs w:val="21"/>
          <w:highlight w:val="none"/>
        </w:rPr>
        <w:t xml:space="preserve">标段唯一标识码：  </w:t>
      </w:r>
      <w:r>
        <w:rPr>
          <w:rFonts w:ascii="宋体" w:hAnsi="宋体"/>
          <w:color w:val="auto"/>
          <w:szCs w:val="21"/>
          <w:highlight w:val="none"/>
        </w:rPr>
        <w:t xml:space="preserve">                                         </w:t>
      </w:r>
      <w:r>
        <w:rPr>
          <w:rFonts w:hint="eastAsia" w:ascii="宋体" w:hAnsi="宋体"/>
          <w:color w:val="auto"/>
          <w:szCs w:val="21"/>
          <w:highlight w:val="none"/>
        </w:rPr>
        <w:t xml:space="preserve">  单位：人民币元</w:t>
      </w:r>
    </w:p>
    <w:tbl>
      <w:tblPr>
        <w:tblStyle w:val="1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14:paraId="1520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14:paraId="7421F554">
            <w:pPr>
              <w:jc w:val="center"/>
              <w:rPr>
                <w:rFonts w:ascii="宋体" w:hAnsi="宋体"/>
                <w:b/>
                <w:bCs/>
                <w:color w:val="auto"/>
                <w:highlight w:val="none"/>
              </w:rPr>
            </w:pPr>
            <w:bookmarkStart w:id="612" w:name="_Hlk150334502"/>
            <w:r>
              <w:rPr>
                <w:rFonts w:hint="eastAsia" w:ascii="宋体" w:hAnsi="宋体"/>
                <w:b/>
                <w:bCs/>
                <w:color w:val="auto"/>
                <w:highlight w:val="none"/>
              </w:rPr>
              <w:t>投标人名称</w:t>
            </w:r>
          </w:p>
        </w:tc>
        <w:tc>
          <w:tcPr>
            <w:tcW w:w="7399" w:type="dxa"/>
            <w:gridSpan w:val="6"/>
            <w:vAlign w:val="center"/>
          </w:tcPr>
          <w:p w14:paraId="0055A707">
            <w:pPr>
              <w:jc w:val="center"/>
              <w:rPr>
                <w:rFonts w:ascii="宋体" w:hAnsi="宋体"/>
                <w:b/>
                <w:bCs/>
                <w:color w:val="auto"/>
                <w:highlight w:val="none"/>
              </w:rPr>
            </w:pPr>
            <w:r>
              <w:rPr>
                <w:rFonts w:hint="eastAsia" w:ascii="宋体" w:hAnsi="宋体"/>
                <w:b/>
                <w:bCs/>
                <w:color w:val="auto"/>
                <w:highlight w:val="none"/>
              </w:rPr>
              <w:t>评审因素</w:t>
            </w:r>
          </w:p>
        </w:tc>
      </w:tr>
      <w:tr w14:paraId="0C2C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14:paraId="760F6F92">
            <w:pPr>
              <w:jc w:val="center"/>
              <w:rPr>
                <w:rFonts w:ascii="宋体" w:hAnsi="宋体"/>
                <w:b/>
                <w:bCs/>
                <w:color w:val="auto"/>
                <w:highlight w:val="none"/>
              </w:rPr>
            </w:pPr>
          </w:p>
        </w:tc>
        <w:tc>
          <w:tcPr>
            <w:tcW w:w="978" w:type="dxa"/>
            <w:vAlign w:val="center"/>
          </w:tcPr>
          <w:p w14:paraId="008B6E6B">
            <w:pPr>
              <w:jc w:val="center"/>
              <w:rPr>
                <w:rFonts w:ascii="宋体" w:hAnsi="宋体"/>
                <w:b/>
                <w:bCs/>
                <w:color w:val="auto"/>
                <w:highlight w:val="none"/>
              </w:rPr>
            </w:pPr>
            <w:r>
              <w:rPr>
                <w:rFonts w:hint="eastAsia" w:ascii="宋体" w:hAnsi="宋体"/>
                <w:b/>
                <w:bCs/>
                <w:color w:val="auto"/>
                <w:highlight w:val="none"/>
              </w:rPr>
              <w:t>投标报价</w:t>
            </w:r>
          </w:p>
        </w:tc>
        <w:tc>
          <w:tcPr>
            <w:tcW w:w="1560" w:type="dxa"/>
            <w:vAlign w:val="center"/>
          </w:tcPr>
          <w:p w14:paraId="633BB0C0">
            <w:pPr>
              <w:jc w:val="center"/>
              <w:rPr>
                <w:rFonts w:ascii="宋体" w:hAnsi="宋体"/>
                <w:b/>
                <w:bCs/>
                <w:color w:val="auto"/>
                <w:highlight w:val="none"/>
              </w:rPr>
            </w:pPr>
            <w:r>
              <w:rPr>
                <w:rFonts w:hint="eastAsia" w:ascii="宋体" w:hAnsi="宋体"/>
                <w:b/>
                <w:bCs/>
                <w:color w:val="auto"/>
                <w:szCs w:val="21"/>
                <w:highlight w:val="none"/>
              </w:rPr>
              <w:t>修正后投标报价（如有）</w:t>
            </w:r>
          </w:p>
        </w:tc>
        <w:tc>
          <w:tcPr>
            <w:tcW w:w="1275" w:type="dxa"/>
            <w:vAlign w:val="center"/>
          </w:tcPr>
          <w:p w14:paraId="40FA9BB4">
            <w:pPr>
              <w:jc w:val="center"/>
              <w:rPr>
                <w:rFonts w:ascii="宋体" w:hAnsi="宋体"/>
                <w:b/>
                <w:bCs/>
                <w:color w:val="auto"/>
                <w:highlight w:val="none"/>
              </w:rPr>
            </w:pPr>
            <w:r>
              <w:rPr>
                <w:rFonts w:hint="eastAsia" w:ascii="宋体" w:hAnsi="宋体"/>
                <w:b/>
                <w:bCs/>
                <w:color w:val="auto"/>
                <w:szCs w:val="21"/>
                <w:highlight w:val="none"/>
              </w:rPr>
              <w:t>有效评标价</w:t>
            </w:r>
          </w:p>
        </w:tc>
        <w:tc>
          <w:tcPr>
            <w:tcW w:w="993" w:type="dxa"/>
            <w:vAlign w:val="center"/>
          </w:tcPr>
          <w:p w14:paraId="298A6046">
            <w:pPr>
              <w:jc w:val="center"/>
              <w:rPr>
                <w:rFonts w:ascii="宋体" w:hAnsi="宋体"/>
                <w:b/>
                <w:bCs/>
                <w:color w:val="auto"/>
                <w:highlight w:val="none"/>
              </w:rPr>
            </w:pPr>
            <w:r>
              <w:rPr>
                <w:rFonts w:hint="eastAsia" w:ascii="宋体" w:hAnsi="宋体"/>
                <w:b/>
                <w:bCs/>
                <w:color w:val="auto"/>
                <w:highlight w:val="none"/>
              </w:rPr>
              <w:t>最高投标限价</w:t>
            </w:r>
          </w:p>
        </w:tc>
        <w:tc>
          <w:tcPr>
            <w:tcW w:w="1196" w:type="dxa"/>
            <w:vAlign w:val="center"/>
          </w:tcPr>
          <w:p w14:paraId="4FC42A9C">
            <w:pPr>
              <w:jc w:val="center"/>
              <w:rPr>
                <w:rFonts w:ascii="宋体" w:hAnsi="宋体"/>
                <w:b/>
                <w:bCs/>
                <w:color w:val="auto"/>
                <w:highlight w:val="none"/>
              </w:rPr>
            </w:pPr>
            <w:r>
              <w:rPr>
                <w:rFonts w:hint="eastAsia" w:ascii="宋体" w:hAnsi="宋体"/>
                <w:b/>
                <w:bCs/>
                <w:color w:val="auto"/>
                <w:szCs w:val="21"/>
                <w:highlight w:val="none"/>
              </w:rPr>
              <w:t>确定</w:t>
            </w:r>
            <w:r>
              <w:rPr>
                <w:rFonts w:hint="eastAsia" w:ascii="宋体" w:hAnsi="宋体"/>
                <w:b/>
                <w:bCs/>
                <w:color w:val="auto"/>
                <w:highlight w:val="none"/>
              </w:rPr>
              <w:t>有效评标价</w:t>
            </w:r>
          </w:p>
        </w:tc>
        <w:tc>
          <w:tcPr>
            <w:tcW w:w="1397" w:type="dxa"/>
            <w:vAlign w:val="center"/>
          </w:tcPr>
          <w:p w14:paraId="1ABD5A91">
            <w:pPr>
              <w:jc w:val="center"/>
              <w:rPr>
                <w:rFonts w:ascii="宋体" w:hAnsi="宋体"/>
                <w:b/>
                <w:bCs/>
                <w:color w:val="auto"/>
                <w:highlight w:val="none"/>
              </w:rPr>
            </w:pPr>
            <w:r>
              <w:rPr>
                <w:rFonts w:hint="eastAsia" w:ascii="宋体" w:hAnsi="宋体"/>
                <w:b/>
                <w:bCs/>
                <w:color w:val="auto"/>
                <w:highlight w:val="none"/>
              </w:rPr>
              <w:t>有效评标价排序</w:t>
            </w:r>
          </w:p>
        </w:tc>
      </w:tr>
      <w:tr w14:paraId="2085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14:paraId="3CA29278">
            <w:pPr>
              <w:jc w:val="center"/>
              <w:rPr>
                <w:rFonts w:ascii="宋体" w:hAnsi="宋体"/>
                <w:color w:val="auto"/>
                <w:highlight w:val="none"/>
              </w:rPr>
            </w:pPr>
          </w:p>
        </w:tc>
        <w:tc>
          <w:tcPr>
            <w:tcW w:w="978" w:type="dxa"/>
            <w:vAlign w:val="center"/>
          </w:tcPr>
          <w:p w14:paraId="6D273667">
            <w:pPr>
              <w:jc w:val="center"/>
              <w:rPr>
                <w:rFonts w:ascii="宋体" w:hAnsi="宋体"/>
                <w:color w:val="auto"/>
                <w:highlight w:val="none"/>
              </w:rPr>
            </w:pPr>
          </w:p>
        </w:tc>
        <w:tc>
          <w:tcPr>
            <w:tcW w:w="1560" w:type="dxa"/>
            <w:vAlign w:val="center"/>
          </w:tcPr>
          <w:p w14:paraId="08F382CB">
            <w:pPr>
              <w:jc w:val="center"/>
              <w:rPr>
                <w:rFonts w:ascii="宋体" w:hAnsi="宋体"/>
                <w:color w:val="auto"/>
                <w:highlight w:val="none"/>
              </w:rPr>
            </w:pPr>
          </w:p>
        </w:tc>
        <w:tc>
          <w:tcPr>
            <w:tcW w:w="1275" w:type="dxa"/>
            <w:vAlign w:val="center"/>
          </w:tcPr>
          <w:p w14:paraId="5D533888">
            <w:pPr>
              <w:jc w:val="center"/>
              <w:rPr>
                <w:rFonts w:ascii="宋体" w:hAnsi="宋体"/>
                <w:color w:val="auto"/>
                <w:highlight w:val="none"/>
              </w:rPr>
            </w:pPr>
          </w:p>
        </w:tc>
        <w:tc>
          <w:tcPr>
            <w:tcW w:w="993" w:type="dxa"/>
            <w:vMerge w:val="restart"/>
            <w:vAlign w:val="center"/>
          </w:tcPr>
          <w:p w14:paraId="6F2BA748">
            <w:pPr>
              <w:jc w:val="center"/>
              <w:rPr>
                <w:rFonts w:ascii="宋体" w:hAnsi="宋体"/>
                <w:color w:val="auto"/>
                <w:highlight w:val="none"/>
              </w:rPr>
            </w:pPr>
          </w:p>
        </w:tc>
        <w:tc>
          <w:tcPr>
            <w:tcW w:w="1196" w:type="dxa"/>
            <w:vAlign w:val="center"/>
          </w:tcPr>
          <w:p w14:paraId="138EACE6">
            <w:pPr>
              <w:jc w:val="center"/>
              <w:rPr>
                <w:rFonts w:ascii="宋体" w:hAnsi="宋体"/>
                <w:color w:val="auto"/>
                <w:highlight w:val="none"/>
              </w:rPr>
            </w:pPr>
          </w:p>
        </w:tc>
        <w:tc>
          <w:tcPr>
            <w:tcW w:w="1397" w:type="dxa"/>
            <w:vAlign w:val="center"/>
          </w:tcPr>
          <w:p w14:paraId="6C47279F">
            <w:pPr>
              <w:jc w:val="center"/>
              <w:rPr>
                <w:rFonts w:ascii="宋体" w:hAnsi="宋体"/>
                <w:color w:val="auto"/>
                <w:highlight w:val="none"/>
              </w:rPr>
            </w:pPr>
          </w:p>
        </w:tc>
      </w:tr>
      <w:tr w14:paraId="6B6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14:paraId="5471B624">
            <w:pPr>
              <w:spacing w:after="120" w:afterLines="50"/>
              <w:jc w:val="center"/>
              <w:rPr>
                <w:rFonts w:ascii="宋体" w:hAnsi="宋体"/>
                <w:color w:val="auto"/>
                <w:szCs w:val="21"/>
                <w:highlight w:val="none"/>
              </w:rPr>
            </w:pPr>
          </w:p>
        </w:tc>
        <w:tc>
          <w:tcPr>
            <w:tcW w:w="978" w:type="dxa"/>
            <w:vAlign w:val="center"/>
          </w:tcPr>
          <w:p w14:paraId="41C165BA">
            <w:pPr>
              <w:jc w:val="center"/>
              <w:rPr>
                <w:rFonts w:ascii="宋体" w:hAnsi="宋体"/>
                <w:color w:val="auto"/>
                <w:highlight w:val="none"/>
              </w:rPr>
            </w:pPr>
          </w:p>
        </w:tc>
        <w:tc>
          <w:tcPr>
            <w:tcW w:w="1560" w:type="dxa"/>
            <w:vAlign w:val="center"/>
          </w:tcPr>
          <w:p w14:paraId="471B074D">
            <w:pPr>
              <w:jc w:val="center"/>
              <w:rPr>
                <w:rFonts w:ascii="宋体" w:hAnsi="宋体"/>
                <w:color w:val="auto"/>
                <w:highlight w:val="none"/>
              </w:rPr>
            </w:pPr>
          </w:p>
        </w:tc>
        <w:tc>
          <w:tcPr>
            <w:tcW w:w="1275" w:type="dxa"/>
            <w:vAlign w:val="center"/>
          </w:tcPr>
          <w:p w14:paraId="5FE602D4">
            <w:pPr>
              <w:jc w:val="center"/>
              <w:rPr>
                <w:rFonts w:ascii="宋体" w:hAnsi="宋体"/>
                <w:color w:val="auto"/>
                <w:highlight w:val="none"/>
              </w:rPr>
            </w:pPr>
          </w:p>
        </w:tc>
        <w:tc>
          <w:tcPr>
            <w:tcW w:w="993" w:type="dxa"/>
            <w:vMerge w:val="continue"/>
            <w:vAlign w:val="center"/>
          </w:tcPr>
          <w:p w14:paraId="64F1EF6D">
            <w:pPr>
              <w:jc w:val="center"/>
              <w:rPr>
                <w:rFonts w:ascii="宋体" w:hAnsi="宋体"/>
                <w:color w:val="auto"/>
                <w:highlight w:val="none"/>
              </w:rPr>
            </w:pPr>
          </w:p>
        </w:tc>
        <w:tc>
          <w:tcPr>
            <w:tcW w:w="1196" w:type="dxa"/>
            <w:vAlign w:val="center"/>
          </w:tcPr>
          <w:p w14:paraId="5B01CBEF">
            <w:pPr>
              <w:jc w:val="center"/>
              <w:rPr>
                <w:rFonts w:ascii="宋体" w:hAnsi="宋体"/>
                <w:color w:val="auto"/>
                <w:highlight w:val="none"/>
              </w:rPr>
            </w:pPr>
          </w:p>
        </w:tc>
        <w:tc>
          <w:tcPr>
            <w:tcW w:w="1397" w:type="dxa"/>
            <w:vAlign w:val="center"/>
          </w:tcPr>
          <w:p w14:paraId="032AE223">
            <w:pPr>
              <w:jc w:val="center"/>
              <w:rPr>
                <w:rFonts w:ascii="宋体" w:hAnsi="宋体"/>
                <w:color w:val="auto"/>
                <w:highlight w:val="none"/>
              </w:rPr>
            </w:pPr>
          </w:p>
        </w:tc>
      </w:tr>
      <w:tr w14:paraId="7D74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14:paraId="70E3DE9B">
            <w:pPr>
              <w:jc w:val="center"/>
              <w:rPr>
                <w:rFonts w:ascii="宋体" w:hAnsi="宋体"/>
                <w:color w:val="auto"/>
                <w:highlight w:val="none"/>
              </w:rPr>
            </w:pPr>
          </w:p>
        </w:tc>
        <w:tc>
          <w:tcPr>
            <w:tcW w:w="978" w:type="dxa"/>
            <w:vAlign w:val="center"/>
          </w:tcPr>
          <w:p w14:paraId="0F248697">
            <w:pPr>
              <w:jc w:val="center"/>
              <w:rPr>
                <w:rFonts w:ascii="宋体" w:hAnsi="宋体"/>
                <w:color w:val="auto"/>
                <w:highlight w:val="none"/>
              </w:rPr>
            </w:pPr>
          </w:p>
        </w:tc>
        <w:tc>
          <w:tcPr>
            <w:tcW w:w="1560" w:type="dxa"/>
            <w:vAlign w:val="center"/>
          </w:tcPr>
          <w:p w14:paraId="41EED2DA">
            <w:pPr>
              <w:jc w:val="center"/>
              <w:rPr>
                <w:rFonts w:ascii="宋体" w:hAnsi="宋体"/>
                <w:color w:val="auto"/>
                <w:highlight w:val="none"/>
              </w:rPr>
            </w:pPr>
          </w:p>
        </w:tc>
        <w:tc>
          <w:tcPr>
            <w:tcW w:w="1275" w:type="dxa"/>
            <w:vAlign w:val="center"/>
          </w:tcPr>
          <w:p w14:paraId="7805ED76">
            <w:pPr>
              <w:jc w:val="center"/>
              <w:rPr>
                <w:rFonts w:ascii="宋体" w:hAnsi="宋体"/>
                <w:color w:val="auto"/>
                <w:highlight w:val="none"/>
              </w:rPr>
            </w:pPr>
          </w:p>
        </w:tc>
        <w:tc>
          <w:tcPr>
            <w:tcW w:w="993" w:type="dxa"/>
            <w:vMerge w:val="continue"/>
            <w:vAlign w:val="center"/>
          </w:tcPr>
          <w:p w14:paraId="67BAB541">
            <w:pPr>
              <w:jc w:val="center"/>
              <w:rPr>
                <w:rFonts w:ascii="宋体" w:hAnsi="宋体"/>
                <w:color w:val="auto"/>
                <w:highlight w:val="none"/>
              </w:rPr>
            </w:pPr>
          </w:p>
        </w:tc>
        <w:tc>
          <w:tcPr>
            <w:tcW w:w="1196" w:type="dxa"/>
            <w:vAlign w:val="center"/>
          </w:tcPr>
          <w:p w14:paraId="15BD1063">
            <w:pPr>
              <w:jc w:val="center"/>
              <w:rPr>
                <w:rFonts w:ascii="宋体" w:hAnsi="宋体"/>
                <w:color w:val="auto"/>
                <w:highlight w:val="none"/>
              </w:rPr>
            </w:pPr>
          </w:p>
        </w:tc>
        <w:tc>
          <w:tcPr>
            <w:tcW w:w="1397" w:type="dxa"/>
            <w:vAlign w:val="center"/>
          </w:tcPr>
          <w:p w14:paraId="6D1F6198">
            <w:pPr>
              <w:jc w:val="center"/>
              <w:rPr>
                <w:rFonts w:ascii="宋体" w:hAnsi="宋体"/>
                <w:color w:val="auto"/>
                <w:highlight w:val="none"/>
              </w:rPr>
            </w:pPr>
          </w:p>
        </w:tc>
      </w:tr>
      <w:tr w14:paraId="38BC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14:paraId="11268FA9">
            <w:pPr>
              <w:jc w:val="center"/>
              <w:rPr>
                <w:rFonts w:ascii="宋体" w:hAnsi="宋体"/>
                <w:color w:val="auto"/>
                <w:highlight w:val="none"/>
              </w:rPr>
            </w:pPr>
          </w:p>
        </w:tc>
        <w:tc>
          <w:tcPr>
            <w:tcW w:w="978" w:type="dxa"/>
            <w:vAlign w:val="center"/>
          </w:tcPr>
          <w:p w14:paraId="7110EC55">
            <w:pPr>
              <w:jc w:val="center"/>
              <w:rPr>
                <w:rFonts w:ascii="宋体" w:hAnsi="宋体"/>
                <w:color w:val="auto"/>
                <w:highlight w:val="none"/>
              </w:rPr>
            </w:pPr>
          </w:p>
        </w:tc>
        <w:tc>
          <w:tcPr>
            <w:tcW w:w="1560" w:type="dxa"/>
            <w:vAlign w:val="center"/>
          </w:tcPr>
          <w:p w14:paraId="09C1BBDF">
            <w:pPr>
              <w:jc w:val="center"/>
              <w:rPr>
                <w:rFonts w:ascii="宋体" w:hAnsi="宋体"/>
                <w:color w:val="auto"/>
                <w:highlight w:val="none"/>
              </w:rPr>
            </w:pPr>
          </w:p>
        </w:tc>
        <w:tc>
          <w:tcPr>
            <w:tcW w:w="1275" w:type="dxa"/>
            <w:vAlign w:val="center"/>
          </w:tcPr>
          <w:p w14:paraId="5A4E970C">
            <w:pPr>
              <w:jc w:val="center"/>
              <w:rPr>
                <w:rFonts w:ascii="宋体" w:hAnsi="宋体"/>
                <w:color w:val="auto"/>
                <w:highlight w:val="none"/>
              </w:rPr>
            </w:pPr>
          </w:p>
        </w:tc>
        <w:tc>
          <w:tcPr>
            <w:tcW w:w="993" w:type="dxa"/>
            <w:vMerge w:val="continue"/>
            <w:vAlign w:val="center"/>
          </w:tcPr>
          <w:p w14:paraId="25CB9614">
            <w:pPr>
              <w:jc w:val="center"/>
              <w:rPr>
                <w:rFonts w:ascii="宋体" w:hAnsi="宋体"/>
                <w:color w:val="auto"/>
                <w:highlight w:val="none"/>
              </w:rPr>
            </w:pPr>
          </w:p>
        </w:tc>
        <w:tc>
          <w:tcPr>
            <w:tcW w:w="1196" w:type="dxa"/>
            <w:vAlign w:val="center"/>
          </w:tcPr>
          <w:p w14:paraId="7633B5BD">
            <w:pPr>
              <w:jc w:val="center"/>
              <w:rPr>
                <w:rFonts w:ascii="宋体" w:hAnsi="宋体"/>
                <w:color w:val="auto"/>
                <w:highlight w:val="none"/>
              </w:rPr>
            </w:pPr>
          </w:p>
        </w:tc>
        <w:tc>
          <w:tcPr>
            <w:tcW w:w="1397" w:type="dxa"/>
            <w:vAlign w:val="center"/>
          </w:tcPr>
          <w:p w14:paraId="35E9147D">
            <w:pPr>
              <w:jc w:val="center"/>
              <w:rPr>
                <w:rFonts w:ascii="宋体" w:hAnsi="宋体"/>
                <w:color w:val="auto"/>
                <w:highlight w:val="none"/>
              </w:rPr>
            </w:pPr>
          </w:p>
        </w:tc>
      </w:tr>
      <w:tr w14:paraId="7C10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14:paraId="5F283D0A">
            <w:pPr>
              <w:jc w:val="center"/>
              <w:rPr>
                <w:rFonts w:ascii="宋体" w:hAnsi="宋体"/>
                <w:color w:val="auto"/>
                <w:highlight w:val="none"/>
              </w:rPr>
            </w:pPr>
          </w:p>
        </w:tc>
        <w:tc>
          <w:tcPr>
            <w:tcW w:w="978" w:type="dxa"/>
            <w:vAlign w:val="center"/>
          </w:tcPr>
          <w:p w14:paraId="6C14DAB4">
            <w:pPr>
              <w:jc w:val="center"/>
              <w:rPr>
                <w:rFonts w:ascii="宋体" w:hAnsi="宋体"/>
                <w:color w:val="auto"/>
                <w:highlight w:val="none"/>
              </w:rPr>
            </w:pPr>
          </w:p>
        </w:tc>
        <w:tc>
          <w:tcPr>
            <w:tcW w:w="1560" w:type="dxa"/>
            <w:vAlign w:val="center"/>
          </w:tcPr>
          <w:p w14:paraId="77F6B073">
            <w:pPr>
              <w:jc w:val="center"/>
              <w:rPr>
                <w:rFonts w:ascii="宋体" w:hAnsi="宋体"/>
                <w:color w:val="auto"/>
                <w:highlight w:val="none"/>
              </w:rPr>
            </w:pPr>
          </w:p>
        </w:tc>
        <w:tc>
          <w:tcPr>
            <w:tcW w:w="1275" w:type="dxa"/>
            <w:vAlign w:val="center"/>
          </w:tcPr>
          <w:p w14:paraId="7D188FB7">
            <w:pPr>
              <w:jc w:val="center"/>
              <w:rPr>
                <w:rFonts w:ascii="宋体" w:hAnsi="宋体"/>
                <w:color w:val="auto"/>
                <w:highlight w:val="none"/>
              </w:rPr>
            </w:pPr>
          </w:p>
        </w:tc>
        <w:tc>
          <w:tcPr>
            <w:tcW w:w="993" w:type="dxa"/>
            <w:vMerge w:val="continue"/>
            <w:vAlign w:val="center"/>
          </w:tcPr>
          <w:p w14:paraId="32EBA961">
            <w:pPr>
              <w:jc w:val="center"/>
              <w:rPr>
                <w:rFonts w:ascii="宋体" w:hAnsi="宋体"/>
                <w:color w:val="auto"/>
                <w:highlight w:val="none"/>
              </w:rPr>
            </w:pPr>
          </w:p>
        </w:tc>
        <w:tc>
          <w:tcPr>
            <w:tcW w:w="1196" w:type="dxa"/>
            <w:vAlign w:val="center"/>
          </w:tcPr>
          <w:p w14:paraId="64324370">
            <w:pPr>
              <w:jc w:val="center"/>
              <w:rPr>
                <w:rFonts w:ascii="宋体" w:hAnsi="宋体"/>
                <w:color w:val="auto"/>
                <w:highlight w:val="none"/>
              </w:rPr>
            </w:pPr>
          </w:p>
        </w:tc>
        <w:tc>
          <w:tcPr>
            <w:tcW w:w="1397" w:type="dxa"/>
            <w:vAlign w:val="center"/>
          </w:tcPr>
          <w:p w14:paraId="4EF9589E">
            <w:pPr>
              <w:jc w:val="center"/>
              <w:rPr>
                <w:rFonts w:ascii="宋体" w:hAnsi="宋体"/>
                <w:color w:val="auto"/>
                <w:highlight w:val="none"/>
              </w:rPr>
            </w:pPr>
          </w:p>
        </w:tc>
      </w:tr>
      <w:tr w14:paraId="5B7D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14:paraId="7800B3C3">
            <w:pPr>
              <w:rPr>
                <w:rFonts w:ascii="宋体" w:hAnsi="宋体"/>
                <w:color w:val="auto"/>
                <w:highlight w:val="none"/>
              </w:rPr>
            </w:pPr>
            <w:r>
              <w:rPr>
                <w:rFonts w:hint="eastAsia" w:ascii="宋体" w:hAnsi="宋体"/>
                <w:color w:val="auto"/>
                <w:highlight w:val="none"/>
              </w:rPr>
              <w:t>评标委员会成员签名：</w:t>
            </w:r>
          </w:p>
          <w:p w14:paraId="2AE99CC9">
            <w:pPr>
              <w:rPr>
                <w:rFonts w:ascii="宋体" w:hAnsi="宋体"/>
                <w:color w:val="auto"/>
                <w:highlight w:val="none"/>
              </w:rPr>
            </w:pPr>
          </w:p>
          <w:p w14:paraId="3225E74A">
            <w:pPr>
              <w:rPr>
                <w:rFonts w:ascii="宋体" w:hAnsi="宋体"/>
                <w:color w:val="auto"/>
                <w:highlight w:val="none"/>
              </w:rPr>
            </w:pPr>
          </w:p>
          <w:p w14:paraId="0D96A12E">
            <w:pPr>
              <w:rPr>
                <w:rFonts w:ascii="宋体" w:hAnsi="宋体"/>
                <w:color w:val="auto"/>
                <w:highlight w:val="none"/>
              </w:rPr>
            </w:pPr>
          </w:p>
          <w:p w14:paraId="474985D5">
            <w:pPr>
              <w:rPr>
                <w:rFonts w:ascii="宋体" w:hAnsi="宋体"/>
                <w:color w:val="auto"/>
                <w:highlight w:val="none"/>
              </w:rPr>
            </w:pPr>
          </w:p>
          <w:p w14:paraId="3AEA3643">
            <w:pPr>
              <w:rPr>
                <w:rFonts w:ascii="宋体" w:hAnsi="宋体"/>
                <w:color w:val="auto"/>
                <w:highlight w:val="none"/>
              </w:rPr>
            </w:pPr>
          </w:p>
          <w:p w14:paraId="42D26226">
            <w:pPr>
              <w:rPr>
                <w:rFonts w:ascii="宋体" w:hAnsi="宋体"/>
                <w:color w:val="auto"/>
                <w:highlight w:val="none"/>
              </w:rPr>
            </w:pPr>
          </w:p>
          <w:p w14:paraId="650C085C">
            <w:pPr>
              <w:rPr>
                <w:rFonts w:ascii="宋体" w:hAnsi="宋体"/>
                <w:color w:val="auto"/>
                <w:highlight w:val="none"/>
              </w:rPr>
            </w:pPr>
          </w:p>
        </w:tc>
      </w:tr>
      <w:bookmarkEnd w:id="612"/>
    </w:tbl>
    <w:p w14:paraId="40E216B7">
      <w:pPr>
        <w:jc w:val="right"/>
        <w:rPr>
          <w:color w:val="auto"/>
          <w:highlight w:val="none"/>
        </w:rPr>
      </w:pPr>
      <w:r>
        <w:rPr>
          <w:rFonts w:hint="eastAsia" w:ascii="宋体" w:hAnsi="宋体"/>
          <w:color w:val="auto"/>
          <w:szCs w:val="21"/>
          <w:highlight w:val="none"/>
        </w:rPr>
        <w:t xml:space="preserve">日期：  </w:t>
      </w:r>
      <w:r>
        <w:rPr>
          <w:rFonts w:ascii="宋体" w:hAnsi="宋体"/>
          <w:color w:val="auto"/>
          <w:szCs w:val="21"/>
          <w:highlight w:val="none"/>
        </w:rPr>
        <w:t xml:space="preserve">    </w:t>
      </w:r>
      <w:r>
        <w:rPr>
          <w:rFonts w:hint="eastAsia" w:ascii="宋体" w:hAnsi="宋体"/>
          <w:color w:val="auto"/>
          <w:szCs w:val="21"/>
          <w:highlight w:val="none"/>
        </w:rPr>
        <w:t xml:space="preserve">  年 </w:t>
      </w:r>
      <w:r>
        <w:rPr>
          <w:rFonts w:ascii="宋体" w:hAnsi="宋体"/>
          <w:color w:val="auto"/>
          <w:szCs w:val="21"/>
          <w:highlight w:val="none"/>
        </w:rPr>
        <w:t xml:space="preserve">    </w:t>
      </w:r>
      <w:r>
        <w:rPr>
          <w:rFonts w:hint="eastAsia" w:ascii="宋体" w:hAnsi="宋体"/>
          <w:color w:val="auto"/>
          <w:szCs w:val="21"/>
          <w:highlight w:val="none"/>
        </w:rPr>
        <w:t xml:space="preserve">  月 </w:t>
      </w:r>
      <w:r>
        <w:rPr>
          <w:rFonts w:ascii="宋体" w:hAnsi="宋体"/>
          <w:color w:val="auto"/>
          <w:szCs w:val="21"/>
          <w:highlight w:val="none"/>
        </w:rPr>
        <w:t xml:space="preserve">    </w:t>
      </w:r>
      <w:r>
        <w:rPr>
          <w:rFonts w:hint="eastAsia" w:ascii="宋体" w:hAnsi="宋体"/>
          <w:color w:val="auto"/>
          <w:szCs w:val="21"/>
          <w:highlight w:val="none"/>
        </w:rPr>
        <w:t xml:space="preserve"> 日</w:t>
      </w:r>
      <w:bookmarkEnd w:id="611"/>
    </w:p>
    <w:bookmarkEnd w:id="610"/>
    <w:p w14:paraId="06F4F506">
      <w:pPr>
        <w:rPr>
          <w:color w:val="auto"/>
          <w:highlight w:val="none"/>
        </w:rPr>
      </w:pPr>
    </w:p>
    <w:p w14:paraId="5E29319D">
      <w:pPr>
        <w:rPr>
          <w:color w:val="auto"/>
          <w:highlight w:val="none"/>
        </w:rPr>
      </w:pPr>
    </w:p>
    <w:p w14:paraId="7A7A92D6">
      <w:pPr>
        <w:rPr>
          <w:color w:val="auto"/>
          <w:highlight w:val="none"/>
        </w:rPr>
      </w:pPr>
    </w:p>
    <w:p w14:paraId="7F1305A7">
      <w:pPr>
        <w:rPr>
          <w:color w:val="auto"/>
          <w:highlight w:val="none"/>
        </w:rPr>
      </w:pPr>
    </w:p>
    <w:p w14:paraId="23DCD87B">
      <w:pPr>
        <w:rPr>
          <w:color w:val="auto"/>
          <w:highlight w:val="none"/>
        </w:rPr>
      </w:pPr>
      <w:r>
        <w:rPr>
          <w:color w:val="auto"/>
          <w:highlight w:val="none"/>
        </w:rPr>
        <w:br w:type="page"/>
      </w:r>
    </w:p>
    <w:p w14:paraId="7A250C77">
      <w:pPr>
        <w:pStyle w:val="25"/>
        <w:rPr>
          <w:rFonts w:ascii="黑体"/>
          <w:color w:val="auto"/>
          <w:highlight w:val="none"/>
        </w:rPr>
      </w:pPr>
      <w:bookmarkStart w:id="613" w:name="_Toc27687"/>
      <w:bookmarkStart w:id="614" w:name="_Toc20145"/>
      <w:bookmarkStart w:id="615" w:name="_Toc16861"/>
      <w:bookmarkStart w:id="616" w:name="_Toc256000146"/>
      <w:bookmarkStart w:id="617" w:name="_Toc165804463"/>
      <w:bookmarkStart w:id="618" w:name="_Toc24149"/>
      <w:r>
        <w:rPr>
          <w:rFonts w:hint="eastAsia"/>
          <w:color w:val="auto"/>
          <w:highlight w:val="none"/>
        </w:rPr>
        <w:t>附表A-1</w:t>
      </w:r>
      <w:r>
        <w:rPr>
          <w:color w:val="auto"/>
          <w:highlight w:val="none"/>
        </w:rPr>
        <w:t>7</w:t>
      </w:r>
      <w:r>
        <w:rPr>
          <w:rFonts w:hint="eastAsia"/>
          <w:color w:val="auto"/>
          <w:highlight w:val="none"/>
        </w:rPr>
        <w:t>：推荐中标候选人一览表</w:t>
      </w:r>
      <w:bookmarkEnd w:id="613"/>
      <w:bookmarkEnd w:id="614"/>
      <w:bookmarkEnd w:id="615"/>
      <w:bookmarkEnd w:id="616"/>
      <w:bookmarkEnd w:id="617"/>
      <w:bookmarkEnd w:id="618"/>
    </w:p>
    <w:p w14:paraId="097EF5E5">
      <w:pPr>
        <w:spacing w:after="240" w:afterLines="100"/>
        <w:jc w:val="center"/>
        <w:rPr>
          <w:rFonts w:ascii="黑体" w:eastAsia="黑体"/>
          <w:color w:val="auto"/>
          <w:sz w:val="36"/>
          <w:szCs w:val="36"/>
          <w:highlight w:val="none"/>
        </w:rPr>
      </w:pPr>
    </w:p>
    <w:p w14:paraId="57C5A308">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推荐中标候选人一览表</w:t>
      </w:r>
    </w:p>
    <w:p w14:paraId="2360F305">
      <w:pPr>
        <w:rPr>
          <w:rFonts w:ascii="宋体" w:hAnsi="宋体"/>
          <w:color w:val="auto"/>
          <w:szCs w:val="44"/>
          <w:highlight w:val="none"/>
        </w:rPr>
      </w:pPr>
      <w:r>
        <w:rPr>
          <w:rFonts w:hint="eastAsia" w:ascii="宋体" w:hAnsi="宋体"/>
          <w:color w:val="auto"/>
          <w:szCs w:val="44"/>
          <w:highlight w:val="none"/>
        </w:rPr>
        <w:t>标段名称：</w:t>
      </w:r>
    </w:p>
    <w:p w14:paraId="0052EAA3">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单位：人民币元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14:paraId="4266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260630D">
            <w:pPr>
              <w:jc w:val="center"/>
              <w:rPr>
                <w:b/>
                <w:bCs/>
                <w:color w:val="auto"/>
                <w:highlight w:val="none"/>
              </w:rPr>
            </w:pPr>
            <w:bookmarkStart w:id="619" w:name="_Hlk166065593"/>
            <w:r>
              <w:rPr>
                <w:rFonts w:hint="eastAsia"/>
                <w:b/>
                <w:bCs/>
                <w:color w:val="auto"/>
                <w:highlight w:val="none"/>
              </w:rPr>
              <w:t>排名</w:t>
            </w:r>
          </w:p>
        </w:tc>
        <w:tc>
          <w:tcPr>
            <w:tcW w:w="1537" w:type="dxa"/>
            <w:vAlign w:val="center"/>
          </w:tcPr>
          <w:p w14:paraId="63CB2219">
            <w:pPr>
              <w:jc w:val="center"/>
              <w:rPr>
                <w:b/>
                <w:bCs/>
                <w:color w:val="auto"/>
                <w:highlight w:val="none"/>
              </w:rPr>
            </w:pPr>
            <w:r>
              <w:rPr>
                <w:rFonts w:hint="eastAsia"/>
                <w:b/>
                <w:bCs/>
                <w:color w:val="auto"/>
                <w:highlight w:val="none"/>
              </w:rPr>
              <w:t>投标人名称</w:t>
            </w:r>
          </w:p>
        </w:tc>
        <w:tc>
          <w:tcPr>
            <w:tcW w:w="1390" w:type="dxa"/>
            <w:vAlign w:val="center"/>
          </w:tcPr>
          <w:p w14:paraId="3E6A045D">
            <w:pPr>
              <w:jc w:val="center"/>
              <w:rPr>
                <w:b/>
                <w:bCs/>
                <w:color w:val="auto"/>
                <w:highlight w:val="none"/>
              </w:rPr>
            </w:pPr>
            <w:r>
              <w:rPr>
                <w:rFonts w:hint="eastAsia"/>
                <w:b/>
                <w:bCs/>
                <w:color w:val="auto"/>
                <w:highlight w:val="none"/>
              </w:rPr>
              <w:t>投标报价</w:t>
            </w:r>
          </w:p>
        </w:tc>
        <w:tc>
          <w:tcPr>
            <w:tcW w:w="2031" w:type="dxa"/>
            <w:vAlign w:val="center"/>
          </w:tcPr>
          <w:p w14:paraId="3EF283FD">
            <w:pPr>
              <w:jc w:val="center"/>
              <w:rPr>
                <w:b/>
                <w:bCs/>
                <w:color w:val="auto"/>
                <w:highlight w:val="none"/>
              </w:rPr>
            </w:pPr>
            <w:r>
              <w:rPr>
                <w:rFonts w:hint="eastAsia"/>
                <w:b/>
                <w:bCs/>
                <w:color w:val="auto"/>
                <w:highlight w:val="none"/>
              </w:rPr>
              <w:t>评审得分</w:t>
            </w:r>
          </w:p>
          <w:p w14:paraId="3CA5DC4C">
            <w:pPr>
              <w:jc w:val="center"/>
              <w:rPr>
                <w:b/>
                <w:bCs/>
                <w:color w:val="auto"/>
                <w:highlight w:val="none"/>
              </w:rPr>
            </w:pPr>
            <w:r>
              <w:rPr>
                <w:rFonts w:hint="eastAsia"/>
                <w:b/>
                <w:bCs/>
                <w:color w:val="auto"/>
                <w:highlight w:val="none"/>
              </w:rPr>
              <w:t>（有效评标价）</w:t>
            </w:r>
          </w:p>
        </w:tc>
        <w:tc>
          <w:tcPr>
            <w:tcW w:w="2495" w:type="dxa"/>
            <w:vAlign w:val="center"/>
          </w:tcPr>
          <w:p w14:paraId="143E5BEE">
            <w:pPr>
              <w:jc w:val="center"/>
              <w:rPr>
                <w:b/>
                <w:bCs/>
                <w:color w:val="auto"/>
                <w:highlight w:val="none"/>
              </w:rPr>
            </w:pPr>
            <w:r>
              <w:rPr>
                <w:rFonts w:hint="eastAsia"/>
                <w:b/>
                <w:bCs/>
                <w:color w:val="auto"/>
                <w:highlight w:val="none"/>
              </w:rPr>
              <w:t>推荐意见和建议</w:t>
            </w:r>
          </w:p>
        </w:tc>
      </w:tr>
      <w:tr w14:paraId="4891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7CE25E98">
            <w:pPr>
              <w:jc w:val="center"/>
              <w:rPr>
                <w:b/>
                <w:bCs/>
                <w:color w:val="auto"/>
                <w:highlight w:val="none"/>
              </w:rPr>
            </w:pPr>
            <w:r>
              <w:rPr>
                <w:rFonts w:hint="eastAsia"/>
                <w:color w:val="auto"/>
                <w:highlight w:val="none"/>
              </w:rPr>
              <w:t>1</w:t>
            </w:r>
          </w:p>
        </w:tc>
        <w:tc>
          <w:tcPr>
            <w:tcW w:w="1537" w:type="dxa"/>
            <w:vAlign w:val="center"/>
          </w:tcPr>
          <w:p w14:paraId="43F819F3">
            <w:pPr>
              <w:jc w:val="center"/>
              <w:rPr>
                <w:b/>
                <w:bCs/>
                <w:color w:val="auto"/>
                <w:highlight w:val="none"/>
              </w:rPr>
            </w:pPr>
          </w:p>
        </w:tc>
        <w:tc>
          <w:tcPr>
            <w:tcW w:w="1390" w:type="dxa"/>
            <w:vAlign w:val="center"/>
          </w:tcPr>
          <w:p w14:paraId="11A17DB2">
            <w:pPr>
              <w:jc w:val="center"/>
              <w:rPr>
                <w:b/>
                <w:bCs/>
                <w:color w:val="auto"/>
                <w:highlight w:val="none"/>
              </w:rPr>
            </w:pPr>
          </w:p>
        </w:tc>
        <w:tc>
          <w:tcPr>
            <w:tcW w:w="2031" w:type="dxa"/>
            <w:vAlign w:val="center"/>
          </w:tcPr>
          <w:p w14:paraId="788D8B16">
            <w:pPr>
              <w:jc w:val="center"/>
              <w:rPr>
                <w:b/>
                <w:bCs/>
                <w:color w:val="auto"/>
                <w:highlight w:val="none"/>
              </w:rPr>
            </w:pPr>
          </w:p>
        </w:tc>
        <w:tc>
          <w:tcPr>
            <w:tcW w:w="2495" w:type="dxa"/>
            <w:vAlign w:val="center"/>
          </w:tcPr>
          <w:p w14:paraId="5382E5A4">
            <w:pPr>
              <w:jc w:val="center"/>
              <w:rPr>
                <w:b/>
                <w:bCs/>
                <w:color w:val="auto"/>
                <w:highlight w:val="none"/>
              </w:rPr>
            </w:pPr>
          </w:p>
        </w:tc>
      </w:tr>
      <w:tr w14:paraId="65DA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7691B63F">
            <w:pPr>
              <w:jc w:val="center"/>
              <w:rPr>
                <w:b/>
                <w:bCs/>
                <w:color w:val="auto"/>
                <w:highlight w:val="none"/>
              </w:rPr>
            </w:pPr>
            <w:r>
              <w:rPr>
                <w:rFonts w:hint="eastAsia"/>
                <w:color w:val="auto"/>
                <w:highlight w:val="none"/>
              </w:rPr>
              <w:t>2</w:t>
            </w:r>
          </w:p>
        </w:tc>
        <w:tc>
          <w:tcPr>
            <w:tcW w:w="1537" w:type="dxa"/>
            <w:vAlign w:val="center"/>
          </w:tcPr>
          <w:p w14:paraId="1149C5FA">
            <w:pPr>
              <w:jc w:val="center"/>
              <w:rPr>
                <w:b/>
                <w:bCs/>
                <w:color w:val="auto"/>
                <w:highlight w:val="none"/>
              </w:rPr>
            </w:pPr>
          </w:p>
        </w:tc>
        <w:tc>
          <w:tcPr>
            <w:tcW w:w="1390" w:type="dxa"/>
            <w:vAlign w:val="center"/>
          </w:tcPr>
          <w:p w14:paraId="3489C244">
            <w:pPr>
              <w:jc w:val="center"/>
              <w:rPr>
                <w:b/>
                <w:bCs/>
                <w:color w:val="auto"/>
                <w:highlight w:val="none"/>
              </w:rPr>
            </w:pPr>
          </w:p>
        </w:tc>
        <w:tc>
          <w:tcPr>
            <w:tcW w:w="2031" w:type="dxa"/>
            <w:vAlign w:val="center"/>
          </w:tcPr>
          <w:p w14:paraId="53AA8E63">
            <w:pPr>
              <w:jc w:val="center"/>
              <w:rPr>
                <w:b/>
                <w:bCs/>
                <w:color w:val="auto"/>
                <w:highlight w:val="none"/>
              </w:rPr>
            </w:pPr>
          </w:p>
        </w:tc>
        <w:tc>
          <w:tcPr>
            <w:tcW w:w="2495" w:type="dxa"/>
            <w:vAlign w:val="center"/>
          </w:tcPr>
          <w:p w14:paraId="24CF1C18">
            <w:pPr>
              <w:jc w:val="center"/>
              <w:rPr>
                <w:b/>
                <w:bCs/>
                <w:color w:val="auto"/>
                <w:highlight w:val="none"/>
              </w:rPr>
            </w:pPr>
          </w:p>
        </w:tc>
      </w:tr>
      <w:tr w14:paraId="542A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42E71466">
            <w:pPr>
              <w:jc w:val="center"/>
              <w:rPr>
                <w:b/>
                <w:bCs/>
                <w:color w:val="auto"/>
                <w:highlight w:val="none"/>
              </w:rPr>
            </w:pPr>
            <w:r>
              <w:rPr>
                <w:rFonts w:hint="eastAsia"/>
                <w:color w:val="auto"/>
                <w:highlight w:val="none"/>
              </w:rPr>
              <w:t>3</w:t>
            </w:r>
          </w:p>
        </w:tc>
        <w:tc>
          <w:tcPr>
            <w:tcW w:w="1537" w:type="dxa"/>
            <w:vAlign w:val="center"/>
          </w:tcPr>
          <w:p w14:paraId="3C87E330">
            <w:pPr>
              <w:jc w:val="center"/>
              <w:rPr>
                <w:b/>
                <w:bCs/>
                <w:color w:val="auto"/>
                <w:highlight w:val="none"/>
              </w:rPr>
            </w:pPr>
          </w:p>
        </w:tc>
        <w:tc>
          <w:tcPr>
            <w:tcW w:w="1390" w:type="dxa"/>
            <w:vAlign w:val="center"/>
          </w:tcPr>
          <w:p w14:paraId="248AB556">
            <w:pPr>
              <w:jc w:val="center"/>
              <w:rPr>
                <w:b/>
                <w:bCs/>
                <w:color w:val="auto"/>
                <w:highlight w:val="none"/>
              </w:rPr>
            </w:pPr>
          </w:p>
        </w:tc>
        <w:tc>
          <w:tcPr>
            <w:tcW w:w="2031" w:type="dxa"/>
            <w:vAlign w:val="center"/>
          </w:tcPr>
          <w:p w14:paraId="426B5A3D">
            <w:pPr>
              <w:jc w:val="center"/>
              <w:rPr>
                <w:b/>
                <w:bCs/>
                <w:color w:val="auto"/>
                <w:highlight w:val="none"/>
              </w:rPr>
            </w:pPr>
          </w:p>
        </w:tc>
        <w:tc>
          <w:tcPr>
            <w:tcW w:w="2495" w:type="dxa"/>
            <w:vAlign w:val="center"/>
          </w:tcPr>
          <w:p w14:paraId="67A0440B">
            <w:pPr>
              <w:jc w:val="center"/>
              <w:rPr>
                <w:b/>
                <w:bCs/>
                <w:color w:val="auto"/>
                <w:highlight w:val="none"/>
              </w:rPr>
            </w:pPr>
          </w:p>
        </w:tc>
      </w:tr>
      <w:tr w14:paraId="3F86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4C55B6D7">
            <w:pPr>
              <w:jc w:val="center"/>
              <w:rPr>
                <w:b/>
                <w:bCs/>
                <w:color w:val="auto"/>
                <w:highlight w:val="none"/>
              </w:rPr>
            </w:pPr>
            <w:r>
              <w:rPr>
                <w:rFonts w:hint="eastAsia"/>
                <w:color w:val="auto"/>
                <w:highlight w:val="none"/>
              </w:rPr>
              <w:t>4</w:t>
            </w:r>
          </w:p>
        </w:tc>
        <w:tc>
          <w:tcPr>
            <w:tcW w:w="1537" w:type="dxa"/>
            <w:vAlign w:val="center"/>
          </w:tcPr>
          <w:p w14:paraId="2CB3C158">
            <w:pPr>
              <w:jc w:val="center"/>
              <w:rPr>
                <w:b/>
                <w:bCs/>
                <w:color w:val="auto"/>
                <w:highlight w:val="none"/>
              </w:rPr>
            </w:pPr>
          </w:p>
        </w:tc>
        <w:tc>
          <w:tcPr>
            <w:tcW w:w="1390" w:type="dxa"/>
            <w:vAlign w:val="center"/>
          </w:tcPr>
          <w:p w14:paraId="62717D28">
            <w:pPr>
              <w:jc w:val="center"/>
              <w:rPr>
                <w:b/>
                <w:bCs/>
                <w:color w:val="auto"/>
                <w:highlight w:val="none"/>
              </w:rPr>
            </w:pPr>
          </w:p>
        </w:tc>
        <w:tc>
          <w:tcPr>
            <w:tcW w:w="2031" w:type="dxa"/>
            <w:vAlign w:val="center"/>
          </w:tcPr>
          <w:p w14:paraId="293819B8">
            <w:pPr>
              <w:jc w:val="center"/>
              <w:rPr>
                <w:b/>
                <w:bCs/>
                <w:color w:val="auto"/>
                <w:highlight w:val="none"/>
              </w:rPr>
            </w:pPr>
          </w:p>
        </w:tc>
        <w:tc>
          <w:tcPr>
            <w:tcW w:w="2495" w:type="dxa"/>
            <w:vAlign w:val="center"/>
          </w:tcPr>
          <w:p w14:paraId="1CD9E6D7">
            <w:pPr>
              <w:jc w:val="center"/>
              <w:rPr>
                <w:b/>
                <w:bCs/>
                <w:color w:val="auto"/>
                <w:highlight w:val="none"/>
              </w:rPr>
            </w:pPr>
          </w:p>
        </w:tc>
      </w:tr>
      <w:tr w14:paraId="1386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9A164F3">
            <w:pPr>
              <w:jc w:val="center"/>
              <w:rPr>
                <w:b/>
                <w:bCs/>
                <w:color w:val="auto"/>
                <w:highlight w:val="none"/>
              </w:rPr>
            </w:pPr>
            <w:r>
              <w:rPr>
                <w:rFonts w:hint="eastAsia"/>
                <w:color w:val="auto"/>
                <w:highlight w:val="none"/>
              </w:rPr>
              <w:t>5</w:t>
            </w:r>
          </w:p>
        </w:tc>
        <w:tc>
          <w:tcPr>
            <w:tcW w:w="1537" w:type="dxa"/>
            <w:vAlign w:val="center"/>
          </w:tcPr>
          <w:p w14:paraId="66039B6B">
            <w:pPr>
              <w:jc w:val="center"/>
              <w:rPr>
                <w:b/>
                <w:bCs/>
                <w:color w:val="auto"/>
                <w:highlight w:val="none"/>
              </w:rPr>
            </w:pPr>
          </w:p>
        </w:tc>
        <w:tc>
          <w:tcPr>
            <w:tcW w:w="1390" w:type="dxa"/>
            <w:vAlign w:val="center"/>
          </w:tcPr>
          <w:p w14:paraId="2ADFAABC">
            <w:pPr>
              <w:jc w:val="center"/>
              <w:rPr>
                <w:b/>
                <w:bCs/>
                <w:color w:val="auto"/>
                <w:highlight w:val="none"/>
              </w:rPr>
            </w:pPr>
          </w:p>
        </w:tc>
        <w:tc>
          <w:tcPr>
            <w:tcW w:w="2031" w:type="dxa"/>
            <w:vAlign w:val="center"/>
          </w:tcPr>
          <w:p w14:paraId="13F0AC4B">
            <w:pPr>
              <w:jc w:val="center"/>
              <w:rPr>
                <w:b/>
                <w:bCs/>
                <w:color w:val="auto"/>
                <w:highlight w:val="none"/>
              </w:rPr>
            </w:pPr>
          </w:p>
        </w:tc>
        <w:tc>
          <w:tcPr>
            <w:tcW w:w="2495" w:type="dxa"/>
            <w:vAlign w:val="center"/>
          </w:tcPr>
          <w:p w14:paraId="755741EE">
            <w:pPr>
              <w:jc w:val="center"/>
              <w:rPr>
                <w:b/>
                <w:bCs/>
                <w:color w:val="auto"/>
                <w:highlight w:val="none"/>
              </w:rPr>
            </w:pPr>
          </w:p>
        </w:tc>
      </w:tr>
      <w:tr w14:paraId="25AF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6FE2890F">
            <w:pPr>
              <w:jc w:val="center"/>
              <w:rPr>
                <w:b/>
                <w:bCs/>
                <w:color w:val="auto"/>
                <w:highlight w:val="none"/>
              </w:rPr>
            </w:pPr>
            <w:r>
              <w:rPr>
                <w:rFonts w:hint="eastAsia" w:ascii="宋体" w:hAnsi="宋体"/>
                <w:color w:val="auto"/>
                <w:highlight w:val="none"/>
              </w:rPr>
              <w:t>…</w:t>
            </w:r>
          </w:p>
        </w:tc>
        <w:tc>
          <w:tcPr>
            <w:tcW w:w="1537" w:type="dxa"/>
            <w:vAlign w:val="center"/>
          </w:tcPr>
          <w:p w14:paraId="4E6DB631">
            <w:pPr>
              <w:jc w:val="center"/>
              <w:rPr>
                <w:b/>
                <w:bCs/>
                <w:color w:val="auto"/>
                <w:highlight w:val="none"/>
              </w:rPr>
            </w:pPr>
          </w:p>
        </w:tc>
        <w:tc>
          <w:tcPr>
            <w:tcW w:w="1390" w:type="dxa"/>
            <w:vAlign w:val="center"/>
          </w:tcPr>
          <w:p w14:paraId="1B1DD577">
            <w:pPr>
              <w:jc w:val="center"/>
              <w:rPr>
                <w:b/>
                <w:bCs/>
                <w:color w:val="auto"/>
                <w:highlight w:val="none"/>
              </w:rPr>
            </w:pPr>
          </w:p>
        </w:tc>
        <w:tc>
          <w:tcPr>
            <w:tcW w:w="2031" w:type="dxa"/>
            <w:vAlign w:val="center"/>
          </w:tcPr>
          <w:p w14:paraId="6893A044">
            <w:pPr>
              <w:jc w:val="center"/>
              <w:rPr>
                <w:b/>
                <w:bCs/>
                <w:color w:val="auto"/>
                <w:highlight w:val="none"/>
              </w:rPr>
            </w:pPr>
          </w:p>
        </w:tc>
        <w:tc>
          <w:tcPr>
            <w:tcW w:w="2495" w:type="dxa"/>
            <w:vAlign w:val="center"/>
          </w:tcPr>
          <w:p w14:paraId="72909A76">
            <w:pPr>
              <w:jc w:val="center"/>
              <w:rPr>
                <w:b/>
                <w:bCs/>
                <w:color w:val="auto"/>
                <w:highlight w:val="none"/>
              </w:rPr>
            </w:pPr>
          </w:p>
        </w:tc>
      </w:tr>
      <w:tr w14:paraId="02F8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14:paraId="549DA960">
            <w:pPr>
              <w:jc w:val="left"/>
              <w:rPr>
                <w:rFonts w:ascii="宋体" w:hAnsi="宋体"/>
                <w:color w:val="auto"/>
                <w:szCs w:val="44"/>
                <w:highlight w:val="none"/>
              </w:rPr>
            </w:pPr>
            <w:r>
              <w:rPr>
                <w:rFonts w:hint="eastAsia"/>
                <w:color w:val="auto"/>
                <w:highlight w:val="none"/>
              </w:rPr>
              <w:t>评标委员会全体成员签名：</w:t>
            </w:r>
            <w:r>
              <w:rPr>
                <w:color w:val="auto"/>
                <w:highlight w:val="none"/>
              </w:rPr>
              <w:t xml:space="preserve"> </w:t>
            </w:r>
          </w:p>
          <w:p w14:paraId="352E7018">
            <w:pPr>
              <w:jc w:val="left"/>
              <w:rPr>
                <w:rFonts w:ascii="宋体" w:hAnsi="宋体"/>
                <w:color w:val="auto"/>
                <w:szCs w:val="44"/>
                <w:highlight w:val="none"/>
              </w:rPr>
            </w:pPr>
          </w:p>
          <w:p w14:paraId="6899F04D">
            <w:pPr>
              <w:jc w:val="left"/>
              <w:rPr>
                <w:rFonts w:ascii="宋体" w:hAnsi="宋体"/>
                <w:color w:val="auto"/>
                <w:szCs w:val="44"/>
                <w:highlight w:val="none"/>
              </w:rPr>
            </w:pPr>
          </w:p>
          <w:p w14:paraId="78A27414">
            <w:pPr>
              <w:jc w:val="left"/>
              <w:rPr>
                <w:rFonts w:ascii="宋体" w:hAnsi="宋体"/>
                <w:color w:val="auto"/>
                <w:szCs w:val="44"/>
                <w:highlight w:val="none"/>
              </w:rPr>
            </w:pPr>
          </w:p>
          <w:p w14:paraId="23255E11">
            <w:pPr>
              <w:jc w:val="left"/>
              <w:rPr>
                <w:rFonts w:ascii="宋体" w:hAnsi="宋体"/>
                <w:color w:val="auto"/>
                <w:szCs w:val="44"/>
                <w:highlight w:val="none"/>
              </w:rPr>
            </w:pPr>
          </w:p>
          <w:p w14:paraId="63CE8A9F">
            <w:pPr>
              <w:jc w:val="left"/>
              <w:rPr>
                <w:rFonts w:ascii="宋体" w:hAnsi="宋体"/>
                <w:color w:val="auto"/>
                <w:szCs w:val="44"/>
                <w:highlight w:val="none"/>
              </w:rPr>
            </w:pPr>
          </w:p>
          <w:p w14:paraId="3DD0B70F">
            <w:pPr>
              <w:jc w:val="left"/>
              <w:rPr>
                <w:rFonts w:ascii="宋体" w:hAnsi="宋体"/>
                <w:color w:val="auto"/>
                <w:szCs w:val="44"/>
                <w:highlight w:val="none"/>
              </w:rPr>
            </w:pPr>
          </w:p>
          <w:p w14:paraId="04E712C5">
            <w:pPr>
              <w:jc w:val="left"/>
              <w:rPr>
                <w:color w:val="auto"/>
                <w:highlight w:val="none"/>
              </w:rPr>
            </w:pPr>
          </w:p>
        </w:tc>
      </w:tr>
      <w:bookmarkEnd w:id="619"/>
    </w:tbl>
    <w:p w14:paraId="43E7B26B">
      <w:pPr>
        <w:rPr>
          <w:color w:val="auto"/>
          <w:highlight w:val="none"/>
        </w:rPr>
      </w:pPr>
    </w:p>
    <w:p w14:paraId="4FB21A96">
      <w:pPr>
        <w:ind w:left="210" w:leftChars="100" w:firstLine="5460" w:firstLineChars="2600"/>
        <w:rPr>
          <w:color w:val="auto"/>
          <w:szCs w:val="44"/>
          <w:highlight w:val="none"/>
        </w:rPr>
      </w:pPr>
      <w:r>
        <w:rPr>
          <w:rFonts w:hint="eastAsia"/>
          <w:color w:val="auto"/>
          <w:highlight w:val="none"/>
        </w:rPr>
        <w:t xml:space="preserve">日期：  </w:t>
      </w:r>
      <w:r>
        <w:rPr>
          <w:color w:val="auto"/>
          <w:highlight w:val="none"/>
        </w:rPr>
        <w:t xml:space="preserve">  </w:t>
      </w:r>
      <w:r>
        <w:rPr>
          <w:rFonts w:hint="eastAsia"/>
          <w:color w:val="auto"/>
          <w:highlight w:val="none"/>
        </w:rPr>
        <w:t xml:space="preserve">  年   月 </w:t>
      </w:r>
      <w:r>
        <w:rPr>
          <w:color w:val="auto"/>
          <w:highlight w:val="none"/>
        </w:rPr>
        <w:t xml:space="preserve">  </w:t>
      </w:r>
      <w:r>
        <w:rPr>
          <w:rFonts w:hint="eastAsia"/>
          <w:color w:val="auto"/>
          <w:highlight w:val="none"/>
        </w:rPr>
        <w:t xml:space="preserve">  日</w:t>
      </w:r>
    </w:p>
    <w:p w14:paraId="79CBAFED">
      <w:pPr>
        <w:rPr>
          <w:color w:val="auto"/>
          <w:highlight w:val="none"/>
        </w:rPr>
      </w:pPr>
    </w:p>
    <w:p w14:paraId="74AB85FA">
      <w:pPr>
        <w:rPr>
          <w:color w:val="auto"/>
          <w:highlight w:val="none"/>
        </w:rPr>
      </w:pPr>
    </w:p>
    <w:p w14:paraId="165F9B6E">
      <w:pPr>
        <w:rPr>
          <w:color w:val="auto"/>
          <w:highlight w:val="none"/>
        </w:rPr>
        <w:sectPr>
          <w:pgSz w:w="11906" w:h="16838"/>
          <w:pgMar w:top="1440" w:right="1797" w:bottom="1440" w:left="1797" w:header="851" w:footer="851" w:gutter="0"/>
          <w:cols w:space="720" w:num="1"/>
          <w:docGrid w:linePitch="312" w:charSpace="0"/>
        </w:sectPr>
      </w:pPr>
    </w:p>
    <w:p w14:paraId="27A1F479">
      <w:pPr>
        <w:pStyle w:val="25"/>
        <w:rPr>
          <w:color w:val="auto"/>
          <w:highlight w:val="none"/>
        </w:rPr>
      </w:pPr>
      <w:bookmarkStart w:id="620" w:name="_Toc5047"/>
      <w:bookmarkStart w:id="621" w:name="_Toc165804464"/>
      <w:bookmarkStart w:id="622" w:name="_Toc256000147"/>
      <w:bookmarkStart w:id="623" w:name="_Toc18224"/>
      <w:bookmarkStart w:id="624" w:name="_Toc22919"/>
      <w:bookmarkStart w:id="625" w:name="_Toc12255"/>
      <w:r>
        <w:rPr>
          <w:rFonts w:hint="eastAsia"/>
          <w:color w:val="auto"/>
          <w:highlight w:val="none"/>
        </w:rPr>
        <w:t>附表</w:t>
      </w:r>
      <w:r>
        <w:rPr>
          <w:color w:val="auto"/>
          <w:highlight w:val="none"/>
        </w:rPr>
        <w:t>C</w:t>
      </w:r>
      <w:r>
        <w:rPr>
          <w:rFonts w:hint="eastAsia"/>
          <w:color w:val="auto"/>
          <w:highlight w:val="none"/>
        </w:rPr>
        <w:t>-1：成本评审结论记录表</w:t>
      </w:r>
      <w:bookmarkEnd w:id="620"/>
      <w:bookmarkEnd w:id="621"/>
      <w:bookmarkEnd w:id="622"/>
      <w:bookmarkEnd w:id="623"/>
      <w:bookmarkEnd w:id="624"/>
      <w:bookmarkEnd w:id="625"/>
    </w:p>
    <w:p w14:paraId="2DE633A9">
      <w:pPr>
        <w:spacing w:before="312" w:beforeLines="100" w:after="312" w:afterLines="100"/>
        <w:jc w:val="center"/>
        <w:rPr>
          <w:rFonts w:ascii="黑体" w:eastAsia="黑体"/>
          <w:color w:val="auto"/>
          <w:sz w:val="32"/>
          <w:szCs w:val="32"/>
          <w:highlight w:val="none"/>
        </w:rPr>
      </w:pPr>
      <w:r>
        <w:rPr>
          <w:rFonts w:hint="eastAsia" w:ascii="黑体" w:eastAsia="黑体"/>
          <w:color w:val="auto"/>
          <w:sz w:val="32"/>
          <w:szCs w:val="32"/>
          <w:highlight w:val="none"/>
        </w:rPr>
        <w:t>成本评审结论记录表</w:t>
      </w:r>
    </w:p>
    <w:p w14:paraId="007C345B">
      <w:pPr>
        <w:rPr>
          <w:rFonts w:ascii="宋体" w:hAnsi="宋体"/>
          <w:color w:val="auto"/>
          <w:szCs w:val="21"/>
          <w:highlight w:val="none"/>
        </w:rPr>
      </w:pPr>
      <w:r>
        <w:rPr>
          <w:rFonts w:hint="eastAsia" w:ascii="宋体" w:hAnsi="宋体"/>
          <w:color w:val="auto"/>
          <w:szCs w:val="21"/>
          <w:highlight w:val="none"/>
        </w:rPr>
        <w:t>投标人名称：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7379"/>
      </w:tblGrid>
      <w:tr w14:paraId="188B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5C3100C6">
            <w:pPr>
              <w:spacing w:before="94" w:beforeLines="30"/>
              <w:rPr>
                <w:rFonts w:ascii="宋体" w:hAnsi="宋体"/>
                <w:color w:val="auto"/>
                <w:szCs w:val="21"/>
                <w:highlight w:val="none"/>
              </w:rPr>
            </w:pPr>
            <w:r>
              <w:rPr>
                <w:rFonts w:hint="eastAsia" w:ascii="宋体" w:hAnsi="宋体"/>
                <w:color w:val="auto"/>
                <w:szCs w:val="21"/>
                <w:highlight w:val="none"/>
              </w:rPr>
              <w:t>需投标人澄清和说明的主要事项概要：</w:t>
            </w:r>
          </w:p>
        </w:tc>
      </w:tr>
      <w:tr w14:paraId="2D68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092C7858">
            <w:pPr>
              <w:spacing w:before="94" w:beforeLines="30"/>
              <w:rPr>
                <w:rFonts w:ascii="宋体" w:hAnsi="宋体"/>
                <w:color w:val="auto"/>
                <w:szCs w:val="21"/>
                <w:highlight w:val="none"/>
              </w:rPr>
            </w:pPr>
            <w:r>
              <w:rPr>
                <w:rFonts w:hint="eastAsia" w:ascii="宋体" w:hAnsi="宋体"/>
                <w:color w:val="auto"/>
                <w:szCs w:val="21"/>
                <w:highlight w:val="none"/>
              </w:rPr>
              <w:t>投标人澄清、说明、补正和提供</w:t>
            </w:r>
            <w:r>
              <w:rPr>
                <w:rFonts w:hint="eastAsia" w:hAnsi="宋体"/>
                <w:color w:val="auto"/>
                <w:highlight w:val="none"/>
              </w:rPr>
              <w:t>证明材料</w:t>
            </w:r>
            <w:r>
              <w:rPr>
                <w:rFonts w:hint="eastAsia" w:ascii="宋体" w:hAnsi="宋体"/>
                <w:color w:val="auto"/>
                <w:szCs w:val="21"/>
                <w:highlight w:val="none"/>
              </w:rPr>
              <w:t>的情况说明：</w:t>
            </w:r>
          </w:p>
        </w:tc>
      </w:tr>
      <w:tr w14:paraId="21EA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14:paraId="04023E53">
            <w:pPr>
              <w:jc w:val="center"/>
              <w:rPr>
                <w:rFonts w:ascii="宋体" w:hAnsi="宋体"/>
                <w:color w:val="auto"/>
                <w:szCs w:val="21"/>
                <w:highlight w:val="none"/>
              </w:rPr>
            </w:pPr>
            <w:r>
              <w:rPr>
                <w:rFonts w:hint="eastAsia" w:ascii="宋体" w:hAnsi="宋体"/>
                <w:color w:val="auto"/>
                <w:szCs w:val="21"/>
                <w:highlight w:val="none"/>
              </w:rPr>
              <w:t>评审结论</w:t>
            </w:r>
          </w:p>
        </w:tc>
        <w:tc>
          <w:tcPr>
            <w:tcW w:w="7532" w:type="dxa"/>
            <w:vAlign w:val="center"/>
          </w:tcPr>
          <w:p w14:paraId="7101C988">
            <w:pPr>
              <w:ind w:firstLine="210" w:firstLineChars="100"/>
              <w:rPr>
                <w:rFonts w:ascii="宋体" w:hAnsi="宋体"/>
                <w:color w:val="auto"/>
                <w:szCs w:val="21"/>
                <w:highlight w:val="none"/>
              </w:rPr>
            </w:pPr>
            <w:r>
              <w:rPr>
                <w:rFonts w:hint="eastAsia" w:ascii="宋体" w:hAnsi="宋体"/>
                <w:color w:val="auto"/>
                <w:szCs w:val="21"/>
                <w:highlight w:val="none"/>
              </w:rPr>
              <w:t xml:space="preserve"> □低于成本     □不低于成本</w:t>
            </w:r>
          </w:p>
        </w:tc>
      </w:tr>
      <w:tr w14:paraId="2B85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14:paraId="42CF7F45">
            <w:pPr>
              <w:jc w:val="center"/>
              <w:rPr>
                <w:rFonts w:ascii="宋体" w:hAnsi="宋体"/>
                <w:color w:val="auto"/>
                <w:szCs w:val="21"/>
                <w:highlight w:val="none"/>
              </w:rPr>
            </w:pPr>
            <w:r>
              <w:rPr>
                <w:rFonts w:hint="eastAsia" w:ascii="宋体" w:hAnsi="宋体"/>
                <w:color w:val="auto"/>
                <w:szCs w:val="21"/>
                <w:highlight w:val="none"/>
              </w:rPr>
              <w:t>评</w:t>
            </w:r>
          </w:p>
          <w:p w14:paraId="6B1318F3">
            <w:pPr>
              <w:jc w:val="center"/>
              <w:rPr>
                <w:rFonts w:ascii="宋体" w:hAnsi="宋体"/>
                <w:color w:val="auto"/>
                <w:szCs w:val="21"/>
                <w:highlight w:val="none"/>
              </w:rPr>
            </w:pPr>
            <w:r>
              <w:rPr>
                <w:rFonts w:hint="eastAsia" w:ascii="宋体" w:hAnsi="宋体"/>
                <w:color w:val="auto"/>
                <w:szCs w:val="21"/>
                <w:highlight w:val="none"/>
              </w:rPr>
              <w:t>审</w:t>
            </w:r>
          </w:p>
          <w:p w14:paraId="71FD6CB8">
            <w:pPr>
              <w:jc w:val="center"/>
              <w:rPr>
                <w:rFonts w:ascii="宋体" w:hAnsi="宋体"/>
                <w:color w:val="auto"/>
                <w:szCs w:val="21"/>
                <w:highlight w:val="none"/>
              </w:rPr>
            </w:pPr>
            <w:r>
              <w:rPr>
                <w:rFonts w:hint="eastAsia" w:ascii="宋体" w:hAnsi="宋体"/>
                <w:color w:val="auto"/>
                <w:szCs w:val="21"/>
                <w:highlight w:val="none"/>
              </w:rPr>
              <w:t>意</w:t>
            </w:r>
          </w:p>
          <w:p w14:paraId="2132D71C">
            <w:pPr>
              <w:jc w:val="center"/>
              <w:rPr>
                <w:rFonts w:ascii="宋体" w:hAnsi="宋体"/>
                <w:color w:val="auto"/>
                <w:szCs w:val="21"/>
                <w:highlight w:val="none"/>
              </w:rPr>
            </w:pPr>
            <w:r>
              <w:rPr>
                <w:rFonts w:hint="eastAsia" w:ascii="宋体" w:hAnsi="宋体"/>
                <w:color w:val="auto"/>
                <w:szCs w:val="21"/>
                <w:highlight w:val="none"/>
              </w:rPr>
              <w:t>见</w:t>
            </w:r>
          </w:p>
          <w:p w14:paraId="14E7E851">
            <w:pPr>
              <w:jc w:val="center"/>
              <w:rPr>
                <w:rFonts w:ascii="宋体" w:hAnsi="宋体"/>
                <w:color w:val="auto"/>
                <w:szCs w:val="21"/>
                <w:highlight w:val="none"/>
              </w:rPr>
            </w:pPr>
            <w:r>
              <w:rPr>
                <w:rFonts w:hint="eastAsia" w:ascii="宋体" w:hAnsi="宋体"/>
                <w:color w:val="auto"/>
                <w:szCs w:val="21"/>
                <w:highlight w:val="none"/>
              </w:rPr>
              <w:t>概</w:t>
            </w:r>
          </w:p>
          <w:p w14:paraId="51F975FE">
            <w:pPr>
              <w:jc w:val="center"/>
              <w:rPr>
                <w:rFonts w:ascii="宋体" w:hAnsi="宋体"/>
                <w:color w:val="auto"/>
                <w:szCs w:val="21"/>
                <w:highlight w:val="none"/>
              </w:rPr>
            </w:pPr>
            <w:r>
              <w:rPr>
                <w:rFonts w:hint="eastAsia" w:ascii="宋体" w:hAnsi="宋体"/>
                <w:color w:val="auto"/>
                <w:szCs w:val="21"/>
                <w:highlight w:val="none"/>
              </w:rPr>
              <w:t>要</w:t>
            </w:r>
          </w:p>
        </w:tc>
        <w:tc>
          <w:tcPr>
            <w:tcW w:w="7532" w:type="dxa"/>
            <w:vAlign w:val="center"/>
          </w:tcPr>
          <w:p w14:paraId="6ECA606E">
            <w:pPr>
              <w:jc w:val="center"/>
              <w:rPr>
                <w:rFonts w:ascii="宋体" w:hAnsi="宋体"/>
                <w:color w:val="auto"/>
                <w:szCs w:val="21"/>
                <w:highlight w:val="none"/>
              </w:rPr>
            </w:pPr>
          </w:p>
        </w:tc>
      </w:tr>
      <w:tr w14:paraId="61B0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14:paraId="24031E96">
            <w:pPr>
              <w:jc w:val="center"/>
              <w:rPr>
                <w:rFonts w:ascii="宋体" w:hAnsi="宋体"/>
                <w:color w:val="auto"/>
                <w:szCs w:val="21"/>
                <w:highlight w:val="none"/>
              </w:rPr>
            </w:pPr>
            <w:r>
              <w:rPr>
                <w:rFonts w:hint="eastAsia" w:ascii="宋体" w:hAnsi="宋体"/>
                <w:color w:val="auto"/>
                <w:szCs w:val="21"/>
                <w:highlight w:val="none"/>
              </w:rPr>
              <w:t>评</w:t>
            </w:r>
          </w:p>
          <w:p w14:paraId="102ED021">
            <w:pPr>
              <w:jc w:val="center"/>
              <w:rPr>
                <w:rFonts w:ascii="宋体" w:hAnsi="宋体"/>
                <w:color w:val="auto"/>
                <w:szCs w:val="21"/>
                <w:highlight w:val="none"/>
              </w:rPr>
            </w:pPr>
            <w:r>
              <w:rPr>
                <w:rFonts w:hint="eastAsia" w:ascii="宋体" w:hAnsi="宋体"/>
                <w:color w:val="auto"/>
                <w:szCs w:val="21"/>
                <w:highlight w:val="none"/>
              </w:rPr>
              <w:t>标</w:t>
            </w:r>
          </w:p>
          <w:p w14:paraId="71FAFD58">
            <w:pPr>
              <w:jc w:val="center"/>
              <w:rPr>
                <w:rFonts w:ascii="宋体" w:hAnsi="宋体"/>
                <w:color w:val="auto"/>
                <w:szCs w:val="21"/>
                <w:highlight w:val="none"/>
              </w:rPr>
            </w:pPr>
            <w:r>
              <w:rPr>
                <w:rFonts w:hint="eastAsia" w:ascii="宋体" w:hAnsi="宋体"/>
                <w:color w:val="auto"/>
                <w:szCs w:val="21"/>
                <w:highlight w:val="none"/>
              </w:rPr>
              <w:t>委</w:t>
            </w:r>
          </w:p>
          <w:p w14:paraId="1B330F2C">
            <w:pPr>
              <w:jc w:val="center"/>
              <w:rPr>
                <w:rFonts w:ascii="宋体" w:hAnsi="宋体"/>
                <w:color w:val="auto"/>
                <w:szCs w:val="21"/>
                <w:highlight w:val="none"/>
              </w:rPr>
            </w:pPr>
            <w:r>
              <w:rPr>
                <w:rFonts w:hint="eastAsia" w:ascii="宋体" w:hAnsi="宋体"/>
                <w:color w:val="auto"/>
                <w:szCs w:val="21"/>
                <w:highlight w:val="none"/>
              </w:rPr>
              <w:t>员</w:t>
            </w:r>
          </w:p>
          <w:p w14:paraId="4A7CD93E">
            <w:pPr>
              <w:jc w:val="center"/>
              <w:rPr>
                <w:rFonts w:ascii="宋体" w:hAnsi="宋体"/>
                <w:color w:val="auto"/>
                <w:szCs w:val="21"/>
                <w:highlight w:val="none"/>
              </w:rPr>
            </w:pPr>
            <w:r>
              <w:rPr>
                <w:rFonts w:hint="eastAsia" w:ascii="宋体" w:hAnsi="宋体"/>
                <w:color w:val="auto"/>
                <w:szCs w:val="21"/>
                <w:highlight w:val="none"/>
              </w:rPr>
              <w:t>会</w:t>
            </w:r>
          </w:p>
          <w:p w14:paraId="00EF8738">
            <w:pPr>
              <w:jc w:val="center"/>
              <w:rPr>
                <w:rFonts w:ascii="宋体" w:hAnsi="宋体"/>
                <w:color w:val="auto"/>
                <w:szCs w:val="21"/>
                <w:highlight w:val="none"/>
              </w:rPr>
            </w:pPr>
            <w:r>
              <w:rPr>
                <w:rFonts w:hint="eastAsia" w:ascii="宋体" w:hAnsi="宋体"/>
                <w:color w:val="auto"/>
                <w:szCs w:val="21"/>
                <w:highlight w:val="none"/>
              </w:rPr>
              <w:t>全</w:t>
            </w:r>
          </w:p>
          <w:p w14:paraId="6F8DB8DC">
            <w:pPr>
              <w:jc w:val="center"/>
              <w:rPr>
                <w:rFonts w:ascii="宋体" w:hAnsi="宋体"/>
                <w:color w:val="auto"/>
                <w:szCs w:val="21"/>
                <w:highlight w:val="none"/>
              </w:rPr>
            </w:pPr>
            <w:r>
              <w:rPr>
                <w:rFonts w:hint="eastAsia" w:ascii="宋体" w:hAnsi="宋体"/>
                <w:color w:val="auto"/>
                <w:szCs w:val="21"/>
                <w:highlight w:val="none"/>
              </w:rPr>
              <w:t>体</w:t>
            </w:r>
          </w:p>
          <w:p w14:paraId="2FD1C779">
            <w:pPr>
              <w:jc w:val="center"/>
              <w:rPr>
                <w:rFonts w:ascii="宋体" w:hAnsi="宋体"/>
                <w:color w:val="auto"/>
                <w:szCs w:val="21"/>
                <w:highlight w:val="none"/>
              </w:rPr>
            </w:pPr>
            <w:r>
              <w:rPr>
                <w:rFonts w:hint="eastAsia" w:ascii="宋体" w:hAnsi="宋体"/>
                <w:color w:val="auto"/>
                <w:szCs w:val="21"/>
                <w:highlight w:val="none"/>
              </w:rPr>
              <w:t>成</w:t>
            </w:r>
          </w:p>
          <w:p w14:paraId="0195507E">
            <w:pPr>
              <w:jc w:val="center"/>
              <w:rPr>
                <w:rFonts w:ascii="宋体" w:hAnsi="宋体"/>
                <w:color w:val="auto"/>
                <w:szCs w:val="21"/>
                <w:highlight w:val="none"/>
              </w:rPr>
            </w:pPr>
            <w:r>
              <w:rPr>
                <w:rFonts w:hint="eastAsia" w:ascii="宋体" w:hAnsi="宋体"/>
                <w:color w:val="auto"/>
                <w:szCs w:val="21"/>
                <w:highlight w:val="none"/>
              </w:rPr>
              <w:t>员</w:t>
            </w:r>
          </w:p>
          <w:p w14:paraId="73E3313B">
            <w:pPr>
              <w:jc w:val="center"/>
              <w:rPr>
                <w:rFonts w:ascii="宋体" w:hAnsi="宋体"/>
                <w:color w:val="auto"/>
                <w:szCs w:val="21"/>
                <w:highlight w:val="none"/>
              </w:rPr>
            </w:pPr>
            <w:r>
              <w:rPr>
                <w:rFonts w:hint="eastAsia" w:ascii="宋体" w:hAnsi="宋体"/>
                <w:color w:val="auto"/>
                <w:szCs w:val="21"/>
                <w:highlight w:val="none"/>
              </w:rPr>
              <w:t>签</w:t>
            </w:r>
          </w:p>
          <w:p w14:paraId="524DF789">
            <w:pPr>
              <w:jc w:val="center"/>
              <w:rPr>
                <w:rFonts w:ascii="宋体" w:hAnsi="宋体"/>
                <w:color w:val="auto"/>
                <w:szCs w:val="21"/>
                <w:highlight w:val="none"/>
              </w:rPr>
            </w:pPr>
            <w:r>
              <w:rPr>
                <w:rFonts w:hint="eastAsia" w:ascii="宋体" w:hAnsi="宋体"/>
                <w:color w:val="auto"/>
                <w:szCs w:val="21"/>
                <w:highlight w:val="none"/>
              </w:rPr>
              <w:t>名</w:t>
            </w:r>
          </w:p>
        </w:tc>
        <w:tc>
          <w:tcPr>
            <w:tcW w:w="7532" w:type="dxa"/>
            <w:vAlign w:val="bottom"/>
          </w:tcPr>
          <w:p w14:paraId="327740E0">
            <w:pPr>
              <w:wordWrap w:val="0"/>
              <w:spacing w:after="156" w:afterLines="50"/>
              <w:jc w:val="right"/>
              <w:rPr>
                <w:rFonts w:ascii="宋体" w:hAnsi="宋体"/>
                <w:color w:val="auto"/>
                <w:szCs w:val="21"/>
                <w:highlight w:val="none"/>
              </w:rPr>
            </w:pPr>
            <w:r>
              <w:rPr>
                <w:rFonts w:hint="eastAsia" w:ascii="宋体" w:hAnsi="宋体"/>
                <w:color w:val="auto"/>
                <w:szCs w:val="21"/>
                <w:highlight w:val="none"/>
              </w:rPr>
              <w:t xml:space="preserve">年   月   日       </w:t>
            </w:r>
          </w:p>
        </w:tc>
      </w:tr>
    </w:tbl>
    <w:p w14:paraId="731E56CF">
      <w:pPr>
        <w:pStyle w:val="5"/>
        <w:spacing w:line="255" w:lineRule="auto"/>
        <w:rPr>
          <w:color w:val="auto"/>
          <w:highlight w:val="none"/>
        </w:rPr>
      </w:pPr>
    </w:p>
    <w:p w14:paraId="3115D360">
      <w:pPr>
        <w:pStyle w:val="5"/>
        <w:spacing w:line="255" w:lineRule="auto"/>
        <w:rPr>
          <w:color w:val="auto"/>
          <w:highlight w:val="none"/>
        </w:rPr>
      </w:pPr>
    </w:p>
    <w:p w14:paraId="06AFBB6D">
      <w:pPr>
        <w:pStyle w:val="5"/>
        <w:spacing w:line="255" w:lineRule="auto"/>
        <w:rPr>
          <w:color w:val="auto"/>
          <w:highlight w:val="none"/>
        </w:rPr>
      </w:pPr>
    </w:p>
    <w:p w14:paraId="1E22B130">
      <w:pPr>
        <w:pStyle w:val="5"/>
        <w:spacing w:line="255" w:lineRule="auto"/>
        <w:rPr>
          <w:color w:val="auto"/>
          <w:highlight w:val="none"/>
        </w:rPr>
      </w:pPr>
    </w:p>
    <w:p w14:paraId="47692C75">
      <w:pPr>
        <w:pStyle w:val="5"/>
        <w:spacing w:line="255" w:lineRule="auto"/>
        <w:rPr>
          <w:color w:val="auto"/>
          <w:highlight w:val="none"/>
        </w:rPr>
      </w:pPr>
    </w:p>
    <w:p w14:paraId="5E5712A7">
      <w:pPr>
        <w:pStyle w:val="5"/>
        <w:spacing w:line="255" w:lineRule="auto"/>
        <w:rPr>
          <w:color w:val="auto"/>
          <w:highlight w:val="none"/>
        </w:rPr>
      </w:pPr>
    </w:p>
    <w:p w14:paraId="6C7E901D">
      <w:pPr>
        <w:pStyle w:val="5"/>
        <w:spacing w:line="255" w:lineRule="auto"/>
        <w:rPr>
          <w:color w:val="auto"/>
          <w:highlight w:val="none"/>
        </w:rPr>
      </w:pPr>
    </w:p>
    <w:p w14:paraId="60277C30">
      <w:pPr>
        <w:pStyle w:val="5"/>
        <w:spacing w:line="255" w:lineRule="auto"/>
        <w:rPr>
          <w:color w:val="auto"/>
          <w:highlight w:val="none"/>
        </w:rPr>
      </w:pPr>
    </w:p>
    <w:p w14:paraId="61282F3E">
      <w:pPr>
        <w:pStyle w:val="5"/>
        <w:spacing w:line="255" w:lineRule="auto"/>
        <w:rPr>
          <w:color w:val="auto"/>
          <w:highlight w:val="none"/>
        </w:rPr>
      </w:pPr>
    </w:p>
    <w:p w14:paraId="56C18704">
      <w:pPr>
        <w:pStyle w:val="5"/>
        <w:spacing w:line="255" w:lineRule="auto"/>
        <w:rPr>
          <w:color w:val="auto"/>
          <w:highlight w:val="none"/>
        </w:rPr>
      </w:pPr>
    </w:p>
    <w:p w14:paraId="06C9E76D">
      <w:pPr>
        <w:pStyle w:val="5"/>
        <w:spacing w:line="255" w:lineRule="auto"/>
        <w:rPr>
          <w:color w:val="auto"/>
          <w:highlight w:val="none"/>
        </w:rPr>
      </w:pPr>
    </w:p>
    <w:p w14:paraId="4D987A88">
      <w:pPr>
        <w:pStyle w:val="5"/>
        <w:spacing w:line="256" w:lineRule="auto"/>
        <w:rPr>
          <w:color w:val="auto"/>
          <w:highlight w:val="none"/>
        </w:rPr>
      </w:pPr>
    </w:p>
    <w:p w14:paraId="2595F1CB">
      <w:pPr>
        <w:pStyle w:val="5"/>
        <w:spacing w:line="256" w:lineRule="auto"/>
        <w:rPr>
          <w:color w:val="auto"/>
          <w:highlight w:val="none"/>
        </w:rPr>
      </w:pPr>
    </w:p>
    <w:p w14:paraId="5C5DE5D0">
      <w:pPr>
        <w:pStyle w:val="5"/>
        <w:spacing w:line="256" w:lineRule="auto"/>
        <w:rPr>
          <w:color w:val="auto"/>
          <w:highlight w:val="none"/>
        </w:rPr>
      </w:pPr>
    </w:p>
    <w:p w14:paraId="1260ED10">
      <w:pPr>
        <w:pStyle w:val="5"/>
        <w:spacing w:line="256" w:lineRule="auto"/>
        <w:rPr>
          <w:color w:val="auto"/>
          <w:highlight w:val="none"/>
        </w:rPr>
      </w:pPr>
    </w:p>
    <w:p w14:paraId="42391EAA">
      <w:pPr>
        <w:spacing w:before="104" w:line="220" w:lineRule="auto"/>
        <w:ind w:left="2418"/>
        <w:outlineLvl w:val="0"/>
        <w:rPr>
          <w:rFonts w:ascii="黑体" w:hAnsi="黑体" w:eastAsia="黑体" w:cs="黑体"/>
          <w:color w:val="auto"/>
          <w:sz w:val="32"/>
          <w:szCs w:val="32"/>
          <w:highlight w:val="none"/>
        </w:rPr>
      </w:pPr>
      <w:bookmarkStart w:id="626" w:name="_Toc26638"/>
      <w:bookmarkStart w:id="627" w:name="_Toc21887"/>
      <w:bookmarkStart w:id="628" w:name="_Toc6005"/>
      <w:bookmarkStart w:id="629" w:name="_Toc21899"/>
      <w:r>
        <w:rPr>
          <w:rFonts w:ascii="黑体" w:hAnsi="黑体" w:eastAsia="黑体" w:cs="黑体"/>
          <w:color w:val="auto"/>
          <w:spacing w:val="-1"/>
          <w:sz w:val="32"/>
          <w:szCs w:val="32"/>
          <w:highlight w:val="none"/>
        </w:rPr>
        <w:t>第四章  合同条款及格式</w:t>
      </w:r>
      <w:bookmarkEnd w:id="626"/>
      <w:bookmarkEnd w:id="627"/>
      <w:bookmarkEnd w:id="628"/>
      <w:bookmarkEnd w:id="629"/>
    </w:p>
    <w:p w14:paraId="6C69D735">
      <w:pPr>
        <w:spacing w:line="220" w:lineRule="auto"/>
        <w:rPr>
          <w:rFonts w:ascii="黑体" w:hAnsi="黑体" w:eastAsia="黑体" w:cs="黑体"/>
          <w:color w:val="auto"/>
          <w:sz w:val="32"/>
          <w:szCs w:val="32"/>
          <w:highlight w:val="none"/>
        </w:rPr>
        <w:sectPr>
          <w:footerReference r:id="rId40" w:type="default"/>
          <w:pgSz w:w="11905" w:h="16839"/>
          <w:pgMar w:top="1431" w:right="1785" w:bottom="1004" w:left="1785" w:header="0" w:footer="828" w:gutter="0"/>
          <w:pgNumType w:fmt="decimal"/>
          <w:cols w:space="720" w:num="1"/>
        </w:sectPr>
      </w:pPr>
    </w:p>
    <w:p w14:paraId="762ACB31">
      <w:pPr>
        <w:spacing w:before="71" w:line="219" w:lineRule="auto"/>
        <w:ind w:left="2516"/>
        <w:outlineLvl w:val="1"/>
        <w:rPr>
          <w:rFonts w:ascii="黑体" w:hAnsi="黑体" w:eastAsia="黑体" w:cs="黑体"/>
          <w:color w:val="auto"/>
          <w:sz w:val="36"/>
          <w:szCs w:val="36"/>
          <w:highlight w:val="none"/>
        </w:rPr>
      </w:pPr>
      <w:bookmarkStart w:id="630" w:name="_Toc3204"/>
      <w:bookmarkStart w:id="631" w:name="_Toc31304"/>
      <w:bookmarkStart w:id="632" w:name="_Toc9560"/>
      <w:bookmarkStart w:id="633" w:name="_Toc16333"/>
      <w:r>
        <w:rPr>
          <w:rFonts w:ascii="黑体" w:hAnsi="黑体" w:eastAsia="黑体" w:cs="黑体"/>
          <w:color w:val="auto"/>
          <w:spacing w:val="-3"/>
          <w:sz w:val="36"/>
          <w:szCs w:val="36"/>
          <w:highlight w:val="none"/>
        </w:rPr>
        <w:t>第一部分</w:t>
      </w:r>
      <w:r>
        <w:rPr>
          <w:rFonts w:ascii="黑体" w:hAnsi="黑体" w:eastAsia="黑体" w:cs="黑体"/>
          <w:color w:val="auto"/>
          <w:spacing w:val="-73"/>
          <w:sz w:val="36"/>
          <w:szCs w:val="36"/>
          <w:highlight w:val="none"/>
        </w:rPr>
        <w:t xml:space="preserve"> </w:t>
      </w:r>
      <w:r>
        <w:rPr>
          <w:rFonts w:ascii="黑体" w:hAnsi="黑体" w:eastAsia="黑体" w:cs="黑体"/>
          <w:color w:val="auto"/>
          <w:spacing w:val="-3"/>
          <w:sz w:val="36"/>
          <w:szCs w:val="36"/>
          <w:highlight w:val="none"/>
        </w:rPr>
        <w:t>合同协议书</w:t>
      </w:r>
      <w:bookmarkEnd w:id="630"/>
      <w:bookmarkEnd w:id="631"/>
      <w:bookmarkEnd w:id="632"/>
      <w:bookmarkEnd w:id="633"/>
    </w:p>
    <w:p w14:paraId="42DAF4C5">
      <w:pPr>
        <w:pStyle w:val="5"/>
        <w:spacing w:line="327" w:lineRule="auto"/>
        <w:rPr>
          <w:color w:val="auto"/>
          <w:highlight w:val="none"/>
        </w:rPr>
      </w:pPr>
    </w:p>
    <w:p w14:paraId="395DE273">
      <w:pPr>
        <w:spacing w:before="68" w:line="359" w:lineRule="auto"/>
        <w:ind w:left="44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发包人（全称</w:t>
      </w:r>
      <w:r>
        <w:rPr>
          <w:rFonts w:ascii="宋体" w:hAnsi="宋体" w:eastAsia="宋体" w:cs="宋体"/>
          <w:color w:val="auto"/>
          <w:spacing w:val="-21"/>
          <w:sz w:val="21"/>
          <w:szCs w:val="21"/>
          <w:highlight w:val="none"/>
        </w:rPr>
        <w:t>）：</w:t>
      </w:r>
      <w:r>
        <w:rPr>
          <w:rFonts w:ascii="宋体" w:hAnsi="宋体" w:eastAsia="宋体" w:cs="宋体"/>
          <w:color w:val="auto"/>
          <w:sz w:val="21"/>
          <w:szCs w:val="21"/>
          <w:highlight w:val="none"/>
          <w:u w:val="single" w:color="auto"/>
        </w:rPr>
        <w:t xml:space="preserve">                                         </w:t>
      </w:r>
    </w:p>
    <w:p w14:paraId="4062B80F">
      <w:pPr>
        <w:spacing w:line="220"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承包人（全称</w:t>
      </w:r>
      <w:r>
        <w:rPr>
          <w:rFonts w:ascii="宋体" w:hAnsi="宋体" w:eastAsia="宋体" w:cs="宋体"/>
          <w:color w:val="auto"/>
          <w:spacing w:val="-22"/>
          <w:sz w:val="21"/>
          <w:szCs w:val="21"/>
          <w:highlight w:val="none"/>
        </w:rPr>
        <w:t>）：</w:t>
      </w:r>
      <w:r>
        <w:rPr>
          <w:rFonts w:ascii="宋体" w:hAnsi="宋体" w:eastAsia="宋体" w:cs="宋体"/>
          <w:color w:val="auto"/>
          <w:sz w:val="21"/>
          <w:szCs w:val="21"/>
          <w:highlight w:val="none"/>
          <w:u w:val="single" w:color="auto"/>
        </w:rPr>
        <w:t xml:space="preserve">                                        </w:t>
      </w:r>
    </w:p>
    <w:p w14:paraId="23F53EEE">
      <w:pPr>
        <w:spacing w:before="156" w:line="359" w:lineRule="auto"/>
        <w:ind w:left="20" w:right="6"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根据《中华人民共和国民法典》、《中华人民共和国建筑法》及有关法律规定，遵循平</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等、自愿、公平和诚实信用的原则，双方就</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5"/>
          <w:sz w:val="21"/>
          <w:szCs w:val="21"/>
          <w:highlight w:val="none"/>
        </w:rPr>
        <w:t xml:space="preserve"> </w:t>
      </w:r>
      <w:r>
        <w:rPr>
          <w:rFonts w:ascii="宋体" w:hAnsi="宋体" w:eastAsia="宋体" w:cs="宋体"/>
          <w:color w:val="auto"/>
          <w:spacing w:val="-1"/>
          <w:sz w:val="21"/>
          <w:szCs w:val="21"/>
          <w:highlight w:val="none"/>
        </w:rPr>
        <w:t>工程施工及有关事项协</w:t>
      </w:r>
    </w:p>
    <w:p w14:paraId="7AA51A47">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商一致，共同达成如下协议：</w:t>
      </w:r>
    </w:p>
    <w:p w14:paraId="02439095">
      <w:pPr>
        <w:spacing w:before="167" w:line="218" w:lineRule="auto"/>
        <w:ind w:left="2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一、工程概况</w:t>
      </w:r>
    </w:p>
    <w:p w14:paraId="6D9B7B72">
      <w:pPr>
        <w:spacing w:before="17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2"/>
          <w:sz w:val="21"/>
          <w:szCs w:val="21"/>
          <w:highlight w:val="none"/>
        </w:rPr>
        <w:t>1.</w:t>
      </w:r>
      <w:r>
        <w:rPr>
          <w:rFonts w:ascii="宋体" w:hAnsi="宋体" w:eastAsia="宋体" w:cs="宋体"/>
          <w:color w:val="auto"/>
          <w:spacing w:val="-22"/>
          <w:sz w:val="21"/>
          <w:szCs w:val="21"/>
          <w:highlight w:val="none"/>
        </w:rPr>
        <w:t>工程名称：</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2"/>
          <w:sz w:val="21"/>
          <w:szCs w:val="21"/>
          <w:highlight w:val="none"/>
        </w:rPr>
        <w:t>。</w:t>
      </w:r>
    </w:p>
    <w:p w14:paraId="6D4E4F5B">
      <w:pPr>
        <w:spacing w:before="162"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2.</w:t>
      </w:r>
      <w:r>
        <w:rPr>
          <w:rFonts w:ascii="宋体" w:hAnsi="宋体" w:eastAsia="宋体" w:cs="宋体"/>
          <w:color w:val="auto"/>
          <w:spacing w:val="-19"/>
          <w:sz w:val="21"/>
          <w:szCs w:val="21"/>
          <w:highlight w:val="none"/>
        </w:rPr>
        <w:t>工程地点：</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pacing w:val="-19"/>
          <w:sz w:val="21"/>
          <w:szCs w:val="21"/>
          <w:highlight w:val="none"/>
        </w:rPr>
        <w:t>。</w:t>
      </w:r>
    </w:p>
    <w:p w14:paraId="350758E2">
      <w:pPr>
        <w:spacing w:before="156"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工程立项批准文号：</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rPr>
        <w:t>。</w:t>
      </w:r>
    </w:p>
    <w:p w14:paraId="5278E284">
      <w:pPr>
        <w:spacing w:before="15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4.</w:t>
      </w:r>
      <w:r>
        <w:rPr>
          <w:rFonts w:ascii="宋体" w:hAnsi="宋体" w:eastAsia="宋体" w:cs="宋体"/>
          <w:color w:val="auto"/>
          <w:spacing w:val="-19"/>
          <w:sz w:val="21"/>
          <w:szCs w:val="21"/>
          <w:highlight w:val="none"/>
        </w:rPr>
        <w:t>资金来源：</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9"/>
          <w:sz w:val="21"/>
          <w:szCs w:val="21"/>
          <w:highlight w:val="none"/>
        </w:rPr>
        <w:t>。</w:t>
      </w:r>
    </w:p>
    <w:p w14:paraId="5D327821">
      <w:pPr>
        <w:spacing w:before="156"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0"/>
          <w:sz w:val="21"/>
          <w:szCs w:val="21"/>
          <w:highlight w:val="none"/>
        </w:rPr>
        <w:t>5.</w:t>
      </w:r>
      <w:r>
        <w:rPr>
          <w:rFonts w:ascii="宋体" w:hAnsi="宋体" w:eastAsia="宋体" w:cs="宋体"/>
          <w:color w:val="auto"/>
          <w:spacing w:val="-20"/>
          <w:sz w:val="21"/>
          <w:szCs w:val="21"/>
          <w:highlight w:val="none"/>
        </w:rPr>
        <w:t>工程内容：</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0"/>
          <w:sz w:val="21"/>
          <w:szCs w:val="21"/>
          <w:highlight w:val="none"/>
        </w:rPr>
        <w:t>。</w:t>
      </w:r>
    </w:p>
    <w:p w14:paraId="28627EA8">
      <w:pPr>
        <w:spacing w:before="157" w:line="220" w:lineRule="auto"/>
        <w:ind w:left="44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群体工程应附《承包人承揽工程项目一览表》（附件</w:t>
      </w:r>
      <w:r>
        <w:rPr>
          <w:rFonts w:ascii="宋体" w:hAnsi="宋体" w:eastAsia="宋体" w:cs="宋体"/>
          <w:color w:val="auto"/>
          <w:spacing w:val="-23"/>
          <w:sz w:val="21"/>
          <w:szCs w:val="21"/>
          <w:highlight w:val="none"/>
        </w:rPr>
        <w:t xml:space="preserve"> </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w:t>
      </w:r>
    </w:p>
    <w:p w14:paraId="57A17C00">
      <w:pPr>
        <w:spacing w:before="158"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6.</w:t>
      </w:r>
      <w:r>
        <w:rPr>
          <w:rFonts w:ascii="宋体" w:hAnsi="宋体" w:eastAsia="宋体" w:cs="宋体"/>
          <w:color w:val="auto"/>
          <w:spacing w:val="-9"/>
          <w:sz w:val="21"/>
          <w:szCs w:val="21"/>
          <w:highlight w:val="none"/>
        </w:rPr>
        <w:t>工程承包范围：</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72055E05">
      <w:pPr>
        <w:pStyle w:val="5"/>
        <w:tabs>
          <w:tab w:val="left" w:pos="7520"/>
        </w:tabs>
        <w:spacing w:before="170" w:line="241" w:lineRule="exact"/>
        <w:ind w:left="644"/>
        <w:rPr>
          <w:color w:val="auto"/>
          <w:highlight w:val="none"/>
        </w:rPr>
      </w:pPr>
      <w:r>
        <w:rPr>
          <w:color w:val="auto"/>
          <w:highlight w:val="none"/>
          <w:u w:val="single" w:color="auto"/>
        </w:rPr>
        <w:tab/>
      </w:r>
    </w:p>
    <w:p w14:paraId="45CC0CDC">
      <w:pPr>
        <w:spacing w:before="163" w:line="220" w:lineRule="auto"/>
        <w:ind w:left="2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二、合同工期</w:t>
      </w:r>
    </w:p>
    <w:p w14:paraId="7277723C">
      <w:pPr>
        <w:spacing w:before="175" w:line="359" w:lineRule="auto"/>
        <w:ind w:left="44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计划开工日期：</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3"/>
          <w:sz w:val="21"/>
          <w:szCs w:val="21"/>
          <w:highlight w:val="none"/>
        </w:rPr>
        <w:t>日。</w:t>
      </w:r>
    </w:p>
    <w:p w14:paraId="3FB53680">
      <w:pPr>
        <w:spacing w:before="1" w:line="220" w:lineRule="auto"/>
        <w:ind w:left="44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计划竣工日期：</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3"/>
          <w:sz w:val="21"/>
          <w:szCs w:val="21"/>
          <w:highlight w:val="none"/>
        </w:rPr>
        <w:t>日。</w:t>
      </w:r>
    </w:p>
    <w:p w14:paraId="08A8EE08">
      <w:pPr>
        <w:spacing w:before="157" w:line="359" w:lineRule="auto"/>
        <w:ind w:right="4"/>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工期总日历天数：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2"/>
          <w:sz w:val="21"/>
          <w:szCs w:val="21"/>
          <w:highlight w:val="none"/>
        </w:rPr>
        <w:t>天。工期总日历天数与根据前述计划开竣工日期计算的</w:t>
      </w:r>
    </w:p>
    <w:p w14:paraId="5B29B95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工期天数不一致的，</w:t>
      </w:r>
      <w:r>
        <w:rPr>
          <w:rFonts w:ascii="宋体" w:hAnsi="宋体" w:eastAsia="宋体" w:cs="宋体"/>
          <w:color w:val="auto"/>
          <w:spacing w:val="27"/>
          <w:sz w:val="21"/>
          <w:szCs w:val="21"/>
          <w:highlight w:val="none"/>
        </w:rPr>
        <w:t xml:space="preserve"> </w:t>
      </w:r>
      <w:r>
        <w:rPr>
          <w:rFonts w:ascii="宋体" w:hAnsi="宋体" w:eastAsia="宋体" w:cs="宋体"/>
          <w:color w:val="auto"/>
          <w:spacing w:val="-8"/>
          <w:sz w:val="21"/>
          <w:szCs w:val="21"/>
          <w:highlight w:val="none"/>
        </w:rPr>
        <w:t>以工期总日历天数为准。</w:t>
      </w:r>
    </w:p>
    <w:p w14:paraId="7825B696">
      <w:pPr>
        <w:spacing w:before="165" w:line="220" w:lineRule="auto"/>
        <w:ind w:left="14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三、质量标准</w:t>
      </w:r>
    </w:p>
    <w:p w14:paraId="40E95157">
      <w:pPr>
        <w:spacing w:before="172" w:line="366" w:lineRule="auto"/>
        <w:ind w:left="4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工程质量符合</w:t>
      </w:r>
      <w:r>
        <w:rPr>
          <w:rFonts w:ascii="宋体" w:hAnsi="宋体" w:eastAsia="宋体" w:cs="宋体"/>
          <w:color w:val="auto"/>
          <w:spacing w:val="-103"/>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4"/>
          <w:sz w:val="21"/>
          <w:szCs w:val="21"/>
          <w:highlight w:val="none"/>
        </w:rPr>
        <w:t>标准。</w:t>
      </w:r>
    </w:p>
    <w:p w14:paraId="238C6F2B">
      <w:pPr>
        <w:spacing w:before="1" w:line="218" w:lineRule="auto"/>
        <w:ind w:left="15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四、签约合同价与合同价格形式</w:t>
      </w:r>
    </w:p>
    <w:p w14:paraId="5FAC0289">
      <w:pPr>
        <w:spacing w:before="177" w:line="35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1"/>
          <w:sz w:val="21"/>
          <w:szCs w:val="21"/>
          <w:highlight w:val="none"/>
        </w:rPr>
        <w:t>1.</w:t>
      </w:r>
      <w:r>
        <w:rPr>
          <w:rFonts w:ascii="宋体" w:hAnsi="宋体" w:eastAsia="宋体" w:cs="宋体"/>
          <w:color w:val="auto"/>
          <w:spacing w:val="-11"/>
          <w:sz w:val="21"/>
          <w:szCs w:val="21"/>
          <w:highlight w:val="none"/>
        </w:rPr>
        <w:t>签约合同价为：</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p>
    <w:p w14:paraId="29984CBE">
      <w:pPr>
        <w:spacing w:before="1" w:line="219"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人民币（大写）</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9"/>
          <w:sz w:val="21"/>
          <w:szCs w:val="21"/>
          <w:highlight w:val="none"/>
        </w:rPr>
        <w:t xml:space="preserve"> </w:t>
      </w: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宋体" w:hAnsi="宋体" w:eastAsia="宋体" w:cs="宋体"/>
          <w:color w:val="auto"/>
          <w:spacing w:val="-9"/>
          <w:sz w:val="21"/>
          <w:szCs w:val="21"/>
          <w:highlight w:val="none"/>
        </w:rPr>
        <w:t>元</w:t>
      </w:r>
      <w:r>
        <w:rPr>
          <w:rFonts w:ascii="宋体" w:hAnsi="宋体" w:eastAsia="宋体" w:cs="宋体"/>
          <w:color w:val="auto"/>
          <w:spacing w:val="-56"/>
          <w:sz w:val="21"/>
          <w:szCs w:val="21"/>
          <w:highlight w:val="none"/>
        </w:rPr>
        <w:t>）；</w:t>
      </w:r>
    </w:p>
    <w:p w14:paraId="2950EAE4">
      <w:pPr>
        <w:spacing w:before="158" w:line="221" w:lineRule="auto"/>
        <w:ind w:left="4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其中：</w:t>
      </w:r>
    </w:p>
    <w:p w14:paraId="5EC60488">
      <w:pPr>
        <w:spacing w:before="15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）安全文明施工费：</w:t>
      </w:r>
    </w:p>
    <w:p w14:paraId="375E97AB">
      <w:pPr>
        <w:spacing w:before="157" w:line="359"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人民币（大写）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宋体" w:hAnsi="宋体" w:eastAsia="宋体" w:cs="宋体"/>
          <w:color w:val="auto"/>
          <w:spacing w:val="-5"/>
          <w:sz w:val="21"/>
          <w:szCs w:val="21"/>
          <w:highlight w:val="none"/>
        </w:rPr>
        <w:t>元</w:t>
      </w:r>
      <w:r>
        <w:rPr>
          <w:rFonts w:ascii="宋体" w:hAnsi="宋体" w:eastAsia="宋体" w:cs="宋体"/>
          <w:color w:val="auto"/>
          <w:spacing w:val="-54"/>
          <w:w w:val="97"/>
          <w:sz w:val="21"/>
          <w:szCs w:val="21"/>
          <w:highlight w:val="none"/>
        </w:rPr>
        <w:t>）；</w:t>
      </w:r>
    </w:p>
    <w:p w14:paraId="774A2CF5">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）材料和工程设备暂估价金额：</w:t>
      </w:r>
    </w:p>
    <w:p w14:paraId="74EF0235">
      <w:pPr>
        <w:spacing w:before="159" w:line="359" w:lineRule="auto"/>
        <w:ind w:left="4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人民币（大写）</w:t>
      </w:r>
      <w:r>
        <w:rPr>
          <w:rFonts w:ascii="宋体" w:hAnsi="宋体" w:eastAsia="宋体" w:cs="宋体"/>
          <w:color w:val="auto"/>
          <w:spacing w:val="-43"/>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7"/>
          <w:sz w:val="21"/>
          <w:szCs w:val="21"/>
          <w:highlight w:val="none"/>
        </w:rPr>
        <w:t>元</w:t>
      </w:r>
      <w:r>
        <w:rPr>
          <w:rFonts w:ascii="宋体" w:hAnsi="宋体" w:eastAsia="宋体" w:cs="宋体"/>
          <w:color w:val="auto"/>
          <w:spacing w:val="-54"/>
          <w:w w:val="96"/>
          <w:sz w:val="21"/>
          <w:szCs w:val="21"/>
          <w:highlight w:val="none"/>
        </w:rPr>
        <w:t>）；</w:t>
      </w:r>
    </w:p>
    <w:p w14:paraId="46E4399F">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）专业工程暂估价金额：</w:t>
      </w:r>
    </w:p>
    <w:p w14:paraId="4DF649D4">
      <w:pPr>
        <w:spacing w:before="163" w:line="220" w:lineRule="auto"/>
        <w:ind w:left="4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人民币（大写）</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7"/>
          <w:sz w:val="21"/>
          <w:szCs w:val="21"/>
          <w:highlight w:val="none"/>
        </w:rPr>
        <w:t>元</w:t>
      </w:r>
      <w:r>
        <w:rPr>
          <w:rFonts w:ascii="宋体" w:hAnsi="宋体" w:eastAsia="宋体" w:cs="宋体"/>
          <w:color w:val="auto"/>
          <w:spacing w:val="-54"/>
          <w:w w:val="97"/>
          <w:sz w:val="21"/>
          <w:szCs w:val="21"/>
          <w:highlight w:val="none"/>
        </w:rPr>
        <w:t>）；</w:t>
      </w:r>
    </w:p>
    <w:p w14:paraId="27E4553E">
      <w:pPr>
        <w:spacing w:line="220" w:lineRule="auto"/>
        <w:rPr>
          <w:rFonts w:ascii="宋体" w:hAnsi="宋体" w:eastAsia="宋体" w:cs="宋体"/>
          <w:color w:val="auto"/>
          <w:sz w:val="21"/>
          <w:szCs w:val="21"/>
          <w:highlight w:val="none"/>
        </w:rPr>
        <w:sectPr>
          <w:footerReference r:id="rId41" w:type="default"/>
          <w:pgSz w:w="11905" w:h="16839"/>
          <w:pgMar w:top="1375" w:right="1785" w:bottom="1004" w:left="1785" w:header="0" w:footer="828" w:gutter="0"/>
          <w:pgNumType w:fmt="decimal"/>
          <w:cols w:space="720" w:num="1"/>
        </w:sectPr>
      </w:pPr>
    </w:p>
    <w:p w14:paraId="26986A52">
      <w:pPr>
        <w:spacing w:before="4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宋体" w:hAnsi="宋体" w:eastAsia="宋体" w:cs="宋体"/>
          <w:color w:val="auto"/>
          <w:spacing w:val="-5"/>
          <w:sz w:val="21"/>
          <w:szCs w:val="21"/>
          <w:highlight w:val="none"/>
        </w:rPr>
        <w:t>）暂列金额：</w:t>
      </w:r>
    </w:p>
    <w:p w14:paraId="1E9BAAFA">
      <w:pPr>
        <w:spacing w:before="156" w:line="220" w:lineRule="auto"/>
        <w:ind w:left="44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人民币（大写）</w:t>
      </w:r>
      <w:r>
        <w:rPr>
          <w:rFonts w:ascii="宋体" w:hAnsi="宋体" w:eastAsia="宋体" w:cs="宋体"/>
          <w:color w:val="auto"/>
          <w:spacing w:val="-41"/>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20"/>
          <w:sz w:val="21"/>
          <w:szCs w:val="21"/>
          <w:highlight w:val="none"/>
        </w:rPr>
        <w:t xml:space="preserve"> </w:t>
      </w: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12"/>
          <w:sz w:val="21"/>
          <w:szCs w:val="21"/>
          <w:highlight w:val="none"/>
        </w:rPr>
        <w:t>元）。</w:t>
      </w:r>
    </w:p>
    <w:p w14:paraId="03ADD80E">
      <w:pPr>
        <w:spacing w:before="157" w:line="367"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合同价格形式：</w:t>
      </w:r>
      <w:r>
        <w:rPr>
          <w:rFonts w:ascii="宋体" w:hAnsi="宋体" w:eastAsia="宋体" w:cs="宋体"/>
          <w:color w:val="auto"/>
          <w:spacing w:val="-2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
          <w:sz w:val="21"/>
          <w:szCs w:val="21"/>
          <w:highlight w:val="none"/>
        </w:rPr>
        <w:t>。</w:t>
      </w:r>
    </w:p>
    <w:p w14:paraId="5C265D92">
      <w:pPr>
        <w:spacing w:before="1" w:line="218" w:lineRule="auto"/>
        <w:ind w:left="2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五、项目经理</w:t>
      </w:r>
    </w:p>
    <w:p w14:paraId="3C182F48">
      <w:pPr>
        <w:spacing w:before="178" w:line="366"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 xml:space="preserve">承包人项目经理：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1"/>
          <w:sz w:val="21"/>
          <w:szCs w:val="21"/>
          <w:highlight w:val="none"/>
        </w:rPr>
        <w:t>。</w:t>
      </w:r>
    </w:p>
    <w:p w14:paraId="487D0887">
      <w:pPr>
        <w:spacing w:before="1" w:line="218" w:lineRule="auto"/>
        <w:ind w:left="2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六、合同文件构成</w:t>
      </w:r>
    </w:p>
    <w:p w14:paraId="53EE699E">
      <w:pPr>
        <w:spacing w:before="172" w:line="409" w:lineRule="exact"/>
        <w:ind w:left="442"/>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本协议书与下列文件一起构成合同文件：</w:t>
      </w:r>
    </w:p>
    <w:p w14:paraId="7163668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）中标通知书（如果有</w:t>
      </w:r>
      <w:r>
        <w:rPr>
          <w:rFonts w:ascii="宋体" w:hAnsi="宋体" w:eastAsia="宋体" w:cs="宋体"/>
          <w:color w:val="auto"/>
          <w:spacing w:val="-17"/>
          <w:sz w:val="21"/>
          <w:szCs w:val="21"/>
          <w:highlight w:val="none"/>
        </w:rPr>
        <w:t>）；</w:t>
      </w:r>
    </w:p>
    <w:p w14:paraId="495D8673">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w:t>
      </w:r>
      <w:r>
        <w:rPr>
          <w:rFonts w:ascii="Times New Roman" w:hAnsi="Times New Roman" w:eastAsia="Times New Roman" w:cs="Times New Roman"/>
          <w:color w:val="auto"/>
          <w:spacing w:val="-2"/>
          <w:position w:val="15"/>
          <w:sz w:val="21"/>
          <w:szCs w:val="21"/>
          <w:highlight w:val="none"/>
        </w:rPr>
        <w:t>2</w:t>
      </w:r>
      <w:r>
        <w:rPr>
          <w:rFonts w:ascii="宋体" w:hAnsi="宋体" w:eastAsia="宋体" w:cs="宋体"/>
          <w:color w:val="auto"/>
          <w:spacing w:val="-2"/>
          <w:position w:val="15"/>
          <w:sz w:val="21"/>
          <w:szCs w:val="21"/>
          <w:highlight w:val="none"/>
        </w:rPr>
        <w:t>）投标函及其附录（如果有</w:t>
      </w:r>
      <w:r>
        <w:rPr>
          <w:rFonts w:ascii="宋体" w:hAnsi="宋体" w:eastAsia="宋体" w:cs="宋体"/>
          <w:color w:val="auto"/>
          <w:spacing w:val="-53"/>
          <w:position w:val="15"/>
          <w:sz w:val="21"/>
          <w:szCs w:val="21"/>
          <w:highlight w:val="none"/>
        </w:rPr>
        <w:t>）；</w:t>
      </w:r>
    </w:p>
    <w:p w14:paraId="3C6FFBC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）专用合同条款及其附件；</w:t>
      </w:r>
    </w:p>
    <w:p w14:paraId="7C18FD19">
      <w:pPr>
        <w:spacing w:before="158"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宋体" w:hAnsi="宋体" w:eastAsia="宋体" w:cs="宋体"/>
          <w:color w:val="auto"/>
          <w:spacing w:val="-5"/>
          <w:sz w:val="21"/>
          <w:szCs w:val="21"/>
          <w:highlight w:val="none"/>
        </w:rPr>
        <w:t>）通用合同条款；</w:t>
      </w:r>
    </w:p>
    <w:p w14:paraId="506BC874">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）技术标准和要求；</w:t>
      </w:r>
    </w:p>
    <w:p w14:paraId="634C03AE">
      <w:pPr>
        <w:spacing w:before="162" w:line="222"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宋体" w:hAnsi="宋体" w:eastAsia="宋体" w:cs="宋体"/>
          <w:color w:val="auto"/>
          <w:spacing w:val="-8"/>
          <w:sz w:val="21"/>
          <w:szCs w:val="21"/>
          <w:highlight w:val="none"/>
        </w:rPr>
        <w:t>）图纸；</w:t>
      </w:r>
    </w:p>
    <w:p w14:paraId="42F2EA44">
      <w:pPr>
        <w:spacing w:before="155" w:line="408" w:lineRule="exact"/>
        <w:ind w:left="447"/>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w:t>
      </w:r>
      <w:r>
        <w:rPr>
          <w:rFonts w:ascii="Times New Roman" w:hAnsi="Times New Roman" w:eastAsia="Times New Roman" w:cs="Times New Roman"/>
          <w:color w:val="auto"/>
          <w:spacing w:val="-3"/>
          <w:position w:val="15"/>
          <w:sz w:val="21"/>
          <w:szCs w:val="21"/>
          <w:highlight w:val="none"/>
        </w:rPr>
        <w:t>7</w:t>
      </w:r>
      <w:r>
        <w:rPr>
          <w:rFonts w:ascii="宋体" w:hAnsi="宋体" w:eastAsia="宋体" w:cs="宋体"/>
          <w:color w:val="auto"/>
          <w:spacing w:val="-3"/>
          <w:position w:val="15"/>
          <w:sz w:val="21"/>
          <w:szCs w:val="21"/>
          <w:highlight w:val="none"/>
        </w:rPr>
        <w:t>）已标价工程量清单或预算书；</w:t>
      </w:r>
    </w:p>
    <w:p w14:paraId="10348A9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）其他合同文件。</w:t>
      </w:r>
    </w:p>
    <w:p w14:paraId="18C53B7B">
      <w:pPr>
        <w:spacing w:before="157"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在合同订立及履行过程中形成的与合同有关的文件均构成合同文件组成部分。</w:t>
      </w:r>
    </w:p>
    <w:p w14:paraId="47E40A6E">
      <w:pPr>
        <w:spacing w:before="157"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上述各项合同文件包括合同当事人就该项合同文件所作出的补充和修改，属于同一类</w:t>
      </w:r>
    </w:p>
    <w:p w14:paraId="4F9F3AFD">
      <w:pPr>
        <w:spacing w:before="1" w:line="219" w:lineRule="auto"/>
        <w:ind w:left="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内容的文件，应以最新签署的为准。专用合同条款及其附</w:t>
      </w:r>
      <w:r>
        <w:rPr>
          <w:rFonts w:ascii="宋体" w:hAnsi="宋体" w:eastAsia="宋体" w:cs="宋体"/>
          <w:color w:val="auto"/>
          <w:spacing w:val="-2"/>
          <w:sz w:val="21"/>
          <w:szCs w:val="21"/>
          <w:highlight w:val="none"/>
        </w:rPr>
        <w:t>件须经合同当事人签字或盖章。</w:t>
      </w:r>
    </w:p>
    <w:p w14:paraId="50A04386">
      <w:pPr>
        <w:spacing w:before="166" w:line="220" w:lineRule="auto"/>
        <w:ind w:left="18"/>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七、承诺</w:t>
      </w:r>
    </w:p>
    <w:p w14:paraId="17D73094">
      <w:pPr>
        <w:spacing w:before="176" w:line="40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5"/>
          <w:sz w:val="21"/>
          <w:szCs w:val="21"/>
          <w:highlight w:val="none"/>
        </w:rPr>
        <w:t>1.</w:t>
      </w:r>
      <w:r>
        <w:rPr>
          <w:rFonts w:ascii="宋体" w:hAnsi="宋体" w:eastAsia="宋体" w:cs="宋体"/>
          <w:color w:val="auto"/>
          <w:spacing w:val="4"/>
          <w:position w:val="15"/>
          <w:sz w:val="21"/>
          <w:szCs w:val="21"/>
          <w:highlight w:val="none"/>
        </w:rPr>
        <w:t>发包人承诺按照法律规定履行项目审批手续、筹集工程建设资金并按照合</w:t>
      </w:r>
      <w:r>
        <w:rPr>
          <w:rFonts w:ascii="宋体" w:hAnsi="宋体" w:eastAsia="宋体" w:cs="宋体"/>
          <w:color w:val="auto"/>
          <w:spacing w:val="3"/>
          <w:position w:val="15"/>
          <w:sz w:val="21"/>
          <w:szCs w:val="21"/>
          <w:highlight w:val="none"/>
        </w:rPr>
        <w:t>同约定的</w:t>
      </w:r>
    </w:p>
    <w:p w14:paraId="7E62AF27">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期限和方式支付合同价款。</w:t>
      </w:r>
    </w:p>
    <w:p w14:paraId="11424581">
      <w:pPr>
        <w:spacing w:before="159" w:line="40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承包人承诺按照法律规定及合同约定组织完成工程施工，确保工程质量和安全，不</w:t>
      </w:r>
    </w:p>
    <w:p w14:paraId="5C3B1A55">
      <w:pPr>
        <w:spacing w:line="220" w:lineRule="auto"/>
        <w:ind w:left="1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进行转包及违法分包，并在缺陷责任期及保修期内承担相应的工程维修责任。</w:t>
      </w:r>
    </w:p>
    <w:p w14:paraId="75DC96F1">
      <w:pPr>
        <w:spacing w:before="157" w:line="40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3.</w:t>
      </w:r>
      <w:r>
        <w:rPr>
          <w:rFonts w:ascii="宋体" w:hAnsi="宋体" w:eastAsia="宋体" w:cs="宋体"/>
          <w:color w:val="auto"/>
          <w:spacing w:val="2"/>
          <w:position w:val="15"/>
          <w:sz w:val="21"/>
          <w:szCs w:val="21"/>
          <w:highlight w:val="none"/>
        </w:rPr>
        <w:t>发包人和承包人通过招投标形式签订合同</w:t>
      </w:r>
      <w:r>
        <w:rPr>
          <w:rFonts w:ascii="宋体" w:hAnsi="宋体" w:eastAsia="宋体" w:cs="宋体"/>
          <w:color w:val="auto"/>
          <w:spacing w:val="1"/>
          <w:position w:val="15"/>
          <w:sz w:val="21"/>
          <w:szCs w:val="21"/>
          <w:highlight w:val="none"/>
        </w:rPr>
        <w:t>的， 双方理解并承诺不再就同一工程另行</w:t>
      </w:r>
    </w:p>
    <w:p w14:paraId="067DB30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签订与合同实质性内容相背离的协议。</w:t>
      </w:r>
    </w:p>
    <w:p w14:paraId="1E018F99">
      <w:pPr>
        <w:spacing w:before="165" w:line="220" w:lineRule="auto"/>
        <w:ind w:left="19"/>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八、词语含义</w:t>
      </w:r>
    </w:p>
    <w:p w14:paraId="043DECF9">
      <w:pPr>
        <w:spacing w:before="171" w:line="422" w:lineRule="exact"/>
        <w:ind w:left="442"/>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本协议书中词语含义与第二部分通用合同条款中赋予</w:t>
      </w:r>
      <w:r>
        <w:rPr>
          <w:rFonts w:ascii="宋体" w:hAnsi="宋体" w:eastAsia="宋体" w:cs="宋体"/>
          <w:color w:val="auto"/>
          <w:spacing w:val="-1"/>
          <w:position w:val="16"/>
          <w:sz w:val="21"/>
          <w:szCs w:val="21"/>
          <w:highlight w:val="none"/>
        </w:rPr>
        <w:t>的含义相同。</w:t>
      </w:r>
    </w:p>
    <w:p w14:paraId="7DB45B17">
      <w:pPr>
        <w:spacing w:line="220" w:lineRule="auto"/>
        <w:ind w:left="2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九、签订时间</w:t>
      </w:r>
    </w:p>
    <w:p w14:paraId="48218BBF">
      <w:pPr>
        <w:spacing w:before="172" w:line="366"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本合同于</w:t>
      </w:r>
      <w:r>
        <w:rPr>
          <w:rFonts w:ascii="宋体" w:hAnsi="宋体" w:eastAsia="宋体" w:cs="宋体"/>
          <w:color w:val="auto"/>
          <w:spacing w:val="-52"/>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9"/>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9"/>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9"/>
          <w:sz w:val="21"/>
          <w:szCs w:val="21"/>
          <w:highlight w:val="none"/>
        </w:rPr>
        <w:t>日签订。</w:t>
      </w:r>
    </w:p>
    <w:p w14:paraId="31EBEF8F">
      <w:pPr>
        <w:spacing w:line="220"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十、签订地点</w:t>
      </w:r>
    </w:p>
    <w:p w14:paraId="59200DE2">
      <w:pPr>
        <w:spacing w:before="171" w:line="366"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本合同在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签订。</w:t>
      </w:r>
    </w:p>
    <w:p w14:paraId="08EAB686">
      <w:pPr>
        <w:spacing w:before="1" w:line="218"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十一、补充协议</w:t>
      </w:r>
    </w:p>
    <w:p w14:paraId="7BF4A727">
      <w:pPr>
        <w:spacing w:before="177" w:line="221"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合同未尽事宜，合同当事人另行签订补充协议， 补充协议是合同的组成部分。</w:t>
      </w:r>
    </w:p>
    <w:p w14:paraId="70D916B2">
      <w:pPr>
        <w:spacing w:line="221" w:lineRule="auto"/>
        <w:rPr>
          <w:rFonts w:ascii="宋体" w:hAnsi="宋体" w:eastAsia="宋体" w:cs="宋体"/>
          <w:color w:val="auto"/>
          <w:sz w:val="21"/>
          <w:szCs w:val="21"/>
          <w:highlight w:val="none"/>
        </w:rPr>
        <w:sectPr>
          <w:footerReference r:id="rId42" w:type="default"/>
          <w:pgSz w:w="11905" w:h="16839"/>
          <w:pgMar w:top="1427" w:right="1785" w:bottom="1004" w:left="1785" w:header="0" w:footer="828" w:gutter="0"/>
          <w:pgNumType w:fmt="decimal"/>
          <w:cols w:space="720" w:num="1"/>
        </w:sectPr>
      </w:pPr>
    </w:p>
    <w:p w14:paraId="75C2E536">
      <w:pPr>
        <w:spacing w:before="48" w:line="218"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十二、合同生效</w:t>
      </w:r>
    </w:p>
    <w:p w14:paraId="5DF7FE63">
      <w:pPr>
        <w:spacing w:before="173" w:line="366"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本合同自</w:t>
      </w:r>
      <w:r>
        <w:rPr>
          <w:rFonts w:ascii="宋体" w:hAnsi="宋体" w:eastAsia="宋体" w:cs="宋体"/>
          <w:color w:val="auto"/>
          <w:spacing w:val="-10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rPr>
        <w:t>生效。</w:t>
      </w:r>
    </w:p>
    <w:p w14:paraId="3177899D">
      <w:pPr>
        <w:spacing w:line="219"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十三、合同份数</w:t>
      </w:r>
    </w:p>
    <w:p w14:paraId="509DA37A">
      <w:pPr>
        <w:spacing w:before="176" w:line="220"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本合同一式</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4"/>
          <w:sz w:val="21"/>
          <w:szCs w:val="21"/>
          <w:highlight w:val="none"/>
        </w:rPr>
        <w:t>份，</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rPr>
        <w:t>均具有同等法律效力，发包人执</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1"/>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4"/>
          <w:sz w:val="21"/>
          <w:szCs w:val="21"/>
          <w:highlight w:val="none"/>
        </w:rPr>
        <w:t>份，承包人执</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4"/>
          <w:sz w:val="21"/>
          <w:szCs w:val="21"/>
          <w:highlight w:val="none"/>
        </w:rPr>
        <w:t>份。</w:t>
      </w:r>
    </w:p>
    <w:p w14:paraId="3852004E">
      <w:pPr>
        <w:pStyle w:val="5"/>
        <w:spacing w:line="256" w:lineRule="auto"/>
        <w:rPr>
          <w:color w:val="auto"/>
          <w:highlight w:val="none"/>
        </w:rPr>
      </w:pPr>
    </w:p>
    <w:p w14:paraId="461F8041">
      <w:pPr>
        <w:pStyle w:val="5"/>
        <w:spacing w:line="256" w:lineRule="auto"/>
        <w:rPr>
          <w:color w:val="auto"/>
          <w:highlight w:val="none"/>
        </w:rPr>
      </w:pPr>
    </w:p>
    <w:p w14:paraId="5AD16781">
      <w:pPr>
        <w:pStyle w:val="5"/>
        <w:spacing w:line="256" w:lineRule="auto"/>
        <w:rPr>
          <w:color w:val="auto"/>
          <w:highlight w:val="none"/>
        </w:rPr>
      </w:pPr>
    </w:p>
    <w:p w14:paraId="2B12152E">
      <w:pPr>
        <w:pStyle w:val="5"/>
        <w:spacing w:line="257" w:lineRule="auto"/>
        <w:rPr>
          <w:color w:val="auto"/>
          <w:highlight w:val="none"/>
        </w:rPr>
      </w:pPr>
    </w:p>
    <w:p w14:paraId="65165B24">
      <w:pPr>
        <w:pStyle w:val="5"/>
        <w:spacing w:line="257" w:lineRule="auto"/>
        <w:rPr>
          <w:color w:val="auto"/>
          <w:highlight w:val="none"/>
        </w:rPr>
      </w:pPr>
    </w:p>
    <w:p w14:paraId="0970CA9A">
      <w:pPr>
        <w:pStyle w:val="5"/>
        <w:spacing w:line="257" w:lineRule="auto"/>
        <w:rPr>
          <w:color w:val="auto"/>
          <w:highlight w:val="none"/>
        </w:rPr>
      </w:pPr>
    </w:p>
    <w:p w14:paraId="25F0C66C">
      <w:pPr>
        <w:pStyle w:val="5"/>
        <w:spacing w:line="257" w:lineRule="auto"/>
        <w:rPr>
          <w:color w:val="auto"/>
          <w:highlight w:val="none"/>
        </w:rPr>
      </w:pPr>
    </w:p>
    <w:p w14:paraId="3CAD13CE">
      <w:pPr>
        <w:pStyle w:val="5"/>
        <w:spacing w:line="257" w:lineRule="auto"/>
        <w:rPr>
          <w:color w:val="auto"/>
          <w:highlight w:val="none"/>
        </w:rPr>
      </w:pPr>
    </w:p>
    <w:p w14:paraId="20DF5DCF">
      <w:pPr>
        <w:pStyle w:val="5"/>
        <w:spacing w:line="257" w:lineRule="auto"/>
        <w:rPr>
          <w:color w:val="auto"/>
          <w:highlight w:val="none"/>
        </w:rPr>
      </w:pPr>
    </w:p>
    <w:p w14:paraId="43068052">
      <w:pPr>
        <w:pStyle w:val="5"/>
        <w:spacing w:line="257" w:lineRule="auto"/>
        <w:rPr>
          <w:color w:val="auto"/>
          <w:highlight w:val="none"/>
        </w:rPr>
      </w:pPr>
    </w:p>
    <w:p w14:paraId="40A22B35">
      <w:pPr>
        <w:pStyle w:val="5"/>
        <w:spacing w:line="257" w:lineRule="auto"/>
        <w:rPr>
          <w:color w:val="auto"/>
          <w:highlight w:val="none"/>
        </w:rPr>
      </w:pPr>
    </w:p>
    <w:p w14:paraId="1923F3B0">
      <w:pPr>
        <w:pStyle w:val="5"/>
        <w:spacing w:line="257" w:lineRule="auto"/>
        <w:rPr>
          <w:color w:val="auto"/>
          <w:highlight w:val="none"/>
        </w:rPr>
      </w:pPr>
    </w:p>
    <w:p w14:paraId="51B457ED">
      <w:pPr>
        <w:pStyle w:val="5"/>
        <w:spacing w:line="257" w:lineRule="auto"/>
        <w:rPr>
          <w:color w:val="auto"/>
          <w:highlight w:val="none"/>
        </w:rPr>
      </w:pPr>
    </w:p>
    <w:p w14:paraId="01635646">
      <w:pPr>
        <w:spacing w:before="69" w:line="220" w:lineRule="auto"/>
        <w:ind w:left="44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发包人</w:t>
      </w:r>
      <w:r>
        <w:rPr>
          <w:rFonts w:ascii="宋体" w:hAnsi="宋体" w:eastAsia="宋体" w:cs="宋体"/>
          <w:color w:val="auto"/>
          <w:spacing w:val="-13"/>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5"/>
          <w:sz w:val="21"/>
          <w:szCs w:val="21"/>
          <w:highlight w:val="none"/>
        </w:rPr>
        <w:t>公章）</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承包人</w:t>
      </w:r>
      <w:r>
        <w:rPr>
          <w:rFonts w:ascii="宋体" w:hAnsi="宋体" w:eastAsia="宋体" w:cs="宋体"/>
          <w:color w:val="auto"/>
          <w:spacing w:val="-13"/>
          <w:sz w:val="21"/>
          <w:szCs w:val="21"/>
          <w:highlight w:val="none"/>
        </w:rPr>
        <w:t>：</w:t>
      </w:r>
      <w:r>
        <w:rPr>
          <w:rFonts w:ascii="宋体" w:hAnsi="宋体" w:eastAsia="宋体" w:cs="宋体"/>
          <w:color w:val="auto"/>
          <w:spacing w:val="55"/>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5"/>
          <w:sz w:val="21"/>
          <w:szCs w:val="21"/>
          <w:highlight w:val="none"/>
        </w:rPr>
        <w:t>公章）</w:t>
      </w:r>
    </w:p>
    <w:p w14:paraId="524CF8F2">
      <w:pPr>
        <w:spacing w:before="20"/>
        <w:rPr>
          <w:color w:val="auto"/>
          <w:highlight w:val="none"/>
        </w:rPr>
      </w:pPr>
    </w:p>
    <w:p w14:paraId="6E836AEF">
      <w:pPr>
        <w:spacing w:before="20"/>
        <w:rPr>
          <w:color w:val="auto"/>
          <w:highlight w:val="none"/>
        </w:rPr>
      </w:pPr>
    </w:p>
    <w:p w14:paraId="7C4A4816">
      <w:pPr>
        <w:rPr>
          <w:color w:val="auto"/>
          <w:highlight w:val="none"/>
        </w:rPr>
        <w:sectPr>
          <w:footerReference r:id="rId43" w:type="default"/>
          <w:pgSz w:w="11905" w:h="16839"/>
          <w:pgMar w:top="1431" w:right="1785" w:bottom="1004" w:left="1785" w:header="0" w:footer="828" w:gutter="0"/>
          <w:pgNumType w:fmt="decimal"/>
          <w:cols w:equalWidth="0" w:num="1">
            <w:col w:w="8333"/>
          </w:cols>
        </w:sectPr>
      </w:pPr>
    </w:p>
    <w:p w14:paraId="7FC26990">
      <w:pPr>
        <w:spacing w:before="43" w:line="408" w:lineRule="exact"/>
        <w:ind w:left="442"/>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法定代表人或其委托代理人：</w:t>
      </w:r>
    </w:p>
    <w:p w14:paraId="43EA6F64">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（签字）</w:t>
      </w:r>
    </w:p>
    <w:p w14:paraId="079D672A">
      <w:pPr>
        <w:pStyle w:val="5"/>
        <w:spacing w:line="446" w:lineRule="auto"/>
        <w:rPr>
          <w:color w:val="auto"/>
          <w:highlight w:val="none"/>
        </w:rPr>
      </w:pPr>
    </w:p>
    <w:p w14:paraId="3E974D4E">
      <w:pPr>
        <w:spacing w:before="69" w:line="413" w:lineRule="exact"/>
        <w:ind w:left="443"/>
        <w:rPr>
          <w:rFonts w:ascii="宋体" w:hAnsi="宋体" w:eastAsia="宋体" w:cs="宋体"/>
          <w:color w:val="auto"/>
          <w:sz w:val="21"/>
          <w:szCs w:val="21"/>
          <w:highlight w:val="none"/>
        </w:rPr>
      </w:pPr>
      <w:r>
        <w:rPr>
          <w:rFonts w:ascii="宋体" w:hAnsi="宋体" w:eastAsia="宋体" w:cs="宋体"/>
          <w:color w:val="auto"/>
          <w:spacing w:val="-5"/>
          <w:position w:val="15"/>
          <w:sz w:val="21"/>
          <w:szCs w:val="21"/>
          <w:highlight w:val="none"/>
        </w:rPr>
        <w:t>组织机构代码：</w:t>
      </w:r>
    </w:p>
    <w:p w14:paraId="51A70453">
      <w:pPr>
        <w:spacing w:before="1" w:line="229" w:lineRule="auto"/>
        <w:ind w:left="44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w:t>
      </w:r>
      <w:r>
        <w:rPr>
          <w:rFonts w:ascii="宋体" w:hAnsi="宋体" w:eastAsia="宋体" w:cs="宋体"/>
          <w:color w:val="auto"/>
          <w:spacing w:val="9"/>
          <w:sz w:val="21"/>
          <w:szCs w:val="21"/>
          <w:highlight w:val="none"/>
        </w:rPr>
        <w:t xml:space="preserve"> </w:t>
      </w:r>
      <w:r>
        <w:rPr>
          <w:rFonts w:ascii="宋体" w:hAnsi="宋体" w:eastAsia="宋体" w:cs="宋体"/>
          <w:color w:val="auto"/>
          <w:spacing w:val="-12"/>
          <w:sz w:val="21"/>
          <w:szCs w:val="21"/>
          <w:highlight w:val="none"/>
        </w:rPr>
        <w:t>址：</w:t>
      </w:r>
    </w:p>
    <w:p w14:paraId="0647EC27">
      <w:pPr>
        <w:spacing w:before="146" w:line="221" w:lineRule="auto"/>
        <w:ind w:left="45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邮政编码：</w:t>
      </w:r>
    </w:p>
    <w:p w14:paraId="7CE0B1FC">
      <w:pPr>
        <w:spacing w:before="157" w:line="408" w:lineRule="exact"/>
        <w:ind w:left="44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法定代表人：</w:t>
      </w:r>
    </w:p>
    <w:p w14:paraId="0DAED001">
      <w:pPr>
        <w:spacing w:before="1" w:line="220"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w:t>
      </w:r>
    </w:p>
    <w:p w14:paraId="2D2A666F">
      <w:pPr>
        <w:spacing w:before="157" w:line="223"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8"/>
          <w:sz w:val="21"/>
          <w:szCs w:val="21"/>
          <w:highlight w:val="none"/>
        </w:rPr>
        <w:t xml:space="preserve"> </w:t>
      </w:r>
      <w:r>
        <w:rPr>
          <w:rFonts w:ascii="宋体" w:hAnsi="宋体" w:eastAsia="宋体" w:cs="宋体"/>
          <w:color w:val="auto"/>
          <w:spacing w:val="-20"/>
          <w:sz w:val="21"/>
          <w:szCs w:val="21"/>
          <w:highlight w:val="none"/>
        </w:rPr>
        <w:t>话：</w:t>
      </w:r>
    </w:p>
    <w:p w14:paraId="1E81266B">
      <w:pPr>
        <w:spacing w:before="154"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12"/>
          <w:sz w:val="21"/>
          <w:szCs w:val="21"/>
          <w:highlight w:val="none"/>
        </w:rPr>
        <w:t xml:space="preserve"> </w:t>
      </w:r>
      <w:r>
        <w:rPr>
          <w:rFonts w:ascii="宋体" w:hAnsi="宋体" w:eastAsia="宋体" w:cs="宋体"/>
          <w:color w:val="auto"/>
          <w:spacing w:val="-12"/>
          <w:sz w:val="21"/>
          <w:szCs w:val="21"/>
          <w:highlight w:val="none"/>
        </w:rPr>
        <w:t>真：</w:t>
      </w:r>
    </w:p>
    <w:p w14:paraId="18D7D64D">
      <w:pPr>
        <w:spacing w:before="159" w:line="408" w:lineRule="exact"/>
        <w:ind w:left="465"/>
        <w:rPr>
          <w:rFonts w:ascii="宋体" w:hAnsi="宋体" w:eastAsia="宋体" w:cs="宋体"/>
          <w:color w:val="auto"/>
          <w:sz w:val="21"/>
          <w:szCs w:val="21"/>
          <w:highlight w:val="none"/>
        </w:rPr>
      </w:pPr>
      <w:r>
        <w:rPr>
          <w:rFonts w:ascii="宋体" w:hAnsi="宋体" w:eastAsia="宋体" w:cs="宋体"/>
          <w:color w:val="auto"/>
          <w:spacing w:val="-13"/>
          <w:position w:val="15"/>
          <w:sz w:val="21"/>
          <w:szCs w:val="21"/>
          <w:highlight w:val="none"/>
        </w:rPr>
        <w:t>电子信箱：</w:t>
      </w:r>
    </w:p>
    <w:p w14:paraId="40178842">
      <w:pPr>
        <w:spacing w:line="221"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开户银行：</w:t>
      </w:r>
    </w:p>
    <w:p w14:paraId="0F25AC4D">
      <w:pPr>
        <w:spacing w:before="156" w:line="186" w:lineRule="auto"/>
        <w:ind w:left="444"/>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账</w:t>
      </w:r>
      <w:r>
        <w:rPr>
          <w:rFonts w:ascii="宋体" w:hAnsi="宋体" w:eastAsia="宋体" w:cs="宋体"/>
          <w:color w:val="auto"/>
          <w:spacing w:val="14"/>
          <w:sz w:val="21"/>
          <w:szCs w:val="21"/>
          <w:highlight w:val="none"/>
        </w:rPr>
        <w:t xml:space="preserve"> </w:t>
      </w:r>
      <w:r>
        <w:rPr>
          <w:rFonts w:ascii="宋体" w:hAnsi="宋体" w:eastAsia="宋体" w:cs="宋体"/>
          <w:color w:val="auto"/>
          <w:spacing w:val="-14"/>
          <w:sz w:val="21"/>
          <w:szCs w:val="21"/>
          <w:highlight w:val="none"/>
        </w:rPr>
        <w:t>号：</w:t>
      </w:r>
    </w:p>
    <w:p w14:paraId="3D4A5EC7">
      <w:pPr>
        <w:pStyle w:val="5"/>
        <w:spacing w:line="14" w:lineRule="auto"/>
        <w:rPr>
          <w:color w:val="auto"/>
          <w:sz w:val="2"/>
          <w:highlight w:val="none"/>
        </w:rPr>
      </w:pPr>
      <w:r>
        <w:rPr>
          <w:color w:val="auto"/>
          <w:sz w:val="2"/>
          <w:szCs w:val="2"/>
          <w:highlight w:val="none"/>
        </w:rPr>
        <w:br w:type="column"/>
      </w:r>
    </w:p>
    <w:p w14:paraId="77716952">
      <w:pPr>
        <w:spacing w:before="41" w:line="408" w:lineRule="exact"/>
        <w:ind w:left="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法定代表人或其委托代理人：</w:t>
      </w:r>
    </w:p>
    <w:p w14:paraId="7C7BC017">
      <w:pPr>
        <w:spacing w:before="1" w:line="220" w:lineRule="auto"/>
        <w:ind w:left="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（签字）</w:t>
      </w:r>
    </w:p>
    <w:p w14:paraId="2C8206C2">
      <w:pPr>
        <w:pStyle w:val="5"/>
        <w:spacing w:line="446" w:lineRule="auto"/>
        <w:rPr>
          <w:color w:val="auto"/>
          <w:highlight w:val="none"/>
        </w:rPr>
      </w:pPr>
    </w:p>
    <w:p w14:paraId="505321AE">
      <w:pPr>
        <w:spacing w:before="69" w:line="412" w:lineRule="exact"/>
        <w:ind w:left="4"/>
        <w:rPr>
          <w:rFonts w:ascii="宋体" w:hAnsi="宋体" w:eastAsia="宋体" w:cs="宋体"/>
          <w:color w:val="auto"/>
          <w:sz w:val="21"/>
          <w:szCs w:val="21"/>
          <w:highlight w:val="none"/>
        </w:rPr>
      </w:pPr>
      <w:r>
        <w:rPr>
          <w:rFonts w:ascii="宋体" w:hAnsi="宋体" w:eastAsia="宋体" w:cs="宋体"/>
          <w:color w:val="auto"/>
          <w:spacing w:val="-7"/>
          <w:position w:val="15"/>
          <w:sz w:val="21"/>
          <w:szCs w:val="21"/>
          <w:highlight w:val="none"/>
        </w:rPr>
        <w:t>组织机构代码：</w:t>
      </w:r>
    </w:p>
    <w:p w14:paraId="146D57A4">
      <w:pPr>
        <w:spacing w:before="1" w:line="229" w:lineRule="auto"/>
        <w:ind w:left="54"/>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13"/>
          <w:sz w:val="21"/>
          <w:szCs w:val="21"/>
          <w:highlight w:val="none"/>
        </w:rPr>
        <w:t>址：</w:t>
      </w:r>
    </w:p>
    <w:p w14:paraId="2DB28A7A">
      <w:pPr>
        <w:spacing w:before="147" w:line="408" w:lineRule="exact"/>
        <w:ind w:left="70"/>
        <w:rPr>
          <w:rFonts w:ascii="宋体" w:hAnsi="宋体" w:eastAsia="宋体" w:cs="宋体"/>
          <w:color w:val="auto"/>
          <w:sz w:val="21"/>
          <w:szCs w:val="21"/>
          <w:highlight w:val="none"/>
        </w:rPr>
      </w:pPr>
      <w:r>
        <w:rPr>
          <w:rFonts w:ascii="宋体" w:hAnsi="宋体" w:eastAsia="宋体" w:cs="宋体"/>
          <w:color w:val="auto"/>
          <w:spacing w:val="-11"/>
          <w:position w:val="15"/>
          <w:sz w:val="21"/>
          <w:szCs w:val="21"/>
          <w:highlight w:val="none"/>
        </w:rPr>
        <w:t>邮政编码：</w:t>
      </w:r>
    </w:p>
    <w:p w14:paraId="59FCC4A2">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法定代表人：</w:t>
      </w:r>
    </w:p>
    <w:p w14:paraId="2D9DA946">
      <w:pPr>
        <w:spacing w:before="157" w:line="221" w:lineRule="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委托代理人：</w:t>
      </w:r>
    </w:p>
    <w:p w14:paraId="243D0C97">
      <w:pPr>
        <w:spacing w:before="156" w:line="223" w:lineRule="auto"/>
        <w:ind w:left="26"/>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电</w:t>
      </w:r>
      <w:r>
        <w:rPr>
          <w:rFonts w:ascii="宋体" w:hAnsi="宋体" w:eastAsia="宋体" w:cs="宋体"/>
          <w:color w:val="auto"/>
          <w:spacing w:val="4"/>
          <w:sz w:val="21"/>
          <w:szCs w:val="21"/>
          <w:highlight w:val="none"/>
        </w:rPr>
        <w:t xml:space="preserve"> </w:t>
      </w:r>
      <w:r>
        <w:rPr>
          <w:rFonts w:ascii="宋体" w:hAnsi="宋体" w:eastAsia="宋体" w:cs="宋体"/>
          <w:color w:val="auto"/>
          <w:spacing w:val="-21"/>
          <w:sz w:val="21"/>
          <w:szCs w:val="21"/>
          <w:highlight w:val="none"/>
        </w:rPr>
        <w:t>话：</w:t>
      </w:r>
    </w:p>
    <w:p w14:paraId="7E262687">
      <w:pPr>
        <w:spacing w:before="155" w:line="220"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传</w:t>
      </w:r>
      <w:r>
        <w:rPr>
          <w:rFonts w:ascii="宋体" w:hAnsi="宋体" w:eastAsia="宋体" w:cs="宋体"/>
          <w:color w:val="auto"/>
          <w:spacing w:val="8"/>
          <w:sz w:val="21"/>
          <w:szCs w:val="21"/>
          <w:highlight w:val="none"/>
        </w:rPr>
        <w:t xml:space="preserve"> </w:t>
      </w:r>
      <w:r>
        <w:rPr>
          <w:rFonts w:ascii="宋体" w:hAnsi="宋体" w:eastAsia="宋体" w:cs="宋体"/>
          <w:color w:val="auto"/>
          <w:spacing w:val="-13"/>
          <w:sz w:val="21"/>
          <w:szCs w:val="21"/>
          <w:highlight w:val="none"/>
        </w:rPr>
        <w:t>真：</w:t>
      </w:r>
    </w:p>
    <w:p w14:paraId="5EFAE0D8">
      <w:pPr>
        <w:spacing w:before="158" w:line="408" w:lineRule="exact"/>
        <w:ind w:left="26"/>
        <w:rPr>
          <w:rFonts w:ascii="宋体" w:hAnsi="宋体" w:eastAsia="宋体" w:cs="宋体"/>
          <w:color w:val="auto"/>
          <w:sz w:val="21"/>
          <w:szCs w:val="21"/>
          <w:highlight w:val="none"/>
        </w:rPr>
      </w:pPr>
      <w:r>
        <w:rPr>
          <w:rFonts w:ascii="宋体" w:hAnsi="宋体" w:eastAsia="宋体" w:cs="宋体"/>
          <w:color w:val="auto"/>
          <w:spacing w:val="-13"/>
          <w:position w:val="15"/>
          <w:sz w:val="21"/>
          <w:szCs w:val="21"/>
          <w:highlight w:val="none"/>
        </w:rPr>
        <w:t>电子信箱：</w:t>
      </w:r>
    </w:p>
    <w:p w14:paraId="3B33A87F">
      <w:pPr>
        <w:spacing w:before="1" w:line="221" w:lineRule="auto"/>
        <w:ind w:left="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开户银行：</w:t>
      </w:r>
    </w:p>
    <w:p w14:paraId="2043E6CD">
      <w:pPr>
        <w:spacing w:before="156" w:line="186" w:lineRule="auto"/>
        <w:ind w:left="5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账</w:t>
      </w:r>
      <w:r>
        <w:rPr>
          <w:rFonts w:ascii="宋体" w:hAnsi="宋体" w:eastAsia="宋体" w:cs="宋体"/>
          <w:color w:val="auto"/>
          <w:spacing w:val="10"/>
          <w:sz w:val="21"/>
          <w:szCs w:val="21"/>
          <w:highlight w:val="none"/>
        </w:rPr>
        <w:t xml:space="preserve"> </w:t>
      </w:r>
      <w:r>
        <w:rPr>
          <w:rFonts w:ascii="宋体" w:hAnsi="宋体" w:eastAsia="宋体" w:cs="宋体"/>
          <w:color w:val="auto"/>
          <w:spacing w:val="-15"/>
          <w:sz w:val="21"/>
          <w:szCs w:val="21"/>
          <w:highlight w:val="none"/>
        </w:rPr>
        <w:t>号：</w:t>
      </w:r>
    </w:p>
    <w:p w14:paraId="3B4C2A64">
      <w:pPr>
        <w:spacing w:line="186" w:lineRule="auto"/>
        <w:rPr>
          <w:rFonts w:ascii="宋体" w:hAnsi="宋体" w:eastAsia="宋体" w:cs="宋体"/>
          <w:color w:val="auto"/>
          <w:sz w:val="21"/>
          <w:szCs w:val="21"/>
          <w:highlight w:val="none"/>
        </w:rPr>
        <w:sectPr>
          <w:type w:val="continuous"/>
          <w:pgSz w:w="11905" w:h="16839"/>
          <w:pgMar w:top="1431" w:right="1785" w:bottom="1004" w:left="1785" w:header="0" w:footer="828" w:gutter="0"/>
          <w:pgNumType w:fmt="decimal"/>
          <w:cols w:equalWidth="0" w:num="2">
            <w:col w:w="4546" w:space="100"/>
            <w:col w:w="3688"/>
          </w:cols>
        </w:sectPr>
      </w:pPr>
    </w:p>
    <w:p w14:paraId="64D8D3E3">
      <w:pPr>
        <w:spacing w:before="71" w:line="219" w:lineRule="auto"/>
        <w:ind w:left="2333"/>
        <w:outlineLvl w:val="1"/>
        <w:rPr>
          <w:rFonts w:ascii="黑体" w:hAnsi="黑体" w:eastAsia="黑体" w:cs="黑体"/>
          <w:color w:val="auto"/>
          <w:sz w:val="36"/>
          <w:szCs w:val="36"/>
          <w:highlight w:val="none"/>
        </w:rPr>
      </w:pPr>
      <w:bookmarkStart w:id="634" w:name="_Toc10224"/>
      <w:bookmarkStart w:id="635" w:name="_Toc15685"/>
      <w:bookmarkStart w:id="636" w:name="_Toc1361"/>
      <w:bookmarkStart w:id="637" w:name="_Toc21012"/>
      <w:r>
        <w:rPr>
          <w:rFonts w:ascii="黑体" w:hAnsi="黑体" w:eastAsia="黑体" w:cs="黑体"/>
          <w:color w:val="auto"/>
          <w:spacing w:val="-3"/>
          <w:sz w:val="36"/>
          <w:szCs w:val="36"/>
          <w:highlight w:val="none"/>
        </w:rPr>
        <w:t>第二部分</w:t>
      </w:r>
      <w:r>
        <w:rPr>
          <w:rFonts w:ascii="黑体" w:hAnsi="黑体" w:eastAsia="黑体" w:cs="黑体"/>
          <w:color w:val="auto"/>
          <w:spacing w:val="-71"/>
          <w:sz w:val="36"/>
          <w:szCs w:val="36"/>
          <w:highlight w:val="none"/>
        </w:rPr>
        <w:t xml:space="preserve"> </w:t>
      </w:r>
      <w:r>
        <w:rPr>
          <w:rFonts w:ascii="黑体" w:hAnsi="黑体" w:eastAsia="黑体" w:cs="黑体"/>
          <w:color w:val="auto"/>
          <w:spacing w:val="-3"/>
          <w:sz w:val="36"/>
          <w:szCs w:val="36"/>
          <w:highlight w:val="none"/>
        </w:rPr>
        <w:t>通用合同条款</w:t>
      </w:r>
      <w:bookmarkEnd w:id="634"/>
      <w:bookmarkEnd w:id="635"/>
      <w:bookmarkEnd w:id="636"/>
      <w:bookmarkEnd w:id="637"/>
    </w:p>
    <w:p w14:paraId="616A27FA">
      <w:pPr>
        <w:spacing w:before="129" w:line="219"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1.一般约定</w:t>
      </w:r>
    </w:p>
    <w:p w14:paraId="665393FB">
      <w:pPr>
        <w:spacing w:before="151" w:line="220"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1.1</w:t>
      </w:r>
      <w:r>
        <w:rPr>
          <w:rFonts w:ascii="黑体" w:hAnsi="黑体" w:eastAsia="黑体" w:cs="黑体"/>
          <w:color w:val="auto"/>
          <w:spacing w:val="-43"/>
          <w:sz w:val="24"/>
          <w:szCs w:val="24"/>
          <w:highlight w:val="none"/>
        </w:rPr>
        <w:t xml:space="preserve"> </w:t>
      </w:r>
      <w:r>
        <w:rPr>
          <w:rFonts w:ascii="黑体" w:hAnsi="黑体" w:eastAsia="黑体" w:cs="黑体"/>
          <w:color w:val="auto"/>
          <w:spacing w:val="-4"/>
          <w:sz w:val="24"/>
          <w:szCs w:val="24"/>
          <w:highlight w:val="none"/>
        </w:rPr>
        <w:t>词语定义与解释</w:t>
      </w:r>
    </w:p>
    <w:p w14:paraId="2A362FD3">
      <w:pPr>
        <w:spacing w:before="127"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合同协议书、通用合同条款、专用合同条款中的下列词语具有本款</w:t>
      </w:r>
      <w:r>
        <w:rPr>
          <w:rFonts w:ascii="宋体" w:hAnsi="宋体" w:eastAsia="宋体" w:cs="宋体"/>
          <w:color w:val="auto"/>
          <w:spacing w:val="-2"/>
          <w:sz w:val="21"/>
          <w:szCs w:val="21"/>
          <w:highlight w:val="none"/>
        </w:rPr>
        <w:t>所赋予的含义：</w:t>
      </w:r>
    </w:p>
    <w:p w14:paraId="597F5C8E">
      <w:pPr>
        <w:spacing w:before="148" w:line="223"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1.1.1</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合同</w:t>
      </w:r>
    </w:p>
    <w:p w14:paraId="0D8E2990">
      <w:pPr>
        <w:spacing w:before="144" w:line="352" w:lineRule="auto"/>
        <w:ind w:left="17" w:right="49" w:firstLine="44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1.1.1.1</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2"/>
          <w:sz w:val="21"/>
          <w:szCs w:val="21"/>
          <w:highlight w:val="none"/>
        </w:rPr>
        <w:t>合同：是指根据法律规定和合同当事人</w:t>
      </w:r>
      <w:r>
        <w:rPr>
          <w:rFonts w:ascii="宋体" w:hAnsi="宋体" w:eastAsia="宋体" w:cs="宋体"/>
          <w:color w:val="auto"/>
          <w:spacing w:val="1"/>
          <w:sz w:val="21"/>
          <w:szCs w:val="21"/>
          <w:highlight w:val="none"/>
        </w:rPr>
        <w:t>约定具有约束力的文件，构成合同的文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件包括合同协议书、中标通知书（如果有）、投标</w:t>
      </w:r>
      <w:r>
        <w:rPr>
          <w:rFonts w:ascii="宋体" w:hAnsi="宋体" w:eastAsia="宋体" w:cs="宋体"/>
          <w:color w:val="auto"/>
          <w:spacing w:val="-3"/>
          <w:sz w:val="21"/>
          <w:szCs w:val="21"/>
          <w:highlight w:val="none"/>
        </w:rPr>
        <w:t>函及其附录（如果有）、专用合同条款及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其附件、通用合同条款、技术标准和要求、图纸、已标价工程量清单或预算书</w:t>
      </w:r>
      <w:r>
        <w:rPr>
          <w:rFonts w:ascii="宋体" w:hAnsi="宋体" w:eastAsia="宋体" w:cs="宋体"/>
          <w:color w:val="auto"/>
          <w:spacing w:val="2"/>
          <w:sz w:val="21"/>
          <w:szCs w:val="21"/>
          <w:highlight w:val="none"/>
        </w:rPr>
        <w:t>以及其他合</w:t>
      </w:r>
    </w:p>
    <w:p w14:paraId="0E3D93A8">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同文件。</w:t>
      </w:r>
    </w:p>
    <w:p w14:paraId="11662ACB">
      <w:pPr>
        <w:spacing w:before="152" w:line="399" w:lineRule="exact"/>
        <w:jc w:val="right"/>
        <w:rPr>
          <w:rFonts w:ascii="Times New Roman" w:hAnsi="Times New Roman" w:eastAsia="Times New Roman" w:cs="Times New Roman"/>
          <w:color w:val="auto"/>
          <w:sz w:val="21"/>
          <w:szCs w:val="21"/>
          <w:highlight w:val="none"/>
        </w:rPr>
      </w:pPr>
      <w:r>
        <w:rPr>
          <w:color w:val="auto"/>
          <w:highlight w:val="none"/>
        </w:rPr>
        <w:fldChar w:fldCharType="begin"/>
      </w:r>
      <w:r>
        <w:rPr>
          <w:color w:val="auto"/>
          <w:highlight w:val="none"/>
        </w:rPr>
        <w:instrText xml:space="preserve"> HYPERLINK "1.1.1.2"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合同协议书： 是指构成合同的由发包人和承包人共同签</w:t>
      </w:r>
      <w:r>
        <w:rPr>
          <w:rFonts w:ascii="宋体" w:hAnsi="宋体" w:eastAsia="宋体" w:cs="宋体"/>
          <w:color w:val="auto"/>
          <w:position w:val="14"/>
          <w:sz w:val="21"/>
          <w:szCs w:val="21"/>
          <w:highlight w:val="none"/>
        </w:rPr>
        <w:t>署的称为</w:t>
      </w:r>
      <w:r>
        <w:rPr>
          <w:rFonts w:ascii="Times New Roman" w:hAnsi="Times New Roman" w:eastAsia="Times New Roman" w:cs="Times New Roman"/>
          <w:color w:val="auto"/>
          <w:position w:val="14"/>
          <w:sz w:val="21"/>
          <w:szCs w:val="21"/>
          <w:highlight w:val="none"/>
        </w:rPr>
        <w:t>“</w:t>
      </w:r>
      <w:r>
        <w:rPr>
          <w:rFonts w:ascii="宋体" w:hAnsi="宋体" w:eastAsia="宋体" w:cs="宋体"/>
          <w:color w:val="auto"/>
          <w:position w:val="14"/>
          <w:sz w:val="21"/>
          <w:szCs w:val="21"/>
          <w:highlight w:val="none"/>
        </w:rPr>
        <w:t>合同协议书</w:t>
      </w:r>
      <w:r>
        <w:rPr>
          <w:rFonts w:ascii="Times New Roman" w:hAnsi="Times New Roman" w:eastAsia="Times New Roman" w:cs="Times New Roman"/>
          <w:color w:val="auto"/>
          <w:position w:val="14"/>
          <w:sz w:val="21"/>
          <w:szCs w:val="21"/>
          <w:highlight w:val="none"/>
        </w:rPr>
        <w:t>”</w:t>
      </w:r>
    </w:p>
    <w:p w14:paraId="6C0417BF">
      <w:pPr>
        <w:spacing w:line="219"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的书面文件。</w:t>
      </w:r>
    </w:p>
    <w:p w14:paraId="448177F8">
      <w:pPr>
        <w:spacing w:before="149"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"1.1.1.3"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1.1.1.3</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4"/>
          <w:sz w:val="21"/>
          <w:szCs w:val="21"/>
          <w:highlight w:val="none"/>
        </w:rPr>
        <w:t>中标通知书： 是指构成合同的由发包人通知承包人中标的书面文</w:t>
      </w:r>
      <w:r>
        <w:rPr>
          <w:rFonts w:ascii="宋体" w:hAnsi="宋体" w:eastAsia="宋体" w:cs="宋体"/>
          <w:color w:val="auto"/>
          <w:spacing w:val="-5"/>
          <w:sz w:val="21"/>
          <w:szCs w:val="21"/>
          <w:highlight w:val="none"/>
        </w:rPr>
        <w:t>件。</w:t>
      </w:r>
    </w:p>
    <w:p w14:paraId="2B68B933">
      <w:pPr>
        <w:spacing w:before="153" w:line="399" w:lineRule="exact"/>
        <w:ind w:right="3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2"/>
          <w:position w:val="14"/>
          <w:sz w:val="21"/>
          <w:szCs w:val="21"/>
          <w:highlight w:val="none"/>
        </w:rPr>
        <w:t xml:space="preserve"> </w:t>
      </w:r>
      <w:r>
        <w:rPr>
          <w:rFonts w:ascii="宋体" w:hAnsi="宋体" w:eastAsia="宋体" w:cs="宋体"/>
          <w:color w:val="auto"/>
          <w:spacing w:val="-1"/>
          <w:position w:val="14"/>
          <w:sz w:val="21"/>
          <w:szCs w:val="21"/>
          <w:highlight w:val="none"/>
        </w:rPr>
        <w:t>投标函： 是指构成合同的由承包人填写并签署的用于投标的称为</w:t>
      </w:r>
      <w:r>
        <w:rPr>
          <w:rFonts w:ascii="Times New Roman" w:hAnsi="Times New Roman" w:eastAsia="Times New Roman" w:cs="Times New Roman"/>
          <w:color w:val="auto"/>
          <w:spacing w:val="-1"/>
          <w:position w:val="14"/>
          <w:sz w:val="21"/>
          <w:szCs w:val="21"/>
          <w:highlight w:val="none"/>
        </w:rPr>
        <w:t>“</w:t>
      </w:r>
      <w:r>
        <w:rPr>
          <w:rFonts w:ascii="宋体" w:hAnsi="宋体" w:eastAsia="宋体" w:cs="宋体"/>
          <w:color w:val="auto"/>
          <w:spacing w:val="-1"/>
          <w:position w:val="14"/>
          <w:sz w:val="21"/>
          <w:szCs w:val="21"/>
          <w:highlight w:val="none"/>
        </w:rPr>
        <w:t>投标函</w:t>
      </w:r>
      <w:r>
        <w:rPr>
          <w:rFonts w:ascii="Times New Roman" w:hAnsi="Times New Roman" w:eastAsia="Times New Roman" w:cs="Times New Roman"/>
          <w:color w:val="auto"/>
          <w:spacing w:val="-1"/>
          <w:position w:val="14"/>
          <w:sz w:val="21"/>
          <w:szCs w:val="21"/>
          <w:highlight w:val="none"/>
        </w:rPr>
        <w:t>”</w:t>
      </w:r>
      <w:r>
        <w:rPr>
          <w:rFonts w:ascii="Times New Roman" w:hAnsi="Times New Roman" w:eastAsia="Times New Roman" w:cs="Times New Roman"/>
          <w:color w:val="auto"/>
          <w:spacing w:val="-29"/>
          <w:position w:val="14"/>
          <w:sz w:val="21"/>
          <w:szCs w:val="21"/>
          <w:highlight w:val="none"/>
        </w:rPr>
        <w:t xml:space="preserve"> </w:t>
      </w:r>
      <w:r>
        <w:rPr>
          <w:rFonts w:ascii="宋体" w:hAnsi="宋体" w:eastAsia="宋体" w:cs="宋体"/>
          <w:color w:val="auto"/>
          <w:spacing w:val="-1"/>
          <w:position w:val="14"/>
          <w:sz w:val="21"/>
          <w:szCs w:val="21"/>
          <w:highlight w:val="none"/>
        </w:rPr>
        <w:t>的文</w:t>
      </w:r>
    </w:p>
    <w:p w14:paraId="4C6FFB96">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件。</w:t>
      </w:r>
    </w:p>
    <w:p w14:paraId="15D35BB6">
      <w:pPr>
        <w:spacing w:before="148"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"1.1.1.5"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1.1.1.5</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投标函附录： 是指构成合同的附在投标函后的称为</w:t>
      </w:r>
      <w:r>
        <w:rPr>
          <w:rFonts w:ascii="Times New Roman" w:hAnsi="Times New Roman" w:eastAsia="Times New Roman" w:cs="Times New Roman"/>
          <w:color w:val="auto"/>
          <w:spacing w:val="-4"/>
          <w:sz w:val="21"/>
          <w:szCs w:val="21"/>
          <w:highlight w:val="none"/>
        </w:rPr>
        <w:t>“</w:t>
      </w:r>
      <w:r>
        <w:rPr>
          <w:rFonts w:ascii="宋体" w:hAnsi="宋体" w:eastAsia="宋体" w:cs="宋体"/>
          <w:color w:val="auto"/>
          <w:spacing w:val="-4"/>
          <w:sz w:val="21"/>
          <w:szCs w:val="21"/>
          <w:highlight w:val="none"/>
        </w:rPr>
        <w:t>投标函附录</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4"/>
          <w:sz w:val="21"/>
          <w:szCs w:val="21"/>
          <w:highlight w:val="none"/>
        </w:rPr>
        <w:t>的文件。</w:t>
      </w:r>
    </w:p>
    <w:p w14:paraId="7F5FDC1C">
      <w:pPr>
        <w:spacing w:before="153" w:line="399"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"1.1.1.6"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技术标准和要求： 是指构成合同的施工应当遵守的或指导施工的国家、行业或</w:t>
      </w:r>
    </w:p>
    <w:p w14:paraId="6E430134">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地方的技术标准和要求，以及合同约定的技术标准和要</w:t>
      </w:r>
      <w:r>
        <w:rPr>
          <w:rFonts w:ascii="宋体" w:hAnsi="宋体" w:eastAsia="宋体" w:cs="宋体"/>
          <w:color w:val="auto"/>
          <w:spacing w:val="-2"/>
          <w:sz w:val="21"/>
          <w:szCs w:val="21"/>
          <w:highlight w:val="none"/>
        </w:rPr>
        <w:t>求。</w:t>
      </w:r>
    </w:p>
    <w:p w14:paraId="76A40A03">
      <w:pPr>
        <w:spacing w:before="149" w:line="352" w:lineRule="auto"/>
        <w:ind w:left="35" w:right="49" w:firstLine="42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"1.1.1.7"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1.1.1.7</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图纸：是指构成合同的图纸， 包括由发包</w:t>
      </w:r>
      <w:r>
        <w:rPr>
          <w:rFonts w:ascii="宋体" w:hAnsi="宋体" w:eastAsia="宋体" w:cs="宋体"/>
          <w:color w:val="auto"/>
          <w:spacing w:val="-2"/>
          <w:sz w:val="21"/>
          <w:szCs w:val="21"/>
          <w:highlight w:val="none"/>
        </w:rPr>
        <w:t>人按照合同约定提供或经发包人批准</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的设计文件、 施工图、 鸟瞰图及模型等，</w:t>
      </w:r>
      <w:r>
        <w:rPr>
          <w:rFonts w:ascii="宋体" w:hAnsi="宋体" w:eastAsia="宋体" w:cs="宋体"/>
          <w:color w:val="auto"/>
          <w:spacing w:val="38"/>
          <w:sz w:val="21"/>
          <w:szCs w:val="21"/>
          <w:highlight w:val="none"/>
        </w:rPr>
        <w:t xml:space="preserve"> </w:t>
      </w:r>
      <w:r>
        <w:rPr>
          <w:rFonts w:ascii="宋体" w:hAnsi="宋体" w:eastAsia="宋体" w:cs="宋体"/>
          <w:color w:val="auto"/>
          <w:spacing w:val="-6"/>
          <w:sz w:val="21"/>
          <w:szCs w:val="21"/>
          <w:highlight w:val="none"/>
        </w:rPr>
        <w:t>以及在合同履行过程中形成的图</w:t>
      </w:r>
      <w:r>
        <w:rPr>
          <w:rFonts w:ascii="宋体" w:hAnsi="宋体" w:eastAsia="宋体" w:cs="宋体"/>
          <w:color w:val="auto"/>
          <w:spacing w:val="-7"/>
          <w:sz w:val="21"/>
          <w:szCs w:val="21"/>
          <w:highlight w:val="none"/>
        </w:rPr>
        <w:t>纸文件。图纸应</w:t>
      </w:r>
    </w:p>
    <w:p w14:paraId="12B6DE6D">
      <w:pPr>
        <w:spacing w:line="220" w:lineRule="auto"/>
        <w:ind w:left="3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当按照法律规定审查合格。</w:t>
      </w:r>
    </w:p>
    <w:p w14:paraId="32595CF8">
      <w:pPr>
        <w:spacing w:before="148" w:line="403"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1"/>
          <w:position w:val="14"/>
          <w:sz w:val="21"/>
          <w:szCs w:val="21"/>
          <w:highlight w:val="none"/>
        </w:rPr>
        <w:t xml:space="preserve">  </w:t>
      </w:r>
      <w:r>
        <w:rPr>
          <w:rFonts w:ascii="宋体" w:hAnsi="宋体" w:eastAsia="宋体" w:cs="宋体"/>
          <w:color w:val="auto"/>
          <w:spacing w:val="1"/>
          <w:position w:val="14"/>
          <w:sz w:val="21"/>
          <w:szCs w:val="21"/>
          <w:highlight w:val="none"/>
        </w:rPr>
        <w:t>已标价工程量清单：是指构成合同的由承包人按照规定的格式和要求填写并标</w:t>
      </w:r>
    </w:p>
    <w:p w14:paraId="26859604">
      <w:pPr>
        <w:spacing w:line="219"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明价格的工程量清单，包括说明和表格。</w:t>
      </w:r>
    </w:p>
    <w:p w14:paraId="322DE5D8">
      <w:pPr>
        <w:spacing w:before="150" w:line="398"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"1.1.1.9"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1.1.1.9</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2"/>
          <w:position w:val="14"/>
          <w:sz w:val="21"/>
          <w:szCs w:val="21"/>
          <w:highlight w:val="none"/>
        </w:rPr>
        <w:t>预算书：是指构成合同的由承包人按</w:t>
      </w:r>
      <w:r>
        <w:rPr>
          <w:rFonts w:ascii="宋体" w:hAnsi="宋体" w:eastAsia="宋体" w:cs="宋体"/>
          <w:color w:val="auto"/>
          <w:spacing w:val="1"/>
          <w:position w:val="14"/>
          <w:sz w:val="21"/>
          <w:szCs w:val="21"/>
          <w:highlight w:val="none"/>
        </w:rPr>
        <w:t>照发包人规定的格式和要求编制的工程预</w:t>
      </w:r>
    </w:p>
    <w:p w14:paraId="40E142B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算文件。</w:t>
      </w:r>
    </w:p>
    <w:p w14:paraId="7885871F">
      <w:pPr>
        <w:spacing w:before="153" w:line="398" w:lineRule="exact"/>
        <w:ind w:right="46"/>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"1.1.1.10"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1.1.1.10</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position w:val="14"/>
          <w:sz w:val="21"/>
          <w:szCs w:val="21"/>
          <w:highlight w:val="none"/>
        </w:rPr>
        <w:t xml:space="preserve"> </w:t>
      </w:r>
      <w:r>
        <w:rPr>
          <w:rFonts w:ascii="宋体" w:hAnsi="宋体" w:eastAsia="宋体" w:cs="宋体"/>
          <w:color w:val="auto"/>
          <w:spacing w:val="-1"/>
          <w:position w:val="14"/>
          <w:sz w:val="21"/>
          <w:szCs w:val="21"/>
          <w:highlight w:val="none"/>
        </w:rPr>
        <w:t>其他合同文件：是指经合同当事人约定的与工程施工有关的具有合同约束力的</w:t>
      </w:r>
    </w:p>
    <w:p w14:paraId="6DC7081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文件或书面协议。合同当事人可以在专用合同条款中进</w:t>
      </w:r>
      <w:r>
        <w:rPr>
          <w:rFonts w:ascii="宋体" w:hAnsi="宋体" w:eastAsia="宋体" w:cs="宋体"/>
          <w:color w:val="auto"/>
          <w:spacing w:val="-2"/>
          <w:sz w:val="21"/>
          <w:szCs w:val="21"/>
          <w:highlight w:val="none"/>
        </w:rPr>
        <w:t>行约定。</w:t>
      </w:r>
    </w:p>
    <w:p w14:paraId="61AFAF52">
      <w:pPr>
        <w:spacing w:before="14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合同当事人及其他相关方</w:t>
      </w:r>
    </w:p>
    <w:p w14:paraId="589CCAD8">
      <w:pPr>
        <w:spacing w:before="151"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"1.1.2.1" </w:instrText>
      </w:r>
      <w:r>
        <w:rPr>
          <w:color w:val="auto"/>
          <w:highlight w:val="none"/>
        </w:rPr>
        <w:fldChar w:fldCharType="separate"/>
      </w:r>
      <w:r>
        <w:rPr>
          <w:rFonts w:ascii="Times New Roman" w:hAnsi="Times New Roman" w:eastAsia="Times New Roman" w:cs="Times New Roman"/>
          <w:color w:val="auto"/>
          <w:spacing w:val="-5"/>
          <w:sz w:val="21"/>
          <w:szCs w:val="21"/>
          <w:highlight w:val="none"/>
        </w:rPr>
        <w:t>1.1.2.1</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宋体" w:hAnsi="宋体" w:eastAsia="宋体" w:cs="宋体"/>
          <w:color w:val="auto"/>
          <w:spacing w:val="-5"/>
          <w:sz w:val="21"/>
          <w:szCs w:val="21"/>
          <w:highlight w:val="none"/>
        </w:rPr>
        <w:t>合同当事人： 是指发包人和（或）承包人。</w:t>
      </w:r>
    </w:p>
    <w:p w14:paraId="4319DFD1">
      <w:pPr>
        <w:spacing w:before="147" w:line="399"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"1.1.2.2"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1.1.2.2</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发包人：是指与承包人签订合同</w:t>
      </w:r>
      <w:r>
        <w:rPr>
          <w:rFonts w:ascii="宋体" w:hAnsi="宋体" w:eastAsia="宋体" w:cs="宋体"/>
          <w:color w:val="auto"/>
          <w:spacing w:val="1"/>
          <w:position w:val="14"/>
          <w:sz w:val="21"/>
          <w:szCs w:val="21"/>
          <w:highlight w:val="none"/>
        </w:rPr>
        <w:t>协议书的当事人及取得该当事人资格的合法继</w:t>
      </w:r>
    </w:p>
    <w:p w14:paraId="418C0070">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承人。</w:t>
      </w:r>
    </w:p>
    <w:p w14:paraId="656B090A">
      <w:pPr>
        <w:spacing w:before="152" w:line="398"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"1.1.2.3"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承包人：是指与发包人签订合同协议书</w:t>
      </w:r>
      <w:r>
        <w:rPr>
          <w:rFonts w:ascii="宋体" w:hAnsi="宋体" w:eastAsia="宋体" w:cs="宋体"/>
          <w:color w:val="auto"/>
          <w:spacing w:val="1"/>
          <w:position w:val="14"/>
          <w:sz w:val="21"/>
          <w:szCs w:val="21"/>
          <w:highlight w:val="none"/>
        </w:rPr>
        <w:t>的，具有相应工程施工承包资质的当事</w:t>
      </w:r>
    </w:p>
    <w:p w14:paraId="3857C1C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人及取得该当事人资格的合法继承人。</w:t>
      </w:r>
    </w:p>
    <w:p w14:paraId="50E32538">
      <w:pPr>
        <w:spacing w:before="147" w:line="404"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1.1.2.4</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监理人：是指在专用合同条款中指明的</w:t>
      </w:r>
      <w:r>
        <w:rPr>
          <w:rFonts w:ascii="宋体" w:hAnsi="宋体" w:eastAsia="宋体" w:cs="宋体"/>
          <w:color w:val="auto"/>
          <w:spacing w:val="1"/>
          <w:position w:val="14"/>
          <w:sz w:val="21"/>
          <w:szCs w:val="21"/>
          <w:highlight w:val="none"/>
        </w:rPr>
        <w:t>，受发包人委托按照法律规定进行工程</w:t>
      </w:r>
    </w:p>
    <w:p w14:paraId="63D95D1D">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监督管理的法人或其他组织。</w:t>
      </w:r>
    </w:p>
    <w:p w14:paraId="07C8B2E9">
      <w:pPr>
        <w:spacing w:line="220" w:lineRule="auto"/>
        <w:rPr>
          <w:rFonts w:ascii="宋体" w:hAnsi="宋体" w:eastAsia="宋体" w:cs="宋体"/>
          <w:color w:val="auto"/>
          <w:sz w:val="21"/>
          <w:szCs w:val="21"/>
          <w:highlight w:val="none"/>
        </w:rPr>
        <w:sectPr>
          <w:footerReference r:id="rId44" w:type="default"/>
          <w:pgSz w:w="11905" w:h="16839"/>
          <w:pgMar w:top="1375" w:right="1742" w:bottom="1004" w:left="1785" w:header="0" w:footer="828" w:gutter="0"/>
          <w:pgNumType w:fmt="decimal"/>
          <w:cols w:space="720" w:num="1"/>
        </w:sectPr>
      </w:pPr>
    </w:p>
    <w:p w14:paraId="7F235C56">
      <w:pPr>
        <w:spacing w:before="149" w:line="398"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"1.1.2.5"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设计人：是指在专用合同条款中</w:t>
      </w:r>
      <w:r>
        <w:rPr>
          <w:rFonts w:ascii="宋体" w:hAnsi="宋体" w:eastAsia="宋体" w:cs="宋体"/>
          <w:color w:val="auto"/>
          <w:spacing w:val="1"/>
          <w:position w:val="14"/>
          <w:sz w:val="21"/>
          <w:szCs w:val="21"/>
          <w:highlight w:val="none"/>
        </w:rPr>
        <w:t>指明的，受发包人委托负责工程设计并具备相</w:t>
      </w:r>
    </w:p>
    <w:p w14:paraId="216669C7">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应工程设计资质的法人或其他组织。</w:t>
      </w:r>
    </w:p>
    <w:p w14:paraId="00709535">
      <w:pPr>
        <w:spacing w:before="151" w:line="399" w:lineRule="exact"/>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"1.1.2.6"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2"/>
          <w:position w:val="14"/>
          <w:sz w:val="21"/>
          <w:szCs w:val="21"/>
          <w:highlight w:val="none"/>
        </w:rPr>
        <w:t>分包人：是指按照法律规定和合同约定，分包</w:t>
      </w:r>
      <w:r>
        <w:rPr>
          <w:rFonts w:ascii="宋体" w:hAnsi="宋体" w:eastAsia="宋体" w:cs="宋体"/>
          <w:color w:val="auto"/>
          <w:spacing w:val="1"/>
          <w:position w:val="14"/>
          <w:sz w:val="21"/>
          <w:szCs w:val="21"/>
          <w:highlight w:val="none"/>
        </w:rPr>
        <w:t>部分工程或工作，并与承包人签</w:t>
      </w:r>
    </w:p>
    <w:p w14:paraId="31B141B8">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订分包合同的具有相应资质的法人。</w:t>
      </w:r>
    </w:p>
    <w:p w14:paraId="129CC401">
      <w:pPr>
        <w:spacing w:before="146"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"1.1.2.7"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1.1.2.7</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发包人代表：是指由发包人任命</w:t>
      </w:r>
      <w:r>
        <w:rPr>
          <w:rFonts w:ascii="宋体" w:hAnsi="宋体" w:eastAsia="宋体" w:cs="宋体"/>
          <w:color w:val="auto"/>
          <w:spacing w:val="1"/>
          <w:position w:val="14"/>
          <w:sz w:val="21"/>
          <w:szCs w:val="21"/>
          <w:highlight w:val="none"/>
        </w:rPr>
        <w:t>并派驻施工现场在发包人授权范围内行使发包</w:t>
      </w:r>
    </w:p>
    <w:p w14:paraId="5EC3E59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人权利的人。</w:t>
      </w:r>
    </w:p>
    <w:p w14:paraId="6AF9BEB2">
      <w:pPr>
        <w:spacing w:before="147" w:line="399"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1.1.2.8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w w:val="101"/>
          <w:position w:val="14"/>
          <w:sz w:val="21"/>
          <w:szCs w:val="21"/>
          <w:highlight w:val="none"/>
        </w:rPr>
        <w:t xml:space="preserve"> </w:t>
      </w:r>
      <w:r>
        <w:rPr>
          <w:rFonts w:ascii="宋体" w:hAnsi="宋体" w:eastAsia="宋体" w:cs="宋体"/>
          <w:color w:val="auto"/>
          <w:spacing w:val="-1"/>
          <w:position w:val="14"/>
          <w:sz w:val="21"/>
          <w:szCs w:val="21"/>
          <w:highlight w:val="none"/>
        </w:rPr>
        <w:t>项目经理： 是指由承包人任命并派驻施工现场，在承包人授权范围内负责合同</w:t>
      </w:r>
    </w:p>
    <w:p w14:paraId="35C5FECA">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履行，且按照法律规定具有相应资格的项目负责人。</w:t>
      </w:r>
    </w:p>
    <w:p w14:paraId="0351FF2B">
      <w:pPr>
        <w:spacing w:before="152"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"1.1.2.9"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1.1.2.9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总监理工程师：是指由监理人任命并派驻施工现场进行工程监理的总负责人。</w:t>
      </w:r>
    </w:p>
    <w:p w14:paraId="2CFBBF61">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1.1.3 </w:t>
      </w:r>
      <w:r>
        <w:rPr>
          <w:rFonts w:ascii="宋体" w:hAnsi="宋体" w:eastAsia="宋体" w:cs="宋体"/>
          <w:color w:val="auto"/>
          <w:spacing w:val="-2"/>
          <w:sz w:val="21"/>
          <w:szCs w:val="21"/>
          <w:highlight w:val="none"/>
        </w:rPr>
        <w:t>工程和设备</w:t>
      </w:r>
    </w:p>
    <w:p w14:paraId="0DDAF587">
      <w:pPr>
        <w:spacing w:before="147"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1.1.3.1</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工程：是指与合同协议书中工程承包范围对应的永久工程和（或）</w:t>
      </w:r>
      <w:r>
        <w:rPr>
          <w:rFonts w:ascii="宋体" w:hAnsi="宋体" w:eastAsia="宋体" w:cs="宋体"/>
          <w:color w:val="auto"/>
          <w:spacing w:val="41"/>
          <w:sz w:val="21"/>
          <w:szCs w:val="21"/>
          <w:highlight w:val="none"/>
        </w:rPr>
        <w:t xml:space="preserve"> </w:t>
      </w:r>
      <w:r>
        <w:rPr>
          <w:rFonts w:ascii="宋体" w:hAnsi="宋体" w:eastAsia="宋体" w:cs="宋体"/>
          <w:color w:val="auto"/>
          <w:spacing w:val="-4"/>
          <w:sz w:val="21"/>
          <w:szCs w:val="21"/>
          <w:highlight w:val="none"/>
        </w:rPr>
        <w:t>临时工程。</w:t>
      </w:r>
    </w:p>
    <w:p w14:paraId="62D469B7">
      <w:pPr>
        <w:spacing w:before="153"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"1.1.3.2" </w:instrText>
      </w:r>
      <w:r>
        <w:rPr>
          <w:color w:val="auto"/>
          <w:highlight w:val="none"/>
        </w:rPr>
        <w:fldChar w:fldCharType="separate"/>
      </w:r>
      <w:r>
        <w:rPr>
          <w:rFonts w:ascii="Times New Roman" w:hAnsi="Times New Roman" w:eastAsia="Times New Roman" w:cs="Times New Roman"/>
          <w:color w:val="auto"/>
          <w:spacing w:val="-5"/>
          <w:sz w:val="21"/>
          <w:szCs w:val="21"/>
          <w:highlight w:val="none"/>
        </w:rPr>
        <w:t>1.1.3.2</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宋体" w:hAnsi="宋体" w:eastAsia="宋体" w:cs="宋体"/>
          <w:color w:val="auto"/>
          <w:spacing w:val="-5"/>
          <w:sz w:val="21"/>
          <w:szCs w:val="21"/>
          <w:highlight w:val="none"/>
        </w:rPr>
        <w:t>永久工程：是指按合同约定建造并移交给发包人的工程，</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包括工程设备。</w:t>
      </w:r>
    </w:p>
    <w:p w14:paraId="50181F40">
      <w:pPr>
        <w:spacing w:before="148" w:line="398"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"1.1.3.3" </w:instrText>
      </w:r>
      <w:r>
        <w:rPr>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1.1.3.3</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60"/>
          <w:position w:val="14"/>
          <w:sz w:val="21"/>
          <w:szCs w:val="21"/>
          <w:highlight w:val="none"/>
        </w:rPr>
        <w:t xml:space="preserve"> </w:t>
      </w:r>
      <w:r>
        <w:rPr>
          <w:rFonts w:ascii="宋体" w:hAnsi="宋体" w:eastAsia="宋体" w:cs="宋体"/>
          <w:color w:val="auto"/>
          <w:spacing w:val="-4"/>
          <w:position w:val="14"/>
          <w:sz w:val="21"/>
          <w:szCs w:val="21"/>
          <w:highlight w:val="none"/>
        </w:rPr>
        <w:t>临时工程： 是指为完成合同约定的永久工程所修建的各类临时性工程， 不包括</w:t>
      </w:r>
    </w:p>
    <w:p w14:paraId="666D025C">
      <w:pPr>
        <w:spacing w:line="222"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施工设备。</w:t>
      </w:r>
    </w:p>
    <w:p w14:paraId="749BBB3F">
      <w:pPr>
        <w:spacing w:before="151" w:line="398" w:lineRule="exact"/>
        <w:ind w:right="3"/>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7"/>
          <w:w w:val="101"/>
          <w:position w:val="14"/>
          <w:sz w:val="21"/>
          <w:szCs w:val="21"/>
          <w:highlight w:val="none"/>
        </w:rPr>
        <w:t xml:space="preserve"> </w:t>
      </w:r>
      <w:r>
        <w:rPr>
          <w:rFonts w:ascii="宋体" w:hAnsi="宋体" w:eastAsia="宋体" w:cs="宋体"/>
          <w:color w:val="auto"/>
          <w:spacing w:val="-1"/>
          <w:position w:val="14"/>
          <w:sz w:val="21"/>
          <w:szCs w:val="21"/>
          <w:highlight w:val="none"/>
        </w:rPr>
        <w:t>单位工程： 是指在合同协议书中指明的，具备独立施工条件并能形成独立使用</w:t>
      </w:r>
    </w:p>
    <w:p w14:paraId="4CFF934C">
      <w:pPr>
        <w:spacing w:before="1" w:line="221"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功能的永久工程。</w:t>
      </w:r>
    </w:p>
    <w:p w14:paraId="4221B7AC">
      <w:pPr>
        <w:spacing w:before="147"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"1.1.3.5"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1.1.3.5</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工程设备： 是指构成永久工程的机电设备、金属结构设备、仪器及其他类似的</w:t>
      </w:r>
    </w:p>
    <w:p w14:paraId="344115C0">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设备和装置。</w:t>
      </w:r>
    </w:p>
    <w:p w14:paraId="702D7723">
      <w:pPr>
        <w:spacing w:before="147" w:line="398" w:lineRule="exact"/>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1"/>
          <w:w w:val="101"/>
          <w:position w:val="14"/>
          <w:sz w:val="21"/>
          <w:szCs w:val="21"/>
          <w:highlight w:val="none"/>
        </w:rPr>
        <w:t xml:space="preserve"> </w:t>
      </w:r>
      <w:r>
        <w:rPr>
          <w:rFonts w:ascii="宋体" w:hAnsi="宋体" w:eastAsia="宋体" w:cs="宋体"/>
          <w:color w:val="auto"/>
          <w:spacing w:val="-3"/>
          <w:position w:val="14"/>
          <w:sz w:val="21"/>
          <w:szCs w:val="21"/>
          <w:highlight w:val="none"/>
        </w:rPr>
        <w:t>施工设备： 是指为完成合同约定的各项工作所需的设备、器</w:t>
      </w:r>
      <w:r>
        <w:rPr>
          <w:rFonts w:ascii="宋体" w:hAnsi="宋体" w:eastAsia="宋体" w:cs="宋体"/>
          <w:color w:val="auto"/>
          <w:spacing w:val="-4"/>
          <w:position w:val="14"/>
          <w:sz w:val="21"/>
          <w:szCs w:val="21"/>
          <w:highlight w:val="none"/>
        </w:rPr>
        <w:t>具和其他物品， 但</w:t>
      </w:r>
    </w:p>
    <w:p w14:paraId="78E1350A">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不包括工程设备、临时工程和材料。</w:t>
      </w:r>
    </w:p>
    <w:p w14:paraId="680F25EC">
      <w:pPr>
        <w:spacing w:before="154" w:line="398" w:lineRule="exact"/>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"1.1.3.7"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9"/>
          <w:position w:val="14"/>
          <w:sz w:val="21"/>
          <w:szCs w:val="21"/>
          <w:highlight w:val="none"/>
        </w:rPr>
        <w:t xml:space="preserve"> </w:t>
      </w:r>
      <w:r>
        <w:rPr>
          <w:rFonts w:ascii="宋体" w:hAnsi="宋体" w:eastAsia="宋体" w:cs="宋体"/>
          <w:color w:val="auto"/>
          <w:spacing w:val="-1"/>
          <w:position w:val="14"/>
          <w:sz w:val="21"/>
          <w:szCs w:val="21"/>
          <w:highlight w:val="none"/>
        </w:rPr>
        <w:t>施工现场： 是指用于工程施工的场所，以及在专用合同条款中指明作为施工场</w:t>
      </w:r>
    </w:p>
    <w:p w14:paraId="16C6E49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所组成部分的其他场所，包括永久占地和临时占地。</w:t>
      </w:r>
    </w:p>
    <w:p w14:paraId="3368AE05">
      <w:pPr>
        <w:spacing w:before="147"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"1.1.3.8"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1.1.3.8</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临时设施：是指为完成合同约定的各项工作所服务的临时性生产和生活设施。</w:t>
      </w:r>
    </w:p>
    <w:p w14:paraId="37A501F2">
      <w:pPr>
        <w:spacing w:before="152"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"1.1.3.9"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永久占地：是指专用合同条款中指明为实施工程需永久占用的土地。</w:t>
      </w:r>
    </w:p>
    <w:p w14:paraId="78AF823A">
      <w:pPr>
        <w:spacing w:before="147"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"1.1.3.10"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1.1.3.10</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2"/>
          <w:sz w:val="21"/>
          <w:szCs w:val="21"/>
          <w:highlight w:val="none"/>
        </w:rPr>
        <w:t>临时占地：是指专用合同条款中指明为实施工程需要临时占用的土地。</w:t>
      </w:r>
    </w:p>
    <w:p w14:paraId="3637EC73">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1.1.4</w:t>
      </w:r>
      <w:r>
        <w:rPr>
          <w:rFonts w:ascii="Times New Roman" w:hAnsi="Times New Roman" w:eastAsia="Times New Roman" w:cs="Times New Roman"/>
          <w:color w:val="auto"/>
          <w:spacing w:val="49"/>
          <w:sz w:val="21"/>
          <w:szCs w:val="21"/>
          <w:highlight w:val="none"/>
        </w:rPr>
        <w:t xml:space="preserve"> </w:t>
      </w:r>
      <w:r>
        <w:rPr>
          <w:rFonts w:ascii="宋体" w:hAnsi="宋体" w:eastAsia="宋体" w:cs="宋体"/>
          <w:color w:val="auto"/>
          <w:spacing w:val="-7"/>
          <w:sz w:val="21"/>
          <w:szCs w:val="21"/>
          <w:highlight w:val="none"/>
        </w:rPr>
        <w:t>日期和期限</w:t>
      </w:r>
    </w:p>
    <w:p w14:paraId="34292E08">
      <w:pPr>
        <w:spacing w:before="152" w:line="350" w:lineRule="auto"/>
        <w:ind w:left="23" w:right="5" w:firstLine="434"/>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1.1.4.1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5"/>
          <w:sz w:val="21"/>
          <w:szCs w:val="21"/>
          <w:highlight w:val="none"/>
        </w:rPr>
        <w:t xml:space="preserve"> </w:t>
      </w:r>
      <w:r>
        <w:rPr>
          <w:rFonts w:ascii="宋体" w:hAnsi="宋体" w:eastAsia="宋体" w:cs="宋体"/>
          <w:color w:val="auto"/>
          <w:spacing w:val="-1"/>
          <w:sz w:val="21"/>
          <w:szCs w:val="21"/>
          <w:highlight w:val="none"/>
        </w:rPr>
        <w:t>开工日期： 包括计划开工日期和实际开工日期。计划开工日期是指合同协议书</w:t>
      </w:r>
      <w:r>
        <w:rPr>
          <w:rFonts w:ascii="宋体" w:hAnsi="宋体" w:eastAsia="宋体" w:cs="宋体"/>
          <w:color w:val="auto"/>
          <w:sz w:val="21"/>
          <w:szCs w:val="21"/>
          <w:highlight w:val="none"/>
        </w:rPr>
        <w:t xml:space="preserve"> 约定的开工日期；实际开工日期是指监理人按照第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7.3</w:t>
      </w:r>
      <w:r>
        <w:rPr>
          <w:rFonts w:ascii="Times New Roman" w:hAnsi="Times New Roman" w:eastAsia="Times New Roman" w:cs="Times New Roman"/>
          <w:color w:val="auto"/>
          <w:spacing w:val="-1"/>
          <w:sz w:val="21"/>
          <w:szCs w:val="21"/>
          <w:highlight w:val="none"/>
        </w:rPr>
        <w:t xml:space="preserve">.2 </w:t>
      </w:r>
      <w:r>
        <w:rPr>
          <w:rFonts w:ascii="宋体" w:hAnsi="宋体" w:eastAsia="宋体" w:cs="宋体"/>
          <w:color w:val="auto"/>
          <w:spacing w:val="-1"/>
          <w:sz w:val="21"/>
          <w:szCs w:val="21"/>
          <w:highlight w:val="none"/>
        </w:rPr>
        <w:t>项〔开工通知〕约定发出的符合法</w:t>
      </w:r>
    </w:p>
    <w:p w14:paraId="632A8823">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律规定的开工通知中载明的开工日期。</w:t>
      </w:r>
    </w:p>
    <w:p w14:paraId="460F541B">
      <w:pPr>
        <w:spacing w:before="152" w:line="399"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竣工日期： 包括计划竣工日期和实际竣工日期。计划竣工日期是指合同协议书</w:t>
      </w:r>
    </w:p>
    <w:p w14:paraId="4AD765C8">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约定的竣工日期；实际竣工日期按照第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13.2.3 </w:t>
      </w:r>
      <w:r>
        <w:rPr>
          <w:rFonts w:ascii="宋体" w:hAnsi="宋体" w:eastAsia="宋体" w:cs="宋体"/>
          <w:color w:val="auto"/>
          <w:spacing w:val="-1"/>
          <w:sz w:val="21"/>
          <w:szCs w:val="21"/>
          <w:highlight w:val="none"/>
        </w:rPr>
        <w:t>项〔竣工日期〕的约定确定。</w:t>
      </w:r>
    </w:p>
    <w:p w14:paraId="42950D34">
      <w:pPr>
        <w:spacing w:before="148"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2"/>
          <w:position w:val="14"/>
          <w:sz w:val="21"/>
          <w:szCs w:val="21"/>
          <w:highlight w:val="none"/>
        </w:rPr>
        <w:t>工期：是指在合同协议书约定的承</w:t>
      </w:r>
      <w:r>
        <w:rPr>
          <w:rFonts w:ascii="宋体" w:hAnsi="宋体" w:eastAsia="宋体" w:cs="宋体"/>
          <w:color w:val="auto"/>
          <w:spacing w:val="1"/>
          <w:position w:val="14"/>
          <w:sz w:val="21"/>
          <w:szCs w:val="21"/>
          <w:highlight w:val="none"/>
        </w:rPr>
        <w:t>包人完成工程所需的期限，包括按照合同约</w:t>
      </w:r>
    </w:p>
    <w:p w14:paraId="611FAC53">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定所作的期限变更。</w:t>
      </w:r>
    </w:p>
    <w:p w14:paraId="2626A7E3">
      <w:pPr>
        <w:spacing w:before="147" w:line="221" w:lineRule="auto"/>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"1.1.4.4"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1.1.4.4</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1"/>
          <w:sz w:val="21"/>
          <w:szCs w:val="21"/>
          <w:highlight w:val="none"/>
        </w:rPr>
        <w:t>缺陷责任期：是指承包人按照合同约定承担缺陷修复义务， 且发包人预留质量</w:t>
      </w:r>
    </w:p>
    <w:p w14:paraId="1EC818FE">
      <w:pPr>
        <w:spacing w:line="221" w:lineRule="auto"/>
        <w:rPr>
          <w:rFonts w:ascii="宋体" w:hAnsi="宋体" w:eastAsia="宋体" w:cs="宋体"/>
          <w:color w:val="auto"/>
          <w:sz w:val="21"/>
          <w:szCs w:val="21"/>
          <w:highlight w:val="none"/>
        </w:rPr>
        <w:sectPr>
          <w:footerReference r:id="rId45" w:type="default"/>
          <w:pgSz w:w="11905" w:h="16839"/>
          <w:pgMar w:top="1431" w:right="1785" w:bottom="1004" w:left="1785" w:header="0" w:footer="828" w:gutter="0"/>
          <w:pgNumType w:fmt="decimal"/>
          <w:cols w:space="720" w:num="1"/>
        </w:sectPr>
      </w:pPr>
    </w:p>
    <w:p w14:paraId="057E83AC">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保证金（已缴纳履约保证金的除外）的期限，</w:t>
      </w:r>
      <w:r>
        <w:rPr>
          <w:rFonts w:ascii="宋体" w:hAnsi="宋体" w:eastAsia="宋体" w:cs="宋体"/>
          <w:color w:val="auto"/>
          <w:spacing w:val="57"/>
          <w:sz w:val="21"/>
          <w:szCs w:val="21"/>
          <w:highlight w:val="none"/>
        </w:rPr>
        <w:t xml:space="preserve"> </w:t>
      </w:r>
      <w:r>
        <w:rPr>
          <w:rFonts w:ascii="宋体" w:hAnsi="宋体" w:eastAsia="宋体" w:cs="宋体"/>
          <w:color w:val="auto"/>
          <w:spacing w:val="-5"/>
          <w:sz w:val="21"/>
          <w:szCs w:val="21"/>
          <w:highlight w:val="none"/>
        </w:rPr>
        <w:t>自工程实际竣工日期起计算。</w:t>
      </w:r>
    </w:p>
    <w:p w14:paraId="7316E2A1">
      <w:pPr>
        <w:spacing w:before="147"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"1.1.4.5"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保修期：是指承包人按照合同约定对工</w:t>
      </w:r>
      <w:r>
        <w:rPr>
          <w:rFonts w:ascii="宋体" w:hAnsi="宋体" w:eastAsia="宋体" w:cs="宋体"/>
          <w:color w:val="auto"/>
          <w:spacing w:val="1"/>
          <w:position w:val="14"/>
          <w:sz w:val="21"/>
          <w:szCs w:val="21"/>
          <w:highlight w:val="none"/>
        </w:rPr>
        <w:t>程承担保修责任的期限，从工程竣工验</w:t>
      </w:r>
    </w:p>
    <w:p w14:paraId="6B7543E9">
      <w:pPr>
        <w:spacing w:line="220" w:lineRule="auto"/>
        <w:ind w:left="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收合格之日起计算。</w:t>
      </w:r>
    </w:p>
    <w:p w14:paraId="5CBDF08C">
      <w:pPr>
        <w:spacing w:before="148"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"1.1.4.6"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1"/>
          <w:position w:val="14"/>
          <w:sz w:val="21"/>
          <w:szCs w:val="21"/>
          <w:highlight w:val="none"/>
        </w:rPr>
        <w:t>基准日期：招标发包的工程以投标截止日前</w:t>
      </w:r>
      <w:r>
        <w:rPr>
          <w:rFonts w:ascii="宋体" w:hAnsi="宋体" w:eastAsia="宋体" w:cs="宋体"/>
          <w:color w:val="auto"/>
          <w:spacing w:val="-46"/>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 xml:space="preserve">28 </w:t>
      </w:r>
      <w:r>
        <w:rPr>
          <w:rFonts w:ascii="宋体" w:hAnsi="宋体" w:eastAsia="宋体" w:cs="宋体"/>
          <w:color w:val="auto"/>
          <w:spacing w:val="-1"/>
          <w:position w:val="14"/>
          <w:sz w:val="21"/>
          <w:szCs w:val="21"/>
          <w:highlight w:val="none"/>
        </w:rPr>
        <w:t>天的日期为基准</w:t>
      </w:r>
      <w:r>
        <w:rPr>
          <w:rFonts w:ascii="宋体" w:hAnsi="宋体" w:eastAsia="宋体" w:cs="宋体"/>
          <w:color w:val="auto"/>
          <w:spacing w:val="-2"/>
          <w:position w:val="14"/>
          <w:sz w:val="21"/>
          <w:szCs w:val="21"/>
          <w:highlight w:val="none"/>
        </w:rPr>
        <w:t>日期，直接发包</w:t>
      </w:r>
    </w:p>
    <w:p w14:paraId="72DADAE4">
      <w:pPr>
        <w:spacing w:before="1" w:line="221"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的工程以合同签订日前</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2"/>
          <w:sz w:val="21"/>
          <w:szCs w:val="21"/>
          <w:highlight w:val="none"/>
        </w:rPr>
        <w:t>天的日期为基准日期。</w:t>
      </w:r>
    </w:p>
    <w:p w14:paraId="340FAC69">
      <w:pPr>
        <w:spacing w:before="151"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"1.1.4.7" </w:instrText>
      </w:r>
      <w:r>
        <w:rPr>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1.1.4.7</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54"/>
          <w:w w:val="101"/>
          <w:position w:val="14"/>
          <w:sz w:val="21"/>
          <w:szCs w:val="21"/>
          <w:highlight w:val="none"/>
        </w:rPr>
        <w:t xml:space="preserve"> </w:t>
      </w:r>
      <w:r>
        <w:rPr>
          <w:rFonts w:ascii="宋体" w:hAnsi="宋体" w:eastAsia="宋体" w:cs="宋体"/>
          <w:color w:val="auto"/>
          <w:spacing w:val="-4"/>
          <w:position w:val="14"/>
          <w:sz w:val="21"/>
          <w:szCs w:val="21"/>
          <w:highlight w:val="none"/>
        </w:rPr>
        <w:t>天： 除特别指明外，均指日历天。合同中按天计算时间的， 开始当天不计入，</w:t>
      </w:r>
    </w:p>
    <w:p w14:paraId="09D719C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从次日开始计算，期限最后一天的截止时间为当天</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24:00 </w:t>
      </w:r>
      <w:r>
        <w:rPr>
          <w:rFonts w:ascii="宋体" w:hAnsi="宋体" w:eastAsia="宋体" w:cs="宋体"/>
          <w:color w:val="auto"/>
          <w:spacing w:val="-2"/>
          <w:sz w:val="21"/>
          <w:szCs w:val="21"/>
          <w:highlight w:val="none"/>
        </w:rPr>
        <w:t>时。</w:t>
      </w:r>
    </w:p>
    <w:p w14:paraId="496BEDE3">
      <w:pPr>
        <w:spacing w:before="148"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宋体" w:hAnsi="宋体" w:eastAsia="宋体" w:cs="宋体"/>
          <w:color w:val="auto"/>
          <w:spacing w:val="-2"/>
          <w:sz w:val="21"/>
          <w:szCs w:val="21"/>
          <w:highlight w:val="none"/>
        </w:rPr>
        <w:t>合同价格和费用</w:t>
      </w:r>
    </w:p>
    <w:p w14:paraId="7D6A8E54">
      <w:pPr>
        <w:spacing w:before="154"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"1.1.5.1"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1.1.5.1</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签约合同价：是指发包人和承包人在合同协议书中确定的总金额， 包括安全文</w:t>
      </w:r>
    </w:p>
    <w:p w14:paraId="5FD131F3">
      <w:pPr>
        <w:spacing w:before="1" w:line="219" w:lineRule="auto"/>
        <w:ind w:left="3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明施工费、暂估价及暂列金额等。</w:t>
      </w:r>
    </w:p>
    <w:p w14:paraId="2068557F">
      <w:pPr>
        <w:spacing w:before="149"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合同价格： 是指发包人用于支付承包人按照合同约定完成承包范围内全部工作</w:t>
      </w:r>
    </w:p>
    <w:p w14:paraId="34050068">
      <w:pPr>
        <w:spacing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的金额，包括合同履行过程中按合同约定发生的价格变化。</w:t>
      </w:r>
    </w:p>
    <w:p w14:paraId="306BCE6C">
      <w:pPr>
        <w:spacing w:before="150"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"1.1.5.3"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1.1.5.3</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宋体" w:hAnsi="宋体" w:eastAsia="宋体" w:cs="宋体"/>
          <w:color w:val="auto"/>
          <w:spacing w:val="1"/>
          <w:position w:val="14"/>
          <w:sz w:val="21"/>
          <w:szCs w:val="21"/>
          <w:highlight w:val="none"/>
        </w:rPr>
        <w:t>费用：是指为履行合同所发生的或将要发生的所有必需的开支，包括管理费和</w:t>
      </w:r>
    </w:p>
    <w:p w14:paraId="0D188F4A">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应分摊的其他费用， 但不包括利润。</w:t>
      </w:r>
    </w:p>
    <w:p w14:paraId="7ECD992E">
      <w:pPr>
        <w:spacing w:before="152" w:line="399"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宋体" w:hAnsi="宋体" w:eastAsia="宋体" w:cs="宋体"/>
          <w:color w:val="auto"/>
          <w:spacing w:val="1"/>
          <w:position w:val="14"/>
          <w:sz w:val="21"/>
          <w:szCs w:val="21"/>
          <w:highlight w:val="none"/>
        </w:rPr>
        <w:t>暂估价：是指发包人在工程量清单或预算书中提供的用于支付必然发生但暂时</w:t>
      </w:r>
    </w:p>
    <w:p w14:paraId="12BC769E">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不能确定价格的材料、工程设备的单价、专业工程以及服务工作的金额。</w:t>
      </w:r>
    </w:p>
    <w:p w14:paraId="143D9A10">
      <w:pPr>
        <w:spacing w:before="150" w:line="352" w:lineRule="auto"/>
        <w:ind w:left="21" w:firstLine="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"1.1.5.5"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1.1.5.5</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49"/>
          <w:w w:val="101"/>
          <w:sz w:val="21"/>
          <w:szCs w:val="21"/>
          <w:highlight w:val="none"/>
        </w:rPr>
        <w:t xml:space="preserve"> </w:t>
      </w:r>
      <w:r>
        <w:rPr>
          <w:rFonts w:ascii="宋体" w:hAnsi="宋体" w:eastAsia="宋体" w:cs="宋体"/>
          <w:color w:val="auto"/>
          <w:spacing w:val="-2"/>
          <w:sz w:val="21"/>
          <w:szCs w:val="21"/>
          <w:highlight w:val="none"/>
        </w:rPr>
        <w:t xml:space="preserve">暂列金额： 是指发包人在工程量清单或预算书中暂定并包括在合同价格中的一  </w:t>
      </w:r>
      <w:r>
        <w:rPr>
          <w:rFonts w:ascii="宋体" w:hAnsi="宋体" w:eastAsia="宋体" w:cs="宋体"/>
          <w:color w:val="auto"/>
          <w:spacing w:val="2"/>
          <w:sz w:val="21"/>
          <w:szCs w:val="21"/>
          <w:highlight w:val="none"/>
        </w:rPr>
        <w:t>笔款项，用于工程合同签订时尚未确定或者不可预</w:t>
      </w:r>
      <w:r>
        <w:rPr>
          <w:rFonts w:ascii="宋体" w:hAnsi="宋体" w:eastAsia="宋体" w:cs="宋体"/>
          <w:color w:val="auto"/>
          <w:spacing w:val="1"/>
          <w:sz w:val="21"/>
          <w:szCs w:val="21"/>
          <w:highlight w:val="none"/>
        </w:rPr>
        <w:t>见的所需材料、工程设备、服务的采购，</w:t>
      </w:r>
    </w:p>
    <w:p w14:paraId="1CBE592C">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施工中可能发生的工程变更、合同约定调整因素出现时的合同价</w:t>
      </w:r>
      <w:r>
        <w:rPr>
          <w:rFonts w:ascii="宋体" w:hAnsi="宋体" w:eastAsia="宋体" w:cs="宋体"/>
          <w:color w:val="auto"/>
          <w:spacing w:val="2"/>
          <w:sz w:val="21"/>
          <w:szCs w:val="21"/>
          <w:highlight w:val="none"/>
        </w:rPr>
        <w:t>格调整以及发生的索赔、</w:t>
      </w:r>
    </w:p>
    <w:p w14:paraId="47A2EF7E">
      <w:pPr>
        <w:spacing w:before="149"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现场签证确认等的费用。</w:t>
      </w:r>
    </w:p>
    <w:p w14:paraId="05DC93EB">
      <w:pPr>
        <w:spacing w:before="153"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"1.1.5.6"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1.1.5.6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计日工：是指合同履行过程中，承包人</w:t>
      </w:r>
      <w:r>
        <w:rPr>
          <w:rFonts w:ascii="宋体" w:hAnsi="宋体" w:eastAsia="宋体" w:cs="宋体"/>
          <w:color w:val="auto"/>
          <w:spacing w:val="1"/>
          <w:position w:val="14"/>
          <w:sz w:val="21"/>
          <w:szCs w:val="21"/>
          <w:highlight w:val="none"/>
        </w:rPr>
        <w:t>完成发包人提出的零星工作或需要采用</w:t>
      </w:r>
    </w:p>
    <w:p w14:paraId="1E7A3915">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计日工计价的变更工作时，按合同中约定的单价计价的</w:t>
      </w:r>
      <w:r>
        <w:rPr>
          <w:rFonts w:ascii="宋体" w:hAnsi="宋体" w:eastAsia="宋体" w:cs="宋体"/>
          <w:color w:val="auto"/>
          <w:spacing w:val="-1"/>
          <w:sz w:val="21"/>
          <w:szCs w:val="21"/>
          <w:highlight w:val="none"/>
        </w:rPr>
        <w:t>一种方式。</w:t>
      </w:r>
    </w:p>
    <w:p w14:paraId="04094670">
      <w:pPr>
        <w:spacing w:before="149"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"1.1.5.7"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 xml:space="preserve">质量保证金：是指按照第 </w:t>
      </w:r>
      <w:r>
        <w:rPr>
          <w:rFonts w:ascii="Times New Roman" w:hAnsi="Times New Roman" w:eastAsia="Times New Roman" w:cs="Times New Roman"/>
          <w:color w:val="auto"/>
          <w:spacing w:val="-1"/>
          <w:position w:val="14"/>
          <w:sz w:val="21"/>
          <w:szCs w:val="21"/>
          <w:highlight w:val="none"/>
        </w:rPr>
        <w:t>15.3</w:t>
      </w:r>
      <w:r>
        <w:rPr>
          <w:rFonts w:ascii="Times New Roman" w:hAnsi="Times New Roman" w:eastAsia="Times New Roman" w:cs="Times New Roman"/>
          <w:color w:val="auto"/>
          <w:spacing w:val="24"/>
          <w:w w:val="101"/>
          <w:position w:val="14"/>
          <w:sz w:val="21"/>
          <w:szCs w:val="21"/>
          <w:highlight w:val="none"/>
        </w:rPr>
        <w:t xml:space="preserve"> </w:t>
      </w:r>
      <w:r>
        <w:rPr>
          <w:rFonts w:ascii="宋体" w:hAnsi="宋体" w:eastAsia="宋体" w:cs="宋体"/>
          <w:color w:val="auto"/>
          <w:spacing w:val="-1"/>
          <w:position w:val="14"/>
          <w:sz w:val="21"/>
          <w:szCs w:val="21"/>
          <w:highlight w:val="none"/>
        </w:rPr>
        <w:t>款〔质量保</w:t>
      </w:r>
      <w:r>
        <w:rPr>
          <w:rFonts w:ascii="宋体" w:hAnsi="宋体" w:eastAsia="宋体" w:cs="宋体"/>
          <w:color w:val="auto"/>
          <w:spacing w:val="-2"/>
          <w:position w:val="14"/>
          <w:sz w:val="21"/>
          <w:szCs w:val="21"/>
          <w:highlight w:val="none"/>
        </w:rPr>
        <w:t>证金〕约定承包人用于保证其在缺陷</w:t>
      </w:r>
    </w:p>
    <w:p w14:paraId="2749CAD2">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责任期内履行缺陷修补义务的担保。</w:t>
      </w:r>
    </w:p>
    <w:p w14:paraId="13FA8B36">
      <w:pPr>
        <w:spacing w:before="148" w:line="399"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w w:val="101"/>
          <w:position w:val="14"/>
          <w:sz w:val="21"/>
          <w:szCs w:val="21"/>
          <w:highlight w:val="none"/>
        </w:rPr>
        <w:t xml:space="preserve"> </w:t>
      </w:r>
      <w:r>
        <w:rPr>
          <w:rFonts w:ascii="宋体" w:hAnsi="宋体" w:eastAsia="宋体" w:cs="宋体"/>
          <w:color w:val="auto"/>
          <w:spacing w:val="-1"/>
          <w:position w:val="14"/>
          <w:sz w:val="21"/>
          <w:szCs w:val="21"/>
          <w:highlight w:val="none"/>
        </w:rPr>
        <w:t>总价项目： 是指在现行国家、行业以及地方的计量规则中</w:t>
      </w:r>
      <w:r>
        <w:rPr>
          <w:rFonts w:ascii="宋体" w:hAnsi="宋体" w:eastAsia="宋体" w:cs="宋体"/>
          <w:color w:val="auto"/>
          <w:spacing w:val="-2"/>
          <w:position w:val="14"/>
          <w:sz w:val="21"/>
          <w:szCs w:val="21"/>
          <w:highlight w:val="none"/>
        </w:rPr>
        <w:t>无工程量计算规则，</w:t>
      </w:r>
    </w:p>
    <w:p w14:paraId="46459F48">
      <w:pPr>
        <w:spacing w:line="219"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rPr>
        <w:t>在已标价工程量清单或预算书中以总价或以费率形式计算</w:t>
      </w:r>
      <w:r>
        <w:rPr>
          <w:rFonts w:ascii="宋体" w:hAnsi="宋体" w:eastAsia="宋体" w:cs="宋体"/>
          <w:color w:val="auto"/>
          <w:spacing w:val="-1"/>
          <w:sz w:val="21"/>
          <w:szCs w:val="21"/>
          <w:highlight w:val="none"/>
        </w:rPr>
        <w:t>的项目。</w:t>
      </w:r>
    </w:p>
    <w:p w14:paraId="63DBD3ED">
      <w:pPr>
        <w:spacing w:before="154"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1.1.6</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其他</w:t>
      </w:r>
    </w:p>
    <w:p w14:paraId="358B930F">
      <w:pPr>
        <w:spacing w:before="147"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"1.1.6.1"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1.1.6.1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7"/>
          <w:sz w:val="21"/>
          <w:szCs w:val="21"/>
          <w:highlight w:val="none"/>
        </w:rPr>
        <w:t xml:space="preserve"> </w:t>
      </w:r>
      <w:r>
        <w:rPr>
          <w:rFonts w:ascii="宋体" w:hAnsi="宋体" w:eastAsia="宋体" w:cs="宋体"/>
          <w:color w:val="auto"/>
          <w:spacing w:val="-1"/>
          <w:sz w:val="21"/>
          <w:szCs w:val="21"/>
          <w:highlight w:val="none"/>
        </w:rPr>
        <w:t>书面形式： 是指合同文件、信函、电报、传真等可以有形地表现所载内容</w:t>
      </w:r>
      <w:r>
        <w:rPr>
          <w:rFonts w:ascii="宋体" w:hAnsi="宋体" w:eastAsia="宋体" w:cs="宋体"/>
          <w:color w:val="auto"/>
          <w:spacing w:val="-2"/>
          <w:sz w:val="21"/>
          <w:szCs w:val="21"/>
          <w:highlight w:val="none"/>
        </w:rPr>
        <w:t>的形</w:t>
      </w:r>
    </w:p>
    <w:p w14:paraId="6EFCD8B3">
      <w:pPr>
        <w:spacing w:before="148" w:line="222"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式。</w:t>
      </w:r>
    </w:p>
    <w:p w14:paraId="1267BD93">
      <w:pPr>
        <w:spacing w:before="49"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1.2</w:t>
      </w:r>
      <w:r>
        <w:rPr>
          <w:rFonts w:ascii="黑体" w:hAnsi="黑体" w:eastAsia="黑体" w:cs="黑体"/>
          <w:color w:val="auto"/>
          <w:spacing w:val="-54"/>
          <w:sz w:val="24"/>
          <w:szCs w:val="24"/>
          <w:highlight w:val="none"/>
        </w:rPr>
        <w:t xml:space="preserve"> </w:t>
      </w:r>
      <w:r>
        <w:rPr>
          <w:rFonts w:ascii="黑体" w:hAnsi="黑体" w:eastAsia="黑体" w:cs="黑体"/>
          <w:color w:val="auto"/>
          <w:spacing w:val="-4"/>
          <w:sz w:val="24"/>
          <w:szCs w:val="24"/>
          <w:highlight w:val="none"/>
        </w:rPr>
        <w:t>语言文字</w:t>
      </w:r>
    </w:p>
    <w:p w14:paraId="0115C1D2">
      <w:pPr>
        <w:spacing w:before="129"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合同以中国的汉语简体文字编写、解释和说明。合同当事人在专用合同条款中约定使</w:t>
      </w:r>
    </w:p>
    <w:p w14:paraId="6337F139">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用两种以上语言时， 汉语为优先解释和说明合同的语言。</w:t>
      </w:r>
    </w:p>
    <w:p w14:paraId="60C0A8BC">
      <w:pPr>
        <w:spacing w:before="45" w:line="220" w:lineRule="auto"/>
        <w:ind w:left="31"/>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1.3</w:t>
      </w:r>
      <w:r>
        <w:rPr>
          <w:rFonts w:ascii="黑体" w:hAnsi="黑体" w:eastAsia="黑体" w:cs="黑体"/>
          <w:color w:val="auto"/>
          <w:spacing w:val="-49"/>
          <w:sz w:val="24"/>
          <w:szCs w:val="24"/>
          <w:highlight w:val="none"/>
        </w:rPr>
        <w:t xml:space="preserve"> </w:t>
      </w:r>
      <w:r>
        <w:rPr>
          <w:rFonts w:ascii="黑体" w:hAnsi="黑体" w:eastAsia="黑体" w:cs="黑体"/>
          <w:color w:val="auto"/>
          <w:spacing w:val="-6"/>
          <w:sz w:val="24"/>
          <w:szCs w:val="24"/>
          <w:highlight w:val="none"/>
        </w:rPr>
        <w:t>法律</w:t>
      </w:r>
    </w:p>
    <w:p w14:paraId="3A2F481F">
      <w:pPr>
        <w:spacing w:before="128" w:line="399"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合同所称法律是指中华人民共和国法律、行政法规、部门规章， 以及工程所在地的地</w:t>
      </w:r>
    </w:p>
    <w:p w14:paraId="0599197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方性法规、自治条例、单行条例和地方政府规章等。</w:t>
      </w:r>
    </w:p>
    <w:p w14:paraId="24CD3BD5">
      <w:pPr>
        <w:spacing w:line="219" w:lineRule="auto"/>
        <w:rPr>
          <w:rFonts w:ascii="宋体" w:hAnsi="宋体" w:eastAsia="宋体" w:cs="宋体"/>
          <w:color w:val="auto"/>
          <w:sz w:val="21"/>
          <w:szCs w:val="21"/>
          <w:highlight w:val="none"/>
        </w:rPr>
        <w:sectPr>
          <w:footerReference r:id="rId46" w:type="default"/>
          <w:pgSz w:w="11905" w:h="16839"/>
          <w:pgMar w:top="1431" w:right="1632" w:bottom="1004" w:left="1785" w:header="0" w:footer="828" w:gutter="0"/>
          <w:pgNumType w:fmt="decimal"/>
          <w:cols w:space="720" w:num="1"/>
        </w:sectPr>
      </w:pPr>
    </w:p>
    <w:p w14:paraId="678DB8DE">
      <w:pPr>
        <w:spacing w:before="148"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合同当事人可以在专用合同条款中约定合同适用的其他规范性文件。</w:t>
      </w:r>
    </w:p>
    <w:p w14:paraId="5554911D">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1.4 标准和规范</w:t>
      </w:r>
    </w:p>
    <w:p w14:paraId="013BFD0C">
      <w:pPr>
        <w:spacing w:before="127" w:line="404"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1.4.1</w:t>
      </w:r>
      <w:r>
        <w:rPr>
          <w:rFonts w:ascii="Times New Roman" w:hAnsi="Times New Roman" w:eastAsia="Times New Roman" w:cs="Times New Roman"/>
          <w:color w:val="auto"/>
          <w:spacing w:val="32"/>
          <w:w w:val="101"/>
          <w:position w:val="14"/>
          <w:sz w:val="21"/>
          <w:szCs w:val="21"/>
          <w:highlight w:val="none"/>
        </w:rPr>
        <w:t xml:space="preserve"> </w:t>
      </w:r>
      <w:r>
        <w:rPr>
          <w:rFonts w:ascii="宋体" w:hAnsi="宋体" w:eastAsia="宋体" w:cs="宋体"/>
          <w:color w:val="auto"/>
          <w:position w:val="14"/>
          <w:sz w:val="21"/>
          <w:szCs w:val="21"/>
          <w:highlight w:val="none"/>
        </w:rPr>
        <w:t>适用于工程的国家标准、行业标准、</w:t>
      </w:r>
      <w:r>
        <w:rPr>
          <w:rFonts w:ascii="宋体" w:hAnsi="宋体" w:eastAsia="宋体" w:cs="宋体"/>
          <w:color w:val="auto"/>
          <w:spacing w:val="-1"/>
          <w:position w:val="14"/>
          <w:sz w:val="21"/>
          <w:szCs w:val="21"/>
          <w:highlight w:val="none"/>
        </w:rPr>
        <w:t>工程所在地的地方性标准，以及相应的规范、</w:t>
      </w:r>
    </w:p>
    <w:p w14:paraId="5185C87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规程等，合同当事人有特别要求的，应在专用合同条款中</w:t>
      </w:r>
      <w:r>
        <w:rPr>
          <w:rFonts w:ascii="宋体" w:hAnsi="宋体" w:eastAsia="宋体" w:cs="宋体"/>
          <w:color w:val="auto"/>
          <w:spacing w:val="-2"/>
          <w:sz w:val="21"/>
          <w:szCs w:val="21"/>
          <w:highlight w:val="none"/>
        </w:rPr>
        <w:t>约定。</w:t>
      </w:r>
    </w:p>
    <w:p w14:paraId="656F6D1D">
      <w:pPr>
        <w:spacing w:before="147" w:line="39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position w:val="14"/>
          <w:sz w:val="21"/>
          <w:szCs w:val="21"/>
          <w:highlight w:val="none"/>
        </w:rPr>
        <w:t>发包人要求使用国外标准、规范的，发包人负责提供原文版本和中文译本，并在</w:t>
      </w:r>
    </w:p>
    <w:p w14:paraId="21A3A8B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专用合同条款中约定提供标准规范的名称、份数和时间。</w:t>
      </w:r>
    </w:p>
    <w:p w14:paraId="401A976C">
      <w:pPr>
        <w:spacing w:before="15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1.4.3</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pacing w:val="-1"/>
          <w:sz w:val="21"/>
          <w:szCs w:val="21"/>
          <w:highlight w:val="none"/>
        </w:rPr>
        <w:t>发包人对工程的技术标准、功能要求高于或严于现行国家、行业或地方标准的，</w:t>
      </w:r>
    </w:p>
    <w:p w14:paraId="567C69ED">
      <w:pPr>
        <w:spacing w:before="147" w:line="274" w:lineRule="auto"/>
        <w:ind w:left="21" w:right="2" w:hanging="3"/>
        <w:rPr>
          <w:rFonts w:ascii="黑体" w:hAnsi="黑体" w:eastAsia="黑体" w:cs="黑体"/>
          <w:color w:val="auto"/>
          <w:sz w:val="24"/>
          <w:szCs w:val="24"/>
          <w:highlight w:val="none"/>
        </w:rPr>
      </w:pPr>
      <w:r>
        <w:rPr>
          <w:rFonts w:ascii="宋体" w:hAnsi="宋体" w:eastAsia="宋体" w:cs="宋体"/>
          <w:color w:val="auto"/>
          <w:spacing w:val="3"/>
          <w:sz w:val="21"/>
          <w:szCs w:val="21"/>
          <w:highlight w:val="none"/>
        </w:rPr>
        <w:t>应当在专用合同条款中予以明确。除专用合</w:t>
      </w:r>
      <w:r>
        <w:rPr>
          <w:rFonts w:ascii="宋体" w:hAnsi="宋体" w:eastAsia="宋体" w:cs="宋体"/>
          <w:color w:val="auto"/>
          <w:spacing w:val="2"/>
          <w:sz w:val="21"/>
          <w:szCs w:val="21"/>
          <w:highlight w:val="none"/>
        </w:rPr>
        <w:t>同条款另有约定外，应视为承包人在签订合同  前已充分预见前述技术标准和功能要求的复杂程度，签约合同价中已包含由此产生的费</w:t>
      </w:r>
      <w:r>
        <w:rPr>
          <w:rFonts w:ascii="宋体" w:hAnsi="宋体" w:eastAsia="宋体" w:cs="宋体"/>
          <w:color w:val="auto"/>
          <w:spacing w:val="1"/>
          <w:sz w:val="21"/>
          <w:szCs w:val="21"/>
          <w:highlight w:val="none"/>
        </w:rPr>
        <w:t>用。</w:t>
      </w:r>
      <w:r>
        <w:rPr>
          <w:rFonts w:ascii="宋体" w:hAnsi="宋体" w:eastAsia="宋体" w:cs="宋体"/>
          <w:color w:val="auto"/>
          <w:sz w:val="21"/>
          <w:szCs w:val="21"/>
          <w:highlight w:val="none"/>
        </w:rPr>
        <w:t xml:space="preserve"> </w:t>
      </w:r>
      <w:r>
        <w:rPr>
          <w:rFonts w:ascii="黑体" w:hAnsi="黑体" w:eastAsia="黑体" w:cs="黑体"/>
          <w:color w:val="auto"/>
          <w:spacing w:val="-1"/>
          <w:sz w:val="24"/>
          <w:szCs w:val="24"/>
          <w:highlight w:val="none"/>
        </w:rPr>
        <w:t>1.5 合同文件的优先顺序</w:t>
      </w:r>
    </w:p>
    <w:p w14:paraId="635ADD14">
      <w:pPr>
        <w:spacing w:before="129" w:line="221" w:lineRule="auto"/>
        <w:ind w:left="443"/>
        <w:rPr>
          <w:rFonts w:ascii="宋体" w:hAnsi="宋体" w:eastAsia="宋体" w:cs="宋体"/>
          <w:color w:val="auto"/>
          <w:sz w:val="21"/>
          <w:szCs w:val="21"/>
          <w:highlight w:val="none"/>
        </w:rPr>
      </w:pPr>
      <w:r>
        <w:rPr>
          <w:rFonts w:ascii="宋体" w:hAnsi="宋体" w:eastAsia="宋体" w:cs="宋体"/>
          <w:color w:val="auto"/>
          <w:sz w:val="21"/>
          <w:szCs w:val="21"/>
          <w:highlight w:val="none"/>
        </w:rPr>
        <w:t>组成合同的各项文件应互相解释，互为说明。除专用合同条款另有约定外， 解释合同</w:t>
      </w:r>
    </w:p>
    <w:p w14:paraId="1D2D2499">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文件的优先顺序如下：</w:t>
      </w:r>
    </w:p>
    <w:p w14:paraId="5E6F3795">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）合同协议书；</w:t>
      </w:r>
    </w:p>
    <w:p w14:paraId="5F360AB6">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）中标通知书（如果有</w:t>
      </w:r>
      <w:r>
        <w:rPr>
          <w:rFonts w:ascii="宋体" w:hAnsi="宋体" w:eastAsia="宋体" w:cs="宋体"/>
          <w:color w:val="auto"/>
          <w:spacing w:val="-17"/>
          <w:sz w:val="21"/>
          <w:szCs w:val="21"/>
          <w:highlight w:val="none"/>
        </w:rPr>
        <w:t>）；</w:t>
      </w:r>
    </w:p>
    <w:p w14:paraId="74504D40">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）投标函及其附录（如果有</w:t>
      </w:r>
      <w:r>
        <w:rPr>
          <w:rFonts w:ascii="宋体" w:hAnsi="宋体" w:eastAsia="宋体" w:cs="宋体"/>
          <w:color w:val="auto"/>
          <w:spacing w:val="-53"/>
          <w:position w:val="14"/>
          <w:sz w:val="21"/>
          <w:szCs w:val="21"/>
          <w:highlight w:val="none"/>
        </w:rPr>
        <w:t>）；</w:t>
      </w:r>
    </w:p>
    <w:p w14:paraId="67E431B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宋体" w:hAnsi="宋体" w:eastAsia="宋体" w:cs="宋体"/>
          <w:color w:val="auto"/>
          <w:spacing w:val="-4"/>
          <w:sz w:val="21"/>
          <w:szCs w:val="21"/>
          <w:highlight w:val="none"/>
        </w:rPr>
        <w:t>）专用合同条款及其附件；</w:t>
      </w:r>
    </w:p>
    <w:p w14:paraId="2638FF10">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）通用合同条款；</w:t>
      </w:r>
    </w:p>
    <w:p w14:paraId="634EE8B0">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）技术标准和要求；</w:t>
      </w:r>
    </w:p>
    <w:p w14:paraId="322B972F">
      <w:pPr>
        <w:spacing w:before="147" w:line="222"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7</w:t>
      </w:r>
      <w:r>
        <w:rPr>
          <w:rFonts w:ascii="宋体" w:hAnsi="宋体" w:eastAsia="宋体" w:cs="宋体"/>
          <w:color w:val="auto"/>
          <w:spacing w:val="-8"/>
          <w:sz w:val="21"/>
          <w:szCs w:val="21"/>
          <w:highlight w:val="none"/>
        </w:rPr>
        <w:t>）图纸；</w:t>
      </w:r>
    </w:p>
    <w:p w14:paraId="31288A54">
      <w:pPr>
        <w:spacing w:before="146" w:line="403"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8</w:t>
      </w:r>
      <w:r>
        <w:rPr>
          <w:rFonts w:ascii="宋体" w:hAnsi="宋体" w:eastAsia="宋体" w:cs="宋体"/>
          <w:color w:val="auto"/>
          <w:spacing w:val="-3"/>
          <w:position w:val="14"/>
          <w:sz w:val="21"/>
          <w:szCs w:val="21"/>
          <w:highlight w:val="none"/>
        </w:rPr>
        <w:t>）已标价工程量清单或预算书；</w:t>
      </w:r>
    </w:p>
    <w:p w14:paraId="1E82CE2D">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宋体" w:hAnsi="宋体" w:eastAsia="宋体" w:cs="宋体"/>
          <w:color w:val="auto"/>
          <w:spacing w:val="-4"/>
          <w:sz w:val="21"/>
          <w:szCs w:val="21"/>
          <w:highlight w:val="none"/>
        </w:rPr>
        <w:t>）其他合同文件。</w:t>
      </w:r>
    </w:p>
    <w:p w14:paraId="5D4EFD44">
      <w:pPr>
        <w:spacing w:before="148"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上述各项合同文件包括合同当事人就该项合同文件所作出的补充和修改，属于同一类</w:t>
      </w:r>
    </w:p>
    <w:p w14:paraId="77BD95FF">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内容的文件，应以最新签署的为准。</w:t>
      </w:r>
    </w:p>
    <w:p w14:paraId="56D77F42">
      <w:pPr>
        <w:spacing w:before="152"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在合同订立及履行过程中形成的与合同有关的文件均构成合同文件组成部分，并根据</w:t>
      </w:r>
    </w:p>
    <w:p w14:paraId="72727849">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其性质确定优先解释顺序。</w:t>
      </w:r>
    </w:p>
    <w:p w14:paraId="3751BCE1">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1.6</w:t>
      </w:r>
      <w:r>
        <w:rPr>
          <w:rFonts w:ascii="黑体" w:hAnsi="黑体" w:eastAsia="黑体" w:cs="黑体"/>
          <w:color w:val="auto"/>
          <w:spacing w:val="-38"/>
          <w:sz w:val="24"/>
          <w:szCs w:val="24"/>
          <w:highlight w:val="none"/>
        </w:rPr>
        <w:t xml:space="preserve"> </w:t>
      </w:r>
      <w:r>
        <w:rPr>
          <w:rFonts w:ascii="黑体" w:hAnsi="黑体" w:eastAsia="黑体" w:cs="黑体"/>
          <w:color w:val="auto"/>
          <w:spacing w:val="-4"/>
          <w:sz w:val="24"/>
          <w:szCs w:val="24"/>
          <w:highlight w:val="none"/>
        </w:rPr>
        <w:t>图纸和承包人文件</w:t>
      </w:r>
    </w:p>
    <w:p w14:paraId="055476BD">
      <w:pPr>
        <w:spacing w:before="12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1.6.1</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4"/>
          <w:sz w:val="21"/>
          <w:szCs w:val="21"/>
          <w:highlight w:val="none"/>
        </w:rPr>
        <w:t>图纸的提供和交底</w:t>
      </w:r>
    </w:p>
    <w:p w14:paraId="167F8E45">
      <w:pPr>
        <w:spacing w:before="154" w:line="350" w:lineRule="auto"/>
        <w:ind w:left="18" w:right="177"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发包人应按照专用合同条款约定的期限、数量和内容向承包人免费提供图纸，并组织</w:t>
      </w:r>
      <w:r>
        <w:rPr>
          <w:rFonts w:ascii="宋体" w:hAnsi="宋体" w:eastAsia="宋体" w:cs="宋体"/>
          <w:color w:val="auto"/>
          <w:sz w:val="21"/>
          <w:szCs w:val="21"/>
          <w:highlight w:val="none"/>
        </w:rPr>
        <w:t xml:space="preserve"> 承包人、监理人和设计人进行图纸会审和设计交底。发包人至迟不得晚于第</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1"/>
          <w:sz w:val="21"/>
          <w:szCs w:val="21"/>
          <w:highlight w:val="none"/>
        </w:rPr>
        <w:t xml:space="preserve">.3.2 </w:t>
      </w:r>
      <w:r>
        <w:rPr>
          <w:rFonts w:ascii="宋体" w:hAnsi="宋体" w:eastAsia="宋体" w:cs="宋体"/>
          <w:color w:val="auto"/>
          <w:spacing w:val="-1"/>
          <w:sz w:val="21"/>
          <w:szCs w:val="21"/>
          <w:highlight w:val="none"/>
        </w:rPr>
        <w:t>项〔开工</w:t>
      </w:r>
    </w:p>
    <w:p w14:paraId="657773B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通知〕载明的开工日期前</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宋体" w:hAnsi="宋体" w:eastAsia="宋体" w:cs="宋体"/>
          <w:color w:val="auto"/>
          <w:spacing w:val="-3"/>
          <w:sz w:val="21"/>
          <w:szCs w:val="21"/>
          <w:highlight w:val="none"/>
        </w:rPr>
        <w:t>天向承包人提供图纸。</w:t>
      </w:r>
    </w:p>
    <w:p w14:paraId="6ADA4CFB">
      <w:pPr>
        <w:spacing w:before="153" w:line="399" w:lineRule="exact"/>
        <w:ind w:left="457"/>
        <w:rPr>
          <w:rFonts w:ascii="宋体" w:hAnsi="宋体" w:eastAsia="宋体" w:cs="宋体"/>
          <w:color w:val="auto"/>
          <w:sz w:val="21"/>
          <w:szCs w:val="21"/>
          <w:highlight w:val="none"/>
        </w:rPr>
      </w:pPr>
      <w:r>
        <w:rPr>
          <w:rFonts w:ascii="宋体" w:hAnsi="宋体" w:eastAsia="宋体" w:cs="宋体"/>
          <w:color w:val="auto"/>
          <w:spacing w:val="8"/>
          <w:position w:val="14"/>
          <w:sz w:val="21"/>
          <w:szCs w:val="21"/>
          <w:highlight w:val="none"/>
        </w:rPr>
        <w:t>因发包人未按合同约定提供图纸导致承包人费用增加和（或）工期延误的，按照第</w:t>
      </w:r>
    </w:p>
    <w:p w14:paraId="38A427C6">
      <w:pPr>
        <w:spacing w:line="220" w:lineRule="auto"/>
        <w:ind w:left="1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7.5.1 </w:t>
      </w:r>
      <w:r>
        <w:rPr>
          <w:rFonts w:ascii="宋体" w:hAnsi="宋体" w:eastAsia="宋体" w:cs="宋体"/>
          <w:color w:val="auto"/>
          <w:spacing w:val="-1"/>
          <w:sz w:val="21"/>
          <w:szCs w:val="21"/>
          <w:highlight w:val="none"/>
        </w:rPr>
        <w:t>项〔因发包人原因导致工期延误〕约定</w:t>
      </w:r>
      <w:r>
        <w:rPr>
          <w:rFonts w:ascii="宋体" w:hAnsi="宋体" w:eastAsia="宋体" w:cs="宋体"/>
          <w:color w:val="auto"/>
          <w:spacing w:val="-2"/>
          <w:sz w:val="21"/>
          <w:szCs w:val="21"/>
          <w:highlight w:val="none"/>
        </w:rPr>
        <w:t>办理。</w:t>
      </w:r>
    </w:p>
    <w:p w14:paraId="5827FD0B">
      <w:pPr>
        <w:spacing w:before="148" w:line="222"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1.6.2</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5"/>
          <w:sz w:val="21"/>
          <w:szCs w:val="21"/>
          <w:highlight w:val="none"/>
        </w:rPr>
        <w:t>图纸的错误</w:t>
      </w:r>
    </w:p>
    <w:p w14:paraId="3A1ABA18">
      <w:pPr>
        <w:spacing w:before="150"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承包人在收到发包人提供的图纸后， 发现图纸存在差错、遗漏或缺陷的，应及时通知</w:t>
      </w:r>
    </w:p>
    <w:p w14:paraId="489C9DA5">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监理人。监理人接到该通知后，应附具相关意见并立即报送发包人，发包人</w:t>
      </w:r>
      <w:r>
        <w:rPr>
          <w:rFonts w:ascii="宋体" w:hAnsi="宋体" w:eastAsia="宋体" w:cs="宋体"/>
          <w:color w:val="auto"/>
          <w:spacing w:val="2"/>
          <w:sz w:val="21"/>
          <w:szCs w:val="21"/>
          <w:highlight w:val="none"/>
        </w:rPr>
        <w:t>应在收到监理</w:t>
      </w:r>
    </w:p>
    <w:p w14:paraId="5C201972">
      <w:pPr>
        <w:spacing w:line="219" w:lineRule="auto"/>
        <w:rPr>
          <w:rFonts w:ascii="宋体" w:hAnsi="宋体" w:eastAsia="宋体" w:cs="宋体"/>
          <w:color w:val="auto"/>
          <w:sz w:val="21"/>
          <w:szCs w:val="21"/>
          <w:highlight w:val="none"/>
        </w:rPr>
        <w:sectPr>
          <w:footerReference r:id="rId47" w:type="default"/>
          <w:pgSz w:w="11905" w:h="16839"/>
          <w:pgMar w:top="1431" w:right="1614" w:bottom="1004" w:left="1785" w:header="0" w:footer="828" w:gutter="0"/>
          <w:pgNumType w:fmt="decimal"/>
          <w:cols w:space="720" w:num="1"/>
        </w:sectPr>
      </w:pPr>
    </w:p>
    <w:p w14:paraId="62876BD2">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人报送的通知后的合理时间内作出决定。 合理时间是指发包人在收到监理人的报送通知后，</w:t>
      </w:r>
    </w:p>
    <w:p w14:paraId="489985F0">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尽其努力且不懈怠地完成图纸修改补充所需的时间。</w:t>
      </w:r>
    </w:p>
    <w:p w14:paraId="4C2843B4">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1.6.3</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4"/>
          <w:sz w:val="21"/>
          <w:szCs w:val="21"/>
          <w:highlight w:val="none"/>
        </w:rPr>
        <w:t>图纸的修改和补充</w:t>
      </w:r>
    </w:p>
    <w:p w14:paraId="157E91D9">
      <w:pPr>
        <w:spacing w:before="149" w:line="352" w:lineRule="auto"/>
        <w:ind w:left="17" w:right="177" w:firstLine="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图纸需要修改和补充的，应经图纸原设计人</w:t>
      </w:r>
      <w:r>
        <w:rPr>
          <w:rFonts w:ascii="宋体" w:hAnsi="宋体" w:eastAsia="宋体" w:cs="宋体"/>
          <w:color w:val="auto"/>
          <w:spacing w:val="2"/>
          <w:sz w:val="21"/>
          <w:szCs w:val="21"/>
          <w:highlight w:val="none"/>
        </w:rPr>
        <w:t>及审批部门同意，并由监理人在工程或工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程相应部位施工前将修改后的图纸或补充图纸提交给承包人，承包人应按修改</w:t>
      </w:r>
      <w:r>
        <w:rPr>
          <w:rFonts w:ascii="宋体" w:hAnsi="宋体" w:eastAsia="宋体" w:cs="宋体"/>
          <w:color w:val="auto"/>
          <w:spacing w:val="2"/>
          <w:sz w:val="21"/>
          <w:szCs w:val="21"/>
          <w:highlight w:val="none"/>
        </w:rPr>
        <w:t>或补充后的</w:t>
      </w:r>
    </w:p>
    <w:p w14:paraId="6C76CABD">
      <w:pPr>
        <w:spacing w:line="222" w:lineRule="auto"/>
        <w:ind w:left="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图纸施工。</w:t>
      </w:r>
    </w:p>
    <w:p w14:paraId="05A8A6B3">
      <w:pPr>
        <w:spacing w:before="145"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1.6.4 </w:t>
      </w:r>
      <w:r>
        <w:rPr>
          <w:rFonts w:ascii="宋体" w:hAnsi="宋体" w:eastAsia="宋体" w:cs="宋体"/>
          <w:color w:val="auto"/>
          <w:spacing w:val="-2"/>
          <w:sz w:val="21"/>
          <w:szCs w:val="21"/>
          <w:highlight w:val="none"/>
        </w:rPr>
        <w:t>承包人文件</w:t>
      </w:r>
    </w:p>
    <w:p w14:paraId="14F6E7E4">
      <w:pPr>
        <w:spacing w:before="148" w:line="403"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承包人应按照专用合同条款的约定提供应当由其编制的与工程施工有关的文件， 并按</w:t>
      </w:r>
    </w:p>
    <w:p w14:paraId="00FF3E71">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照专用合同条款约定的期限、数量和形式提交监理人，并由监理人报送发包人。</w:t>
      </w:r>
    </w:p>
    <w:p w14:paraId="7C08207B">
      <w:pPr>
        <w:spacing w:before="148" w:line="352" w:lineRule="auto"/>
        <w:ind w:left="17" w:right="177"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除专用合同条款另有约定外，监理人应在收到承包人文件后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天内审查完毕</w:t>
      </w:r>
      <w:r>
        <w:rPr>
          <w:rFonts w:ascii="宋体" w:hAnsi="宋体" w:eastAsia="宋体" w:cs="宋体"/>
          <w:color w:val="auto"/>
          <w:spacing w:val="-1"/>
          <w:sz w:val="21"/>
          <w:szCs w:val="21"/>
          <w:highlight w:val="none"/>
        </w:rPr>
        <w:t>，监理人</w:t>
      </w:r>
      <w:r>
        <w:rPr>
          <w:rFonts w:ascii="宋体" w:hAnsi="宋体" w:eastAsia="宋体" w:cs="宋体"/>
          <w:color w:val="auto"/>
          <w:sz w:val="21"/>
          <w:szCs w:val="21"/>
          <w:highlight w:val="none"/>
        </w:rPr>
        <w:t xml:space="preserve"> 对承包人文件有异议的，承包人应予以修改， 并重新报送监理人。监理人的审查并不减轻</w:t>
      </w:r>
    </w:p>
    <w:p w14:paraId="0C9B05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或免除承包人根据合同约定应当承担的责任。</w:t>
      </w:r>
    </w:p>
    <w:p w14:paraId="18C821C0">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1.6.5</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3"/>
          <w:sz w:val="21"/>
          <w:szCs w:val="21"/>
          <w:highlight w:val="none"/>
        </w:rPr>
        <w:t>图纸和承包人文件的保管</w:t>
      </w:r>
    </w:p>
    <w:p w14:paraId="64308683">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除专用合同条款另有约定外，承包人应在施工现场另外保存一</w:t>
      </w:r>
      <w:r>
        <w:rPr>
          <w:rFonts w:ascii="宋体" w:hAnsi="宋体" w:eastAsia="宋体" w:cs="宋体"/>
          <w:color w:val="auto"/>
          <w:spacing w:val="2"/>
          <w:sz w:val="21"/>
          <w:szCs w:val="21"/>
          <w:highlight w:val="none"/>
        </w:rPr>
        <w:t>套完整的图纸和承包人</w:t>
      </w:r>
    </w:p>
    <w:p w14:paraId="4EABF871">
      <w:pPr>
        <w:spacing w:before="152"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文件，供发包人、监理人及有关人员进行工程检查</w:t>
      </w:r>
      <w:r>
        <w:rPr>
          <w:rFonts w:ascii="宋体" w:hAnsi="宋体" w:eastAsia="宋体" w:cs="宋体"/>
          <w:color w:val="auto"/>
          <w:spacing w:val="-2"/>
          <w:sz w:val="21"/>
          <w:szCs w:val="21"/>
          <w:highlight w:val="none"/>
        </w:rPr>
        <w:t>时使用。</w:t>
      </w:r>
    </w:p>
    <w:p w14:paraId="29EFA090">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1.7</w:t>
      </w:r>
      <w:r>
        <w:rPr>
          <w:rFonts w:ascii="黑体" w:hAnsi="黑体" w:eastAsia="黑体" w:cs="黑体"/>
          <w:color w:val="auto"/>
          <w:spacing w:val="-50"/>
          <w:sz w:val="24"/>
          <w:szCs w:val="24"/>
          <w:highlight w:val="none"/>
        </w:rPr>
        <w:t xml:space="preserve"> </w:t>
      </w:r>
      <w:r>
        <w:rPr>
          <w:rFonts w:ascii="黑体" w:hAnsi="黑体" w:eastAsia="黑体" w:cs="黑体"/>
          <w:color w:val="auto"/>
          <w:spacing w:val="-6"/>
          <w:sz w:val="24"/>
          <w:szCs w:val="24"/>
          <w:highlight w:val="none"/>
        </w:rPr>
        <w:t>联络</w:t>
      </w:r>
    </w:p>
    <w:p w14:paraId="06C849E4">
      <w:pPr>
        <w:spacing w:before="131" w:line="39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1.7.1</w:t>
      </w:r>
      <w:r>
        <w:rPr>
          <w:rFonts w:ascii="Times New Roman" w:hAnsi="Times New Roman" w:eastAsia="Times New Roman" w:cs="Times New Roman"/>
          <w:color w:val="auto"/>
          <w:spacing w:val="53"/>
          <w:w w:val="101"/>
          <w:position w:val="14"/>
          <w:sz w:val="21"/>
          <w:szCs w:val="21"/>
          <w:highlight w:val="none"/>
        </w:rPr>
        <w:t xml:space="preserve"> </w:t>
      </w:r>
      <w:r>
        <w:rPr>
          <w:rFonts w:ascii="宋体" w:hAnsi="宋体" w:eastAsia="宋体" w:cs="宋体"/>
          <w:color w:val="auto"/>
          <w:spacing w:val="-1"/>
          <w:position w:val="14"/>
          <w:sz w:val="21"/>
          <w:szCs w:val="21"/>
          <w:highlight w:val="none"/>
        </w:rPr>
        <w:t>与合同有关的通知、批准、证明、证书、指示、指令、要求、请求、同意、意见、</w:t>
      </w:r>
    </w:p>
    <w:p w14:paraId="5CF52EB0">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确定和决定等，均应采用书面形式，并应在合同约定的期限内送达接收人和送达地点。</w:t>
      </w:r>
    </w:p>
    <w:p w14:paraId="794941C6">
      <w:pPr>
        <w:spacing w:before="153"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position w:val="14"/>
          <w:sz w:val="21"/>
          <w:szCs w:val="21"/>
          <w:highlight w:val="none"/>
        </w:rPr>
        <w:t>发包人和承包人应在专用合同条款中约定各自的送达接收人和送达地点。任何一</w:t>
      </w:r>
    </w:p>
    <w:p w14:paraId="5A89320A">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方合同当事人指定的接收人或送达地点发生变动的，</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应提前</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天以</w:t>
      </w:r>
      <w:r>
        <w:rPr>
          <w:rFonts w:ascii="宋体" w:hAnsi="宋体" w:eastAsia="宋体" w:cs="宋体"/>
          <w:color w:val="auto"/>
          <w:spacing w:val="-4"/>
          <w:sz w:val="21"/>
          <w:szCs w:val="21"/>
          <w:highlight w:val="none"/>
        </w:rPr>
        <w:t>书面形式通知对方。</w:t>
      </w:r>
    </w:p>
    <w:p w14:paraId="2ABB7CA4">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1.7.3</w:t>
      </w:r>
      <w:r>
        <w:rPr>
          <w:rFonts w:ascii="Times New Roman" w:hAnsi="Times New Roman" w:eastAsia="Times New Roman" w:cs="Times New Roman"/>
          <w:color w:val="auto"/>
          <w:spacing w:val="52"/>
          <w:sz w:val="21"/>
          <w:szCs w:val="21"/>
          <w:highlight w:val="none"/>
        </w:rPr>
        <w:t xml:space="preserve"> </w:t>
      </w:r>
      <w:r>
        <w:rPr>
          <w:rFonts w:ascii="宋体" w:hAnsi="宋体" w:eastAsia="宋体" w:cs="宋体"/>
          <w:color w:val="auto"/>
          <w:spacing w:val="-1"/>
          <w:sz w:val="21"/>
          <w:szCs w:val="21"/>
          <w:highlight w:val="none"/>
        </w:rPr>
        <w:t>发包人和承包人应当及时签收另一方送达至送达地点和指定接收人的来往信函。</w:t>
      </w:r>
    </w:p>
    <w:p w14:paraId="7FF06267">
      <w:pPr>
        <w:spacing w:before="153" w:line="221"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拒不签收的，由此增加的费用和（或） 延误的工期由拒绝接收一方承担。</w:t>
      </w:r>
    </w:p>
    <w:p w14:paraId="6B64DFBC">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1.8</w:t>
      </w:r>
      <w:r>
        <w:rPr>
          <w:rFonts w:ascii="黑体" w:hAnsi="黑体" w:eastAsia="黑体" w:cs="黑体"/>
          <w:color w:val="auto"/>
          <w:spacing w:val="-48"/>
          <w:sz w:val="24"/>
          <w:szCs w:val="24"/>
          <w:highlight w:val="none"/>
        </w:rPr>
        <w:t xml:space="preserve"> </w:t>
      </w:r>
      <w:r>
        <w:rPr>
          <w:rFonts w:ascii="黑体" w:hAnsi="黑体" w:eastAsia="黑体" w:cs="黑体"/>
          <w:color w:val="auto"/>
          <w:spacing w:val="-5"/>
          <w:sz w:val="24"/>
          <w:szCs w:val="24"/>
          <w:highlight w:val="none"/>
        </w:rPr>
        <w:t>严禁贿赂</w:t>
      </w:r>
    </w:p>
    <w:p w14:paraId="1113752A">
      <w:pPr>
        <w:spacing w:before="129" w:line="399"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合同当事人不得以贿赂或变相贿赂的方式，谋取非法利益或损害对方权益。因一方合</w:t>
      </w:r>
    </w:p>
    <w:p w14:paraId="64817453">
      <w:pPr>
        <w:spacing w:line="220" w:lineRule="auto"/>
        <w:ind w:left="3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同当事人的贿赂造成对方损失的，应赔偿损失， 并承担相应的法律责任。</w:t>
      </w:r>
    </w:p>
    <w:p w14:paraId="5524CB22">
      <w:pPr>
        <w:spacing w:before="149" w:line="403"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承包人不得与监理人或发包人聘请的第三方串通损害发包人利益。未经发包人书面同</w:t>
      </w:r>
    </w:p>
    <w:p w14:paraId="135566E9">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意，承包人不得为监理人提供合同约定以外</w:t>
      </w:r>
      <w:r>
        <w:rPr>
          <w:rFonts w:ascii="宋体" w:hAnsi="宋体" w:eastAsia="宋体" w:cs="宋体"/>
          <w:color w:val="auto"/>
          <w:spacing w:val="1"/>
          <w:sz w:val="21"/>
          <w:szCs w:val="21"/>
          <w:highlight w:val="none"/>
        </w:rPr>
        <w:t>的通讯设备、交通工具及其他任何形式的利益，</w:t>
      </w:r>
    </w:p>
    <w:p w14:paraId="033B66A1">
      <w:pPr>
        <w:spacing w:before="148" w:line="221"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不得向监理人支付报酬。</w:t>
      </w:r>
    </w:p>
    <w:p w14:paraId="087D8C8B">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1.9</w:t>
      </w:r>
      <w:r>
        <w:rPr>
          <w:rFonts w:ascii="黑体" w:hAnsi="黑体" w:eastAsia="黑体" w:cs="黑体"/>
          <w:color w:val="auto"/>
          <w:spacing w:val="-51"/>
          <w:sz w:val="24"/>
          <w:szCs w:val="24"/>
          <w:highlight w:val="none"/>
        </w:rPr>
        <w:t xml:space="preserve"> </w:t>
      </w:r>
      <w:r>
        <w:rPr>
          <w:rFonts w:ascii="黑体" w:hAnsi="黑体" w:eastAsia="黑体" w:cs="黑体"/>
          <w:color w:val="auto"/>
          <w:spacing w:val="-4"/>
          <w:sz w:val="24"/>
          <w:szCs w:val="24"/>
          <w:highlight w:val="none"/>
        </w:rPr>
        <w:t>化石、文物</w:t>
      </w:r>
    </w:p>
    <w:p w14:paraId="3C008DAC">
      <w:pPr>
        <w:spacing w:before="128" w:line="353" w:lineRule="auto"/>
        <w:ind w:left="17" w:right="182"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在施工现场发掘的所有文物、古迹以及具有地质研究或考古价值的其他遗迹、化石、</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钱币或物品属于国家所有。</w:t>
      </w:r>
      <w:r>
        <w:rPr>
          <w:rFonts w:ascii="宋体" w:hAnsi="宋体" w:eastAsia="宋体" w:cs="宋体"/>
          <w:color w:val="auto"/>
          <w:spacing w:val="-22"/>
          <w:sz w:val="21"/>
          <w:szCs w:val="21"/>
          <w:highlight w:val="none"/>
        </w:rPr>
        <w:t xml:space="preserve"> </w:t>
      </w:r>
      <w:r>
        <w:rPr>
          <w:rFonts w:ascii="宋体" w:hAnsi="宋体" w:eastAsia="宋体" w:cs="宋体"/>
          <w:color w:val="auto"/>
          <w:spacing w:val="1"/>
          <w:sz w:val="21"/>
          <w:szCs w:val="21"/>
          <w:highlight w:val="none"/>
        </w:rPr>
        <w:t>一旦发现上述文物，承包人应采取合理</w:t>
      </w:r>
      <w:r>
        <w:rPr>
          <w:rFonts w:ascii="宋体" w:hAnsi="宋体" w:eastAsia="宋体" w:cs="宋体"/>
          <w:color w:val="auto"/>
          <w:sz w:val="21"/>
          <w:szCs w:val="21"/>
          <w:highlight w:val="none"/>
        </w:rPr>
        <w:t>有效的保护措施，防止</w:t>
      </w:r>
    </w:p>
    <w:p w14:paraId="3CDE317F">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任何人员移动或损坏上述物品，并立即报告有关政府行政管理部门，同时通知监理人。</w:t>
      </w:r>
    </w:p>
    <w:p w14:paraId="03764BBC">
      <w:pPr>
        <w:spacing w:before="150" w:line="403"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发包人、监理人和承包人应按有关政府行政管理部门要求采取妥善的保护措施， 由此</w:t>
      </w:r>
    </w:p>
    <w:p w14:paraId="72326319">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增加的费用和（或） 延误的工期由发包人承担。</w:t>
      </w:r>
    </w:p>
    <w:p w14:paraId="3DFD832D">
      <w:pPr>
        <w:spacing w:before="149" w:line="219"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承包人发现文物后不及时报告或隐瞒不报，致使</w:t>
      </w:r>
      <w:r>
        <w:rPr>
          <w:rFonts w:ascii="宋体" w:hAnsi="宋体" w:eastAsia="宋体" w:cs="宋体"/>
          <w:color w:val="auto"/>
          <w:sz w:val="21"/>
          <w:szCs w:val="21"/>
          <w:highlight w:val="none"/>
        </w:rPr>
        <w:t>文物丢失或损坏的， 应赔偿损失，并</w:t>
      </w:r>
    </w:p>
    <w:p w14:paraId="46ACF679">
      <w:pPr>
        <w:spacing w:line="219" w:lineRule="auto"/>
        <w:rPr>
          <w:rFonts w:ascii="宋体" w:hAnsi="宋体" w:eastAsia="宋体" w:cs="宋体"/>
          <w:color w:val="auto"/>
          <w:sz w:val="21"/>
          <w:szCs w:val="21"/>
          <w:highlight w:val="none"/>
        </w:rPr>
        <w:sectPr>
          <w:footerReference r:id="rId48" w:type="default"/>
          <w:pgSz w:w="11905" w:h="16839"/>
          <w:pgMar w:top="1431" w:right="1614" w:bottom="1004" w:left="1785" w:header="0" w:footer="828" w:gutter="0"/>
          <w:pgNumType w:fmt="decimal"/>
          <w:cols w:space="720" w:num="1"/>
        </w:sectPr>
      </w:pPr>
    </w:p>
    <w:p w14:paraId="25C44E89">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承担相应的法律责任。</w:t>
      </w:r>
    </w:p>
    <w:p w14:paraId="28FF31A0">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1.10</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交通运输</w:t>
      </w:r>
    </w:p>
    <w:p w14:paraId="363C2469">
      <w:pPr>
        <w:spacing w:before="12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1.10.1</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4"/>
          <w:sz w:val="21"/>
          <w:szCs w:val="21"/>
          <w:highlight w:val="none"/>
        </w:rPr>
        <w:t>出入现场的权利</w:t>
      </w:r>
    </w:p>
    <w:p w14:paraId="7D14D160">
      <w:pPr>
        <w:spacing w:before="151" w:line="352" w:lineRule="auto"/>
        <w:ind w:left="17" w:right="163"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除专用合同条款另有约定外，发包人应根据施工需要， 负责取得出入施工现</w:t>
      </w:r>
      <w:r>
        <w:rPr>
          <w:rFonts w:ascii="宋体" w:hAnsi="宋体" w:eastAsia="宋体" w:cs="宋体"/>
          <w:color w:val="auto"/>
          <w:spacing w:val="-1"/>
          <w:sz w:val="21"/>
          <w:szCs w:val="21"/>
          <w:highlight w:val="none"/>
        </w:rPr>
        <w:t>场所需的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批准手续和全部权利， 以及取得因施工所需修建道路、桥</w:t>
      </w:r>
      <w:r>
        <w:rPr>
          <w:rFonts w:ascii="宋体" w:hAnsi="宋体" w:eastAsia="宋体" w:cs="宋体"/>
          <w:color w:val="auto"/>
          <w:spacing w:val="-3"/>
          <w:sz w:val="21"/>
          <w:szCs w:val="21"/>
          <w:highlight w:val="none"/>
        </w:rPr>
        <w:t>梁以及其他基础设施的权利， 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承担相关手续费用和建设费用。承包人应协助发包人办理修建场内外道路、桥</w:t>
      </w:r>
      <w:r>
        <w:rPr>
          <w:rFonts w:ascii="宋体" w:hAnsi="宋体" w:eastAsia="宋体" w:cs="宋体"/>
          <w:color w:val="auto"/>
          <w:spacing w:val="2"/>
          <w:sz w:val="21"/>
          <w:szCs w:val="21"/>
          <w:highlight w:val="none"/>
        </w:rPr>
        <w:t>梁以及其他</w:t>
      </w:r>
    </w:p>
    <w:p w14:paraId="28E82518">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基础设施的手续。</w:t>
      </w:r>
    </w:p>
    <w:p w14:paraId="7168135D">
      <w:pPr>
        <w:spacing w:before="148" w:line="352" w:lineRule="auto"/>
        <w:ind w:left="18" w:right="163"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承包人应在订立合同前查勘施工现场，并根据工程规模及技术参数合理预见工程施工 所需的进出施工现场的方式、手段、路径等</w:t>
      </w:r>
      <w:r>
        <w:rPr>
          <w:rFonts w:ascii="宋体" w:hAnsi="宋体" w:eastAsia="宋体" w:cs="宋体"/>
          <w:color w:val="auto"/>
          <w:spacing w:val="2"/>
          <w:sz w:val="21"/>
          <w:szCs w:val="21"/>
          <w:highlight w:val="none"/>
        </w:rPr>
        <w:t>。因承包人未合理预见所增加的费用和（或）</w:t>
      </w:r>
    </w:p>
    <w:p w14:paraId="0F9F0C2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延误的工期由承包人承担。</w:t>
      </w:r>
    </w:p>
    <w:p w14:paraId="0C1E49A7">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1.10.2 </w:t>
      </w:r>
      <w:r>
        <w:rPr>
          <w:rFonts w:ascii="宋体" w:hAnsi="宋体" w:eastAsia="宋体" w:cs="宋体"/>
          <w:color w:val="auto"/>
          <w:spacing w:val="-2"/>
          <w:sz w:val="21"/>
          <w:szCs w:val="21"/>
          <w:highlight w:val="none"/>
        </w:rPr>
        <w:t>场外交通</w:t>
      </w:r>
    </w:p>
    <w:p w14:paraId="3D896E9D">
      <w:pPr>
        <w:spacing w:before="146" w:line="352" w:lineRule="auto"/>
        <w:ind w:left="18" w:right="163"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发包人应提供场外交通设施的技术参数和具体条件，承包人应遵守有关交通法规，严</w:t>
      </w:r>
      <w:r>
        <w:rPr>
          <w:rFonts w:ascii="宋体" w:hAnsi="宋体" w:eastAsia="宋体" w:cs="宋体"/>
          <w:color w:val="auto"/>
          <w:sz w:val="21"/>
          <w:szCs w:val="21"/>
          <w:highlight w:val="none"/>
        </w:rPr>
        <w:t xml:space="preserve"> 格按照道路和桥梁的限制荷载行驶，执行有关道路限速、限行、禁止超载的规定， 并配合</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交通管理部门的监督和检查。场外交通设施无法满足工程施工需要的， 由发包人负责完善</w:t>
      </w:r>
    </w:p>
    <w:p w14:paraId="7E1D808E">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并承担相关费用。</w:t>
      </w:r>
    </w:p>
    <w:p w14:paraId="26D63A79">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1.10.3 </w:t>
      </w:r>
      <w:r>
        <w:rPr>
          <w:rFonts w:ascii="宋体" w:hAnsi="宋体" w:eastAsia="宋体" w:cs="宋体"/>
          <w:color w:val="auto"/>
          <w:spacing w:val="-3"/>
          <w:sz w:val="21"/>
          <w:szCs w:val="21"/>
          <w:highlight w:val="none"/>
        </w:rPr>
        <w:t>场内交通</w:t>
      </w:r>
    </w:p>
    <w:p w14:paraId="3340EDF5">
      <w:pPr>
        <w:spacing w:before="148" w:line="352" w:lineRule="auto"/>
        <w:ind w:left="18" w:right="163"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发包人应提供场内交通设施的技术参数和具体条件，并应按照专用合同条款的约定向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承包人免费提供满足工程施工所需的场内道路和交通设施。因承包人原因造</w:t>
      </w:r>
      <w:r>
        <w:rPr>
          <w:rFonts w:ascii="宋体" w:hAnsi="宋体" w:eastAsia="宋体" w:cs="宋体"/>
          <w:color w:val="auto"/>
          <w:spacing w:val="2"/>
          <w:sz w:val="21"/>
          <w:szCs w:val="21"/>
          <w:highlight w:val="none"/>
        </w:rPr>
        <w:t>成上述道路或</w:t>
      </w:r>
    </w:p>
    <w:p w14:paraId="1BB54ABD">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交通设施损坏的，承包人负责修复并承担由此</w:t>
      </w:r>
      <w:r>
        <w:rPr>
          <w:rFonts w:ascii="宋体" w:hAnsi="宋体" w:eastAsia="宋体" w:cs="宋体"/>
          <w:color w:val="auto"/>
          <w:spacing w:val="-2"/>
          <w:sz w:val="21"/>
          <w:szCs w:val="21"/>
          <w:highlight w:val="none"/>
        </w:rPr>
        <w:t>增加的费用。</w:t>
      </w:r>
    </w:p>
    <w:p w14:paraId="083383E0">
      <w:pPr>
        <w:spacing w:before="146" w:line="353" w:lineRule="auto"/>
        <w:ind w:left="19" w:right="163"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除发包人按照合同约定提供的场内道路和交通设施外， 承包人负责修建、维</w:t>
      </w:r>
      <w:r>
        <w:rPr>
          <w:rFonts w:ascii="宋体" w:hAnsi="宋体" w:eastAsia="宋体" w:cs="宋体"/>
          <w:color w:val="auto"/>
          <w:spacing w:val="-1"/>
          <w:sz w:val="21"/>
          <w:szCs w:val="21"/>
          <w:highlight w:val="none"/>
        </w:rPr>
        <w:t>修、养护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和管理施工所需的其他场内临时道路和交通设施。发包人和监理人可以为实</w:t>
      </w:r>
      <w:r>
        <w:rPr>
          <w:rFonts w:ascii="宋体" w:hAnsi="宋体" w:eastAsia="宋体" w:cs="宋体"/>
          <w:color w:val="auto"/>
          <w:spacing w:val="2"/>
          <w:sz w:val="21"/>
          <w:szCs w:val="21"/>
          <w:highlight w:val="none"/>
        </w:rPr>
        <w:t>现合同目的使</w:t>
      </w:r>
    </w:p>
    <w:p w14:paraId="0EAE78C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用承包人修建的场内临时道路和交通设施。</w:t>
      </w:r>
    </w:p>
    <w:p w14:paraId="085F7D0A">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z w:val="21"/>
          <w:szCs w:val="21"/>
          <w:highlight w:val="none"/>
        </w:rPr>
        <w:t>场外交通和场内交通的边界由合同当事人在专用合同条款</w:t>
      </w:r>
      <w:r>
        <w:rPr>
          <w:rFonts w:ascii="宋体" w:hAnsi="宋体" w:eastAsia="宋体" w:cs="宋体"/>
          <w:color w:val="auto"/>
          <w:spacing w:val="-1"/>
          <w:sz w:val="21"/>
          <w:szCs w:val="21"/>
          <w:highlight w:val="none"/>
        </w:rPr>
        <w:t>中约定。</w:t>
      </w:r>
    </w:p>
    <w:p w14:paraId="7269865A">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1.10.4 </w:t>
      </w:r>
      <w:r>
        <w:rPr>
          <w:rFonts w:ascii="宋体" w:hAnsi="宋体" w:eastAsia="宋体" w:cs="宋体"/>
          <w:color w:val="auto"/>
          <w:spacing w:val="-2"/>
          <w:sz w:val="21"/>
          <w:szCs w:val="21"/>
          <w:highlight w:val="none"/>
        </w:rPr>
        <w:t>超大件和超重件的运输</w:t>
      </w:r>
    </w:p>
    <w:p w14:paraId="1F5034AD">
      <w:pPr>
        <w:spacing w:before="151" w:line="351" w:lineRule="auto"/>
        <w:ind w:left="21" w:firstLine="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由承包人负责运输的超大件或超重件， 应由承包人负责向交通管理部门办理申请手续，</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发包人给予协助。运输超大件或超重件所需的道路和桥梁临时加固改</w:t>
      </w:r>
      <w:r>
        <w:rPr>
          <w:rFonts w:ascii="宋体" w:hAnsi="宋体" w:eastAsia="宋体" w:cs="宋体"/>
          <w:color w:val="auto"/>
          <w:spacing w:val="2"/>
          <w:sz w:val="21"/>
          <w:szCs w:val="21"/>
          <w:highlight w:val="none"/>
        </w:rPr>
        <w:t>造费用和其他有关费</w:t>
      </w:r>
    </w:p>
    <w:p w14:paraId="4198048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用，由承包人承担， 但专用合同条款另有约定除外。</w:t>
      </w:r>
    </w:p>
    <w:p w14:paraId="6BB2F574">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1.10.5 </w:t>
      </w:r>
      <w:r>
        <w:rPr>
          <w:rFonts w:ascii="宋体" w:hAnsi="宋体" w:eastAsia="宋体" w:cs="宋体"/>
          <w:color w:val="auto"/>
          <w:spacing w:val="-2"/>
          <w:sz w:val="21"/>
          <w:szCs w:val="21"/>
          <w:highlight w:val="none"/>
        </w:rPr>
        <w:t>道路和桥梁的损坏责任</w:t>
      </w:r>
    </w:p>
    <w:p w14:paraId="6557B869">
      <w:pPr>
        <w:spacing w:before="147" w:line="399" w:lineRule="exact"/>
        <w:ind w:left="45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因承包人运输造成施工场地内外公共道路和桥梁损坏</w:t>
      </w:r>
      <w:r>
        <w:rPr>
          <w:rFonts w:ascii="宋体" w:hAnsi="宋体" w:eastAsia="宋体" w:cs="宋体"/>
          <w:color w:val="auto"/>
          <w:spacing w:val="2"/>
          <w:position w:val="14"/>
          <w:sz w:val="21"/>
          <w:szCs w:val="21"/>
          <w:highlight w:val="none"/>
        </w:rPr>
        <w:t>的，由承包人承担修复损坏的全</w:t>
      </w:r>
    </w:p>
    <w:p w14:paraId="0433D89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部费用和可能引起的赔偿。</w:t>
      </w:r>
    </w:p>
    <w:p w14:paraId="42EE82CE">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1.10.6 </w:t>
      </w:r>
      <w:r>
        <w:rPr>
          <w:rFonts w:ascii="宋体" w:hAnsi="宋体" w:eastAsia="宋体" w:cs="宋体"/>
          <w:color w:val="auto"/>
          <w:spacing w:val="-2"/>
          <w:sz w:val="21"/>
          <w:szCs w:val="21"/>
          <w:highlight w:val="none"/>
        </w:rPr>
        <w:t>水路和航空运输</w:t>
      </w:r>
    </w:p>
    <w:p w14:paraId="40A54F4A">
      <w:pPr>
        <w:spacing w:before="148"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本款前述各项的内容适用于水路运输和航空运输，其中</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道路</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一词的涵义包括河道、</w:t>
      </w:r>
    </w:p>
    <w:p w14:paraId="13E2FBD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航线、船闸、机场、码头、堤防以及水路或航</w:t>
      </w:r>
      <w:r>
        <w:rPr>
          <w:rFonts w:ascii="宋体" w:hAnsi="宋体" w:eastAsia="宋体" w:cs="宋体"/>
          <w:color w:val="auto"/>
          <w:spacing w:val="3"/>
          <w:sz w:val="21"/>
          <w:szCs w:val="21"/>
          <w:highlight w:val="none"/>
        </w:rPr>
        <w:t>空运输中其他相似结构物；</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车辆</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一词的涵</w:t>
      </w:r>
    </w:p>
    <w:p w14:paraId="058C9D70">
      <w:pPr>
        <w:spacing w:before="153"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义包括船舶和飞机等。</w:t>
      </w:r>
    </w:p>
    <w:p w14:paraId="45320B36">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1.11</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知识产权</w:t>
      </w:r>
    </w:p>
    <w:p w14:paraId="7FA802A4">
      <w:pPr>
        <w:spacing w:line="220" w:lineRule="auto"/>
        <w:rPr>
          <w:rFonts w:ascii="黑体" w:hAnsi="黑体" w:eastAsia="黑体" w:cs="黑体"/>
          <w:color w:val="auto"/>
          <w:sz w:val="24"/>
          <w:szCs w:val="24"/>
          <w:highlight w:val="none"/>
        </w:rPr>
        <w:sectPr>
          <w:footerReference r:id="rId49" w:type="default"/>
          <w:pgSz w:w="11905" w:h="16839"/>
          <w:pgMar w:top="1431" w:right="1628" w:bottom="1004" w:left="1785" w:header="0" w:footer="828" w:gutter="0"/>
          <w:pgNumType w:fmt="decimal"/>
          <w:cols w:space="720" w:num="1"/>
        </w:sectPr>
      </w:pPr>
    </w:p>
    <w:p w14:paraId="4585302A">
      <w:pPr>
        <w:spacing w:before="151" w:line="351" w:lineRule="auto"/>
        <w:ind w:left="19" w:right="182" w:firstLine="43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1.11.1</w:t>
      </w:r>
      <w:r>
        <w:rPr>
          <w:rFonts w:ascii="Times New Roman" w:hAnsi="Times New Roman" w:eastAsia="Times New Roman" w:cs="Times New Roman"/>
          <w:color w:val="auto"/>
          <w:spacing w:val="50"/>
          <w:sz w:val="21"/>
          <w:szCs w:val="21"/>
          <w:highlight w:val="none"/>
        </w:rPr>
        <w:t xml:space="preserve"> </w:t>
      </w:r>
      <w:r>
        <w:rPr>
          <w:rFonts w:ascii="宋体" w:hAnsi="宋体" w:eastAsia="宋体" w:cs="宋体"/>
          <w:color w:val="auto"/>
          <w:spacing w:val="3"/>
          <w:sz w:val="21"/>
          <w:szCs w:val="21"/>
          <w:highlight w:val="none"/>
        </w:rPr>
        <w:t>除专用合同条款另有约定外，</w:t>
      </w:r>
      <w:r>
        <w:rPr>
          <w:rFonts w:ascii="宋体" w:hAnsi="宋体" w:eastAsia="宋体" w:cs="宋体"/>
          <w:color w:val="auto"/>
          <w:spacing w:val="2"/>
          <w:sz w:val="21"/>
          <w:szCs w:val="21"/>
          <w:highlight w:val="none"/>
        </w:rPr>
        <w:t>发包人提供给承包人的图纸、发包人为实施工程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自行编制或委托编制的技术规范以及反映发包人要求的或其他类似性质的文</w:t>
      </w:r>
      <w:r>
        <w:rPr>
          <w:rFonts w:ascii="宋体" w:hAnsi="宋体" w:eastAsia="宋体" w:cs="宋体"/>
          <w:color w:val="auto"/>
          <w:spacing w:val="2"/>
          <w:sz w:val="21"/>
          <w:szCs w:val="21"/>
          <w:highlight w:val="none"/>
        </w:rPr>
        <w:t>件的著作权属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于发包人，承包人可以为实现合同目的而复制、使用此类文件，但不能用于</w:t>
      </w:r>
      <w:r>
        <w:rPr>
          <w:rFonts w:ascii="宋体" w:hAnsi="宋体" w:eastAsia="宋体" w:cs="宋体"/>
          <w:color w:val="auto"/>
          <w:spacing w:val="2"/>
          <w:sz w:val="21"/>
          <w:szCs w:val="21"/>
          <w:highlight w:val="none"/>
        </w:rPr>
        <w:t>与合同无关的</w:t>
      </w:r>
      <w:r>
        <w:rPr>
          <w:rFonts w:ascii="宋体" w:hAnsi="宋体" w:eastAsia="宋体" w:cs="宋体"/>
          <w:color w:val="auto"/>
          <w:sz w:val="21"/>
          <w:szCs w:val="21"/>
          <w:highlight w:val="none"/>
        </w:rPr>
        <w:t xml:space="preserve"> 其他事项。未经发包人书面同意， 承包人不得为了合同以外的目的而复制、使用上述文件</w:t>
      </w:r>
    </w:p>
    <w:p w14:paraId="233FA433">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或将之提供给任何第三方。</w:t>
      </w:r>
    </w:p>
    <w:p w14:paraId="0034F72D">
      <w:pPr>
        <w:spacing w:before="152" w:line="352" w:lineRule="auto"/>
        <w:ind w:left="20" w:right="182" w:firstLine="43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1.11.2</w:t>
      </w:r>
      <w:r>
        <w:rPr>
          <w:rFonts w:ascii="Times New Roman" w:hAnsi="Times New Roman" w:eastAsia="Times New Roman" w:cs="Times New Roman"/>
          <w:color w:val="auto"/>
          <w:spacing w:val="50"/>
          <w:sz w:val="21"/>
          <w:szCs w:val="21"/>
          <w:highlight w:val="none"/>
        </w:rPr>
        <w:t xml:space="preserve"> </w:t>
      </w:r>
      <w:r>
        <w:rPr>
          <w:rFonts w:ascii="宋体" w:hAnsi="宋体" w:eastAsia="宋体" w:cs="宋体"/>
          <w:color w:val="auto"/>
          <w:spacing w:val="3"/>
          <w:sz w:val="21"/>
          <w:szCs w:val="21"/>
          <w:highlight w:val="none"/>
        </w:rPr>
        <w:t>除专用合同条款另有约定外，</w:t>
      </w:r>
      <w:r>
        <w:rPr>
          <w:rFonts w:ascii="宋体" w:hAnsi="宋体" w:eastAsia="宋体" w:cs="宋体"/>
          <w:color w:val="auto"/>
          <w:spacing w:val="2"/>
          <w:sz w:val="21"/>
          <w:szCs w:val="21"/>
          <w:highlight w:val="none"/>
        </w:rPr>
        <w:t>承包人为实施工程所编制的文件，除署名权以外</w:t>
      </w:r>
      <w:r>
        <w:rPr>
          <w:rFonts w:ascii="宋体" w:hAnsi="宋体" w:eastAsia="宋体" w:cs="宋体"/>
          <w:color w:val="auto"/>
          <w:sz w:val="21"/>
          <w:szCs w:val="21"/>
          <w:highlight w:val="none"/>
        </w:rPr>
        <w:t xml:space="preserve"> 的著作权属于发包人， 承包人可因实施工程的运行、调试、维修、改造等目的而复制、使</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用此类文件， 但不能用于与合同无关的其他事项。未经发包人书面同意，承包人不得为了</w:t>
      </w:r>
    </w:p>
    <w:p w14:paraId="22D4030D">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合同以外的目的而复制、使用上述文件或将之提供给</w:t>
      </w:r>
      <w:r>
        <w:rPr>
          <w:rFonts w:ascii="宋体" w:hAnsi="宋体" w:eastAsia="宋体" w:cs="宋体"/>
          <w:color w:val="auto"/>
          <w:spacing w:val="-1"/>
          <w:sz w:val="21"/>
          <w:szCs w:val="21"/>
          <w:highlight w:val="none"/>
        </w:rPr>
        <w:t>任何第三方。</w:t>
      </w:r>
    </w:p>
    <w:p w14:paraId="707F7E80">
      <w:pPr>
        <w:spacing w:before="148" w:line="352" w:lineRule="auto"/>
        <w:ind w:left="18" w:right="182" w:firstLine="439"/>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1.11.3</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3"/>
          <w:sz w:val="21"/>
          <w:szCs w:val="21"/>
          <w:highlight w:val="none"/>
        </w:rPr>
        <w:t>合同当事人保证在履行合同过程中不侵犯对方及第三方的</w:t>
      </w:r>
      <w:r>
        <w:rPr>
          <w:rFonts w:ascii="宋体" w:hAnsi="宋体" w:eastAsia="宋体" w:cs="宋体"/>
          <w:color w:val="auto"/>
          <w:spacing w:val="2"/>
          <w:sz w:val="21"/>
          <w:szCs w:val="21"/>
          <w:highlight w:val="none"/>
        </w:rPr>
        <w:t>知识产权。承包人在</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使用材料、施工设备、工程设备或采用施工工艺时，因侵犯他人的专利权或</w:t>
      </w:r>
      <w:r>
        <w:rPr>
          <w:rFonts w:ascii="宋体" w:hAnsi="宋体" w:eastAsia="宋体" w:cs="宋体"/>
          <w:color w:val="auto"/>
          <w:spacing w:val="2"/>
          <w:sz w:val="21"/>
          <w:szCs w:val="21"/>
          <w:highlight w:val="none"/>
        </w:rPr>
        <w:t>其他知识产权</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所引起的责任，由承包人承担；因发包人提供的材料、施工设备、工程设备</w:t>
      </w:r>
      <w:r>
        <w:rPr>
          <w:rFonts w:ascii="宋体" w:hAnsi="宋体" w:eastAsia="宋体" w:cs="宋体"/>
          <w:color w:val="auto"/>
          <w:spacing w:val="2"/>
          <w:sz w:val="21"/>
          <w:szCs w:val="21"/>
          <w:highlight w:val="none"/>
        </w:rPr>
        <w:t>或施工工艺导</w:t>
      </w:r>
    </w:p>
    <w:p w14:paraId="7439B468">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致侵权的，</w:t>
      </w:r>
      <w:r>
        <w:rPr>
          <w:rFonts w:ascii="宋体" w:hAnsi="宋体" w:eastAsia="宋体" w:cs="宋体"/>
          <w:color w:val="auto"/>
          <w:spacing w:val="87"/>
          <w:sz w:val="21"/>
          <w:szCs w:val="21"/>
          <w:highlight w:val="none"/>
        </w:rPr>
        <w:t xml:space="preserve"> </w:t>
      </w:r>
      <w:r>
        <w:rPr>
          <w:rFonts w:ascii="宋体" w:hAnsi="宋体" w:eastAsia="宋体" w:cs="宋体"/>
          <w:color w:val="auto"/>
          <w:spacing w:val="-14"/>
          <w:sz w:val="21"/>
          <w:szCs w:val="21"/>
          <w:highlight w:val="none"/>
        </w:rPr>
        <w:t>由发包人承担责任。</w:t>
      </w:r>
    </w:p>
    <w:p w14:paraId="1CACDE13">
      <w:pPr>
        <w:spacing w:before="148" w:line="220"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1.11.4</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pacing w:val="-1"/>
          <w:sz w:val="21"/>
          <w:szCs w:val="21"/>
          <w:highlight w:val="none"/>
        </w:rPr>
        <w:t>除专用合同条款另有约定外， 承包人在合同签订前和签订时已确定采用的专利、</w:t>
      </w:r>
    </w:p>
    <w:p w14:paraId="7D39102E">
      <w:pPr>
        <w:spacing w:before="153"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专有技术、技术秘密的使用费已包含在签约合同价中。</w:t>
      </w:r>
    </w:p>
    <w:p w14:paraId="24172837">
      <w:pPr>
        <w:spacing w:before="48" w:line="218"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1.12</w:t>
      </w:r>
      <w:r>
        <w:rPr>
          <w:rFonts w:ascii="黑体" w:hAnsi="黑体" w:eastAsia="黑体" w:cs="黑体"/>
          <w:color w:val="auto"/>
          <w:spacing w:val="-51"/>
          <w:sz w:val="24"/>
          <w:szCs w:val="24"/>
          <w:highlight w:val="none"/>
        </w:rPr>
        <w:t xml:space="preserve"> </w:t>
      </w:r>
      <w:r>
        <w:rPr>
          <w:rFonts w:ascii="黑体" w:hAnsi="黑体" w:eastAsia="黑体" w:cs="黑体"/>
          <w:color w:val="auto"/>
          <w:spacing w:val="-5"/>
          <w:sz w:val="24"/>
          <w:szCs w:val="24"/>
          <w:highlight w:val="none"/>
        </w:rPr>
        <w:t>保密</w:t>
      </w:r>
    </w:p>
    <w:p w14:paraId="7A95895D">
      <w:pPr>
        <w:spacing w:before="130" w:line="399" w:lineRule="exact"/>
        <w:ind w:left="45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除法律规定或合同另有约定外， 未经发包人同意，承包人不得</w:t>
      </w:r>
      <w:r>
        <w:rPr>
          <w:rFonts w:ascii="宋体" w:hAnsi="宋体" w:eastAsia="宋体" w:cs="宋体"/>
          <w:color w:val="auto"/>
          <w:spacing w:val="-1"/>
          <w:position w:val="14"/>
          <w:sz w:val="21"/>
          <w:szCs w:val="21"/>
          <w:highlight w:val="none"/>
        </w:rPr>
        <w:t>将发包人提供的图纸、</w:t>
      </w:r>
    </w:p>
    <w:p w14:paraId="3760AC82">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文件以及声明需要保密的资料信息等商业秘密泄露</w:t>
      </w:r>
      <w:r>
        <w:rPr>
          <w:rFonts w:ascii="宋体" w:hAnsi="宋体" w:eastAsia="宋体" w:cs="宋体"/>
          <w:color w:val="auto"/>
          <w:spacing w:val="-2"/>
          <w:sz w:val="21"/>
          <w:szCs w:val="21"/>
          <w:highlight w:val="none"/>
        </w:rPr>
        <w:t>给第三方。</w:t>
      </w:r>
    </w:p>
    <w:p w14:paraId="39FA7979">
      <w:pPr>
        <w:spacing w:before="152"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除法律规定或合同另有约定外， 未经承包人同意，发包人不得将承包人提供</w:t>
      </w:r>
      <w:r>
        <w:rPr>
          <w:rFonts w:ascii="宋体" w:hAnsi="宋体" w:eastAsia="宋体" w:cs="宋体"/>
          <w:color w:val="auto"/>
          <w:spacing w:val="-1"/>
          <w:sz w:val="21"/>
          <w:szCs w:val="21"/>
          <w:highlight w:val="none"/>
        </w:rPr>
        <w:t>的技术秘</w:t>
      </w:r>
    </w:p>
    <w:p w14:paraId="13D18311">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密及声明需要保密的资料信息等商业秘密泄露给第三方。</w:t>
      </w:r>
    </w:p>
    <w:p w14:paraId="67438ECD">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1.13</w:t>
      </w:r>
      <w:r>
        <w:rPr>
          <w:rFonts w:ascii="黑体" w:hAnsi="黑体" w:eastAsia="黑体" w:cs="黑体"/>
          <w:color w:val="auto"/>
          <w:spacing w:val="-42"/>
          <w:sz w:val="24"/>
          <w:szCs w:val="24"/>
          <w:highlight w:val="none"/>
        </w:rPr>
        <w:t xml:space="preserve"> </w:t>
      </w:r>
      <w:r>
        <w:rPr>
          <w:rFonts w:ascii="黑体" w:hAnsi="黑体" w:eastAsia="黑体" w:cs="黑体"/>
          <w:color w:val="auto"/>
          <w:spacing w:val="-3"/>
          <w:sz w:val="24"/>
          <w:szCs w:val="24"/>
          <w:highlight w:val="none"/>
        </w:rPr>
        <w:t>工程量清单错误的修正</w:t>
      </w:r>
    </w:p>
    <w:p w14:paraId="50794338">
      <w:pPr>
        <w:spacing w:before="129" w:line="399"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除专用合同条款另有约定外，发包人提供的工程量清单，应被认为是准确的和完</w:t>
      </w:r>
      <w:r>
        <w:rPr>
          <w:rFonts w:ascii="宋体" w:hAnsi="宋体" w:eastAsia="宋体" w:cs="宋体"/>
          <w:color w:val="auto"/>
          <w:spacing w:val="1"/>
          <w:position w:val="14"/>
          <w:sz w:val="21"/>
          <w:szCs w:val="21"/>
          <w:highlight w:val="none"/>
        </w:rPr>
        <w:t>整的。</w:t>
      </w:r>
    </w:p>
    <w:p w14:paraId="02E0BE84">
      <w:pPr>
        <w:spacing w:line="219" w:lineRule="auto"/>
        <w:ind w:left="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出现下列情形之一时，发包人应予以修正，并相应调整合同价格：</w:t>
      </w:r>
    </w:p>
    <w:p w14:paraId="4B8350C6">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）工程量清单存在缺项、漏项的；</w:t>
      </w:r>
    </w:p>
    <w:p w14:paraId="29686BDE">
      <w:pPr>
        <w:spacing w:before="148"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）工程量清单偏差超出专用合同条款约定的工</w:t>
      </w:r>
      <w:r>
        <w:rPr>
          <w:rFonts w:ascii="宋体" w:hAnsi="宋体" w:eastAsia="宋体" w:cs="宋体"/>
          <w:color w:val="auto"/>
          <w:spacing w:val="-2"/>
          <w:position w:val="14"/>
          <w:sz w:val="21"/>
          <w:szCs w:val="21"/>
          <w:highlight w:val="none"/>
        </w:rPr>
        <w:t>程量偏差范围的；</w:t>
      </w:r>
    </w:p>
    <w:p w14:paraId="58FEEE98">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）未按照国家现行计量规范强制性规定计量的。</w:t>
      </w:r>
    </w:p>
    <w:p w14:paraId="0521A2E0">
      <w:pPr>
        <w:spacing w:before="178" w:line="219" w:lineRule="auto"/>
        <w:ind w:left="2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2.发包人</w:t>
      </w:r>
    </w:p>
    <w:p w14:paraId="11750C3A">
      <w:pPr>
        <w:spacing w:before="146" w:line="219"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2.1 许可或批准</w:t>
      </w:r>
    </w:p>
    <w:p w14:paraId="00EC75F3">
      <w:pPr>
        <w:spacing w:before="128" w:line="352" w:lineRule="auto"/>
        <w:ind w:left="21" w:right="181"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发包人应遵守法律，并办理法律规定由其办理的许可、批准或备案， 包括但不限于建</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设用地规划许可证、建设工程规划许可证、建设工程施工许可证、施</w:t>
      </w:r>
      <w:r>
        <w:rPr>
          <w:rFonts w:ascii="宋体" w:hAnsi="宋体" w:eastAsia="宋体" w:cs="宋体"/>
          <w:color w:val="auto"/>
          <w:spacing w:val="2"/>
          <w:sz w:val="21"/>
          <w:szCs w:val="21"/>
          <w:highlight w:val="none"/>
        </w:rPr>
        <w:t>工所需临时用水、临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时用电、中断道路交通、临时占用土地等许可和批准。发包人应协助</w:t>
      </w:r>
      <w:r>
        <w:rPr>
          <w:rFonts w:ascii="宋体" w:hAnsi="宋体" w:eastAsia="宋体" w:cs="宋体"/>
          <w:color w:val="auto"/>
          <w:spacing w:val="2"/>
          <w:sz w:val="21"/>
          <w:szCs w:val="21"/>
          <w:highlight w:val="none"/>
        </w:rPr>
        <w:t>承包人办理法律规定</w:t>
      </w:r>
    </w:p>
    <w:p w14:paraId="1C1BA568">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的有关施工证件和批件。</w:t>
      </w:r>
    </w:p>
    <w:p w14:paraId="27C905D5">
      <w:pPr>
        <w:spacing w:before="147" w:line="221"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因发包人原因未能及时办理完毕前述许可、批准或备</w:t>
      </w:r>
      <w:r>
        <w:rPr>
          <w:rFonts w:ascii="宋体" w:hAnsi="宋体" w:eastAsia="宋体" w:cs="宋体"/>
          <w:color w:val="auto"/>
          <w:spacing w:val="2"/>
          <w:sz w:val="21"/>
          <w:szCs w:val="21"/>
          <w:highlight w:val="none"/>
        </w:rPr>
        <w:t>案，由发包人承担由此增加的费</w:t>
      </w:r>
    </w:p>
    <w:p w14:paraId="3D545D21">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用和（或） 延误的工期，并支付承包人合理的利润。</w:t>
      </w:r>
    </w:p>
    <w:p w14:paraId="201D30DA">
      <w:pPr>
        <w:spacing w:before="47"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2.2 发包人代表</w:t>
      </w:r>
    </w:p>
    <w:p w14:paraId="104A836F">
      <w:pPr>
        <w:spacing w:line="218" w:lineRule="auto"/>
        <w:rPr>
          <w:rFonts w:ascii="黑体" w:hAnsi="黑体" w:eastAsia="黑体" w:cs="黑体"/>
          <w:color w:val="auto"/>
          <w:sz w:val="24"/>
          <w:szCs w:val="24"/>
          <w:highlight w:val="none"/>
        </w:rPr>
        <w:sectPr>
          <w:footerReference r:id="rId50" w:type="default"/>
          <w:pgSz w:w="11905" w:h="16839"/>
          <w:pgMar w:top="1431" w:right="1610" w:bottom="1004" w:left="1785" w:header="0" w:footer="828" w:gutter="0"/>
          <w:pgNumType w:fmt="decimal"/>
          <w:cols w:space="720" w:num="1"/>
        </w:sectPr>
      </w:pPr>
    </w:p>
    <w:p w14:paraId="0F137D83">
      <w:pPr>
        <w:spacing w:before="148" w:line="352" w:lineRule="auto"/>
        <w:ind w:left="18" w:right="179"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发包人应在专用合同条款中明确其派驻施工现场的发包人代表的姓名、职务、联系方</w:t>
      </w:r>
      <w:r>
        <w:rPr>
          <w:rFonts w:ascii="宋体" w:hAnsi="宋体" w:eastAsia="宋体" w:cs="宋体"/>
          <w:color w:val="auto"/>
          <w:sz w:val="21"/>
          <w:szCs w:val="21"/>
          <w:highlight w:val="none"/>
        </w:rPr>
        <w:t xml:space="preserve"> 式及授权范围等事项。发包人代表在发包人的授权范围内， 负责处理合同履行过程中与发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包人有关的具体事宜。发包人代表在授权范围内的行为由发包人承担法律责</w:t>
      </w:r>
      <w:r>
        <w:rPr>
          <w:rFonts w:ascii="宋体" w:hAnsi="宋体" w:eastAsia="宋体" w:cs="宋体"/>
          <w:color w:val="auto"/>
          <w:spacing w:val="2"/>
          <w:sz w:val="21"/>
          <w:szCs w:val="21"/>
          <w:highlight w:val="none"/>
        </w:rPr>
        <w:t>任。发包人更</w:t>
      </w:r>
    </w:p>
    <w:p w14:paraId="404FC889">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换发包人代表的，应提前</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天书面通知承包</w:t>
      </w:r>
      <w:r>
        <w:rPr>
          <w:rFonts w:ascii="宋体" w:hAnsi="宋体" w:eastAsia="宋体" w:cs="宋体"/>
          <w:color w:val="auto"/>
          <w:spacing w:val="-2"/>
          <w:sz w:val="21"/>
          <w:szCs w:val="21"/>
          <w:highlight w:val="none"/>
        </w:rPr>
        <w:t>人。</w:t>
      </w:r>
    </w:p>
    <w:p w14:paraId="4EDE14EB">
      <w:pPr>
        <w:spacing w:before="148" w:line="403"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发包人代表不能按照合同约定履行其职责及义务，并导致合同无法继</w:t>
      </w:r>
      <w:r>
        <w:rPr>
          <w:rFonts w:ascii="宋体" w:hAnsi="宋体" w:eastAsia="宋体" w:cs="宋体"/>
          <w:color w:val="auto"/>
          <w:spacing w:val="2"/>
          <w:position w:val="14"/>
          <w:sz w:val="21"/>
          <w:szCs w:val="21"/>
          <w:highlight w:val="none"/>
        </w:rPr>
        <w:t>续正常履行的，</w:t>
      </w:r>
    </w:p>
    <w:p w14:paraId="134E5E9E">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承包人可以要求发包人撤换发包人代表。</w:t>
      </w:r>
    </w:p>
    <w:p w14:paraId="5BF312FF">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不属于法定必须监理的工程，监理人的职权可以由发包人代表或发包人指定的其他人</w:t>
      </w:r>
    </w:p>
    <w:p w14:paraId="5E30F962">
      <w:pPr>
        <w:spacing w:before="148" w:line="221" w:lineRule="auto"/>
        <w:ind w:left="2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员行使。</w:t>
      </w:r>
    </w:p>
    <w:p w14:paraId="5976E248">
      <w:pPr>
        <w:spacing w:before="51"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2.3 发包人人员</w:t>
      </w:r>
    </w:p>
    <w:p w14:paraId="0A5E0780">
      <w:pPr>
        <w:spacing w:before="130" w:line="350" w:lineRule="auto"/>
        <w:ind w:left="17" w:right="179"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发包人应要求在施工现场的发包人人员遵守法律及有关安全、质量、环境保护、文明</w:t>
      </w:r>
      <w:r>
        <w:rPr>
          <w:rFonts w:ascii="宋体" w:hAnsi="宋体" w:eastAsia="宋体" w:cs="宋体"/>
          <w:color w:val="auto"/>
          <w:sz w:val="21"/>
          <w:szCs w:val="21"/>
          <w:highlight w:val="none"/>
        </w:rPr>
        <w:t xml:space="preserve"> 施工等规定， 并保障承包人免于承受因发包人人员未遵守上述要求给承包人造成的损失和</w:t>
      </w:r>
    </w:p>
    <w:p w14:paraId="690A3014">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责任。</w:t>
      </w:r>
    </w:p>
    <w:p w14:paraId="797F9943">
      <w:pPr>
        <w:spacing w:before="152" w:line="221"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发包人人员包括发包人代表及其他由发包人派</w:t>
      </w:r>
      <w:r>
        <w:rPr>
          <w:rFonts w:ascii="宋体" w:hAnsi="宋体" w:eastAsia="宋体" w:cs="宋体"/>
          <w:color w:val="auto"/>
          <w:spacing w:val="-1"/>
          <w:sz w:val="21"/>
          <w:szCs w:val="21"/>
          <w:highlight w:val="none"/>
        </w:rPr>
        <w:t>驻施工现场的人员。</w:t>
      </w:r>
    </w:p>
    <w:p w14:paraId="1E9468FD">
      <w:pPr>
        <w:spacing w:before="46"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2.4 施工现场、施工条件和基础资料的提供</w:t>
      </w:r>
    </w:p>
    <w:p w14:paraId="26567C0D">
      <w:pPr>
        <w:spacing w:before="130"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2.4.1 </w:t>
      </w:r>
      <w:r>
        <w:rPr>
          <w:rFonts w:ascii="宋体" w:hAnsi="宋体" w:eastAsia="宋体" w:cs="宋体"/>
          <w:color w:val="auto"/>
          <w:sz w:val="21"/>
          <w:szCs w:val="21"/>
          <w:highlight w:val="none"/>
        </w:rPr>
        <w:t>提供施工现场</w:t>
      </w:r>
    </w:p>
    <w:p w14:paraId="183977DC">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 xml:space="preserve">除专用合同条款另有约定外，发包人应最迟于开工日期 </w:t>
      </w:r>
      <w:r>
        <w:rPr>
          <w:rFonts w:ascii="Times New Roman" w:hAnsi="Times New Roman" w:eastAsia="Times New Roman" w:cs="Times New Roman"/>
          <w:color w:val="auto"/>
          <w:spacing w:val="-1"/>
          <w:position w:val="14"/>
          <w:sz w:val="21"/>
          <w:szCs w:val="21"/>
          <w:highlight w:val="none"/>
        </w:rPr>
        <w:t xml:space="preserve">7  </w:t>
      </w:r>
      <w:r>
        <w:rPr>
          <w:rFonts w:ascii="宋体" w:hAnsi="宋体" w:eastAsia="宋体" w:cs="宋体"/>
          <w:color w:val="auto"/>
          <w:spacing w:val="-1"/>
          <w:position w:val="14"/>
          <w:sz w:val="21"/>
          <w:szCs w:val="21"/>
          <w:highlight w:val="none"/>
        </w:rPr>
        <w:t>天前向承包人移交施工现场。</w:t>
      </w:r>
    </w:p>
    <w:p w14:paraId="418FBC46">
      <w:pPr>
        <w:spacing w:before="1"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2.4.2 </w:t>
      </w:r>
      <w:r>
        <w:rPr>
          <w:rFonts w:ascii="宋体" w:hAnsi="宋体" w:eastAsia="宋体" w:cs="宋体"/>
          <w:color w:val="auto"/>
          <w:sz w:val="21"/>
          <w:szCs w:val="21"/>
          <w:highlight w:val="none"/>
        </w:rPr>
        <w:t>提供施工条件</w:t>
      </w:r>
    </w:p>
    <w:p w14:paraId="430D3D17">
      <w:pPr>
        <w:spacing w:before="153" w:line="220"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发包人应负责提供施工所需要的条件，包括：</w:t>
      </w:r>
    </w:p>
    <w:p w14:paraId="4C0F3A71">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）将施工用水、电力、通讯线路等施工所必</w:t>
      </w:r>
      <w:r>
        <w:rPr>
          <w:rFonts w:ascii="宋体" w:hAnsi="宋体" w:eastAsia="宋体" w:cs="宋体"/>
          <w:color w:val="auto"/>
          <w:spacing w:val="-1"/>
          <w:sz w:val="21"/>
          <w:szCs w:val="21"/>
          <w:highlight w:val="none"/>
        </w:rPr>
        <w:t>需的条件接至施工现场内；</w:t>
      </w:r>
    </w:p>
    <w:p w14:paraId="3A7AB551">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）保证向承包人提供正常施工所需要的进入施工现场的交通条件；</w:t>
      </w:r>
    </w:p>
    <w:p w14:paraId="68F05842">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）协调处理施工现场周围地下管线和邻近建筑物、构筑物、古树名木的保护工作，</w:t>
      </w:r>
    </w:p>
    <w:p w14:paraId="58B9D2D2">
      <w:pPr>
        <w:spacing w:before="147" w:line="221" w:lineRule="auto"/>
        <w:ind w:left="2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并承担相关费用；</w:t>
      </w:r>
    </w:p>
    <w:p w14:paraId="3FF76D26">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）按照专用合同条款约定应提供的其他设施</w:t>
      </w:r>
      <w:r>
        <w:rPr>
          <w:rFonts w:ascii="宋体" w:hAnsi="宋体" w:eastAsia="宋体" w:cs="宋体"/>
          <w:color w:val="auto"/>
          <w:spacing w:val="-2"/>
          <w:sz w:val="21"/>
          <w:szCs w:val="21"/>
          <w:highlight w:val="none"/>
        </w:rPr>
        <w:t>和条件。</w:t>
      </w:r>
    </w:p>
    <w:p w14:paraId="1030DE86">
      <w:pPr>
        <w:spacing w:before="153"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2.4.3 </w:t>
      </w:r>
      <w:r>
        <w:rPr>
          <w:rFonts w:ascii="宋体" w:hAnsi="宋体" w:eastAsia="宋体" w:cs="宋体"/>
          <w:color w:val="auto"/>
          <w:sz w:val="21"/>
          <w:szCs w:val="21"/>
          <w:highlight w:val="none"/>
        </w:rPr>
        <w:t>提供基础资料</w:t>
      </w:r>
    </w:p>
    <w:p w14:paraId="55F6464E">
      <w:pPr>
        <w:spacing w:before="147" w:line="352" w:lineRule="auto"/>
        <w:ind w:left="18" w:right="2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发包人应当在移交施工现场前向承包人提供施工现场及工程施工所必需的毗邻区域内  供水、排水、供电、供气、供热、通信、广播电视等地下</w:t>
      </w:r>
      <w:r>
        <w:rPr>
          <w:rFonts w:ascii="宋体" w:hAnsi="宋体" w:eastAsia="宋体" w:cs="宋体"/>
          <w:color w:val="auto"/>
          <w:spacing w:val="1"/>
          <w:sz w:val="21"/>
          <w:szCs w:val="21"/>
          <w:highlight w:val="none"/>
        </w:rPr>
        <w:t>管线资料，气象和水文观测资料，</w:t>
      </w:r>
      <w:r>
        <w:rPr>
          <w:rFonts w:ascii="宋体" w:hAnsi="宋体" w:eastAsia="宋体" w:cs="宋体"/>
          <w:color w:val="auto"/>
          <w:sz w:val="21"/>
          <w:szCs w:val="21"/>
          <w:highlight w:val="none"/>
        </w:rPr>
        <w:t xml:space="preserve"> 地质勘察资料，相邻建筑物、构筑物和地下工程等有关基础资料； 并对所提供资料的真实</w:t>
      </w:r>
    </w:p>
    <w:p w14:paraId="73FBDC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性、准确性和完整性负责。</w:t>
      </w:r>
    </w:p>
    <w:p w14:paraId="6D174E9D">
      <w:pPr>
        <w:spacing w:before="148" w:line="403"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按照法律规定确需在开工后方能提供的基础资料，发包人应尽其努力及时地在相应工</w:t>
      </w:r>
    </w:p>
    <w:p w14:paraId="519AE97F">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程施工前的合理期限内提供， 合理期限应以不影响承包人的</w:t>
      </w:r>
      <w:r>
        <w:rPr>
          <w:rFonts w:ascii="宋体" w:hAnsi="宋体" w:eastAsia="宋体" w:cs="宋体"/>
          <w:color w:val="auto"/>
          <w:spacing w:val="-4"/>
          <w:sz w:val="21"/>
          <w:szCs w:val="21"/>
          <w:highlight w:val="none"/>
        </w:rPr>
        <w:t>正常施工为限。</w:t>
      </w:r>
    </w:p>
    <w:p w14:paraId="5DC85D60">
      <w:pPr>
        <w:spacing w:before="148"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2.4.4 </w:t>
      </w:r>
      <w:r>
        <w:rPr>
          <w:rFonts w:ascii="宋体" w:hAnsi="宋体" w:eastAsia="宋体" w:cs="宋体"/>
          <w:color w:val="auto"/>
          <w:sz w:val="21"/>
          <w:szCs w:val="21"/>
          <w:highlight w:val="none"/>
        </w:rPr>
        <w:t>逾期提供的责任</w:t>
      </w:r>
    </w:p>
    <w:p w14:paraId="6254E205">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因发包人原因未能按合同约定及时向承包人提供施工现场、施工条件、基础资料的，</w:t>
      </w:r>
    </w:p>
    <w:p w14:paraId="6F1A6FD4">
      <w:pPr>
        <w:spacing w:before="153" w:line="221" w:lineRule="auto"/>
        <w:ind w:left="4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由发包人承担由此增加的费用和（或） 延误的工期。</w:t>
      </w:r>
    </w:p>
    <w:p w14:paraId="7A558B41">
      <w:pPr>
        <w:spacing w:before="46"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2.5 资金来源证明及支付担保</w:t>
      </w:r>
    </w:p>
    <w:p w14:paraId="39C5C877">
      <w:pPr>
        <w:spacing w:before="131"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除专用合同条款另有约定外，发包人应在收到承包人要求提供</w:t>
      </w:r>
      <w:r>
        <w:rPr>
          <w:rFonts w:ascii="宋体" w:hAnsi="宋体" w:eastAsia="宋体" w:cs="宋体"/>
          <w:color w:val="auto"/>
          <w:spacing w:val="2"/>
          <w:sz w:val="21"/>
          <w:szCs w:val="21"/>
          <w:highlight w:val="none"/>
        </w:rPr>
        <w:t>资金来源证明的书面通</w:t>
      </w:r>
    </w:p>
    <w:p w14:paraId="22057AB9">
      <w:pPr>
        <w:spacing w:line="220" w:lineRule="auto"/>
        <w:rPr>
          <w:rFonts w:ascii="宋体" w:hAnsi="宋体" w:eastAsia="宋体" w:cs="宋体"/>
          <w:color w:val="auto"/>
          <w:sz w:val="21"/>
          <w:szCs w:val="21"/>
          <w:highlight w:val="none"/>
        </w:rPr>
        <w:sectPr>
          <w:footerReference r:id="rId51" w:type="default"/>
          <w:pgSz w:w="11905" w:h="16839"/>
          <w:pgMar w:top="1431" w:right="1612" w:bottom="1004" w:left="1785" w:header="0" w:footer="829" w:gutter="0"/>
          <w:pgNumType w:fmt="decimal"/>
          <w:cols w:space="720" w:num="1"/>
        </w:sectPr>
      </w:pPr>
    </w:p>
    <w:p w14:paraId="25912B1E">
      <w:pPr>
        <w:spacing w:before="149"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知后</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天内，向承包人提供能够按照合同约定支付合同价款的相应资金来源证明。</w:t>
      </w:r>
    </w:p>
    <w:p w14:paraId="63BBAC83">
      <w:pPr>
        <w:spacing w:before="149" w:line="403"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除专用合同条款另有约定外，发包人要求承包人提供履约担保</w:t>
      </w:r>
      <w:r>
        <w:rPr>
          <w:rFonts w:ascii="宋体" w:hAnsi="宋体" w:eastAsia="宋体" w:cs="宋体"/>
          <w:color w:val="auto"/>
          <w:spacing w:val="2"/>
          <w:position w:val="14"/>
          <w:sz w:val="21"/>
          <w:szCs w:val="21"/>
          <w:highlight w:val="none"/>
        </w:rPr>
        <w:t>的，发包人应当向承包</w:t>
      </w:r>
    </w:p>
    <w:p w14:paraId="297746F6">
      <w:pPr>
        <w:spacing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人提供支付担保。支付担保可以采用银行保函或担保公司担保等形式， 具体由合同当事人</w:t>
      </w:r>
    </w:p>
    <w:p w14:paraId="54FA72F2">
      <w:pPr>
        <w:spacing w:before="148" w:line="221"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在专用合同条款中约定。</w:t>
      </w:r>
    </w:p>
    <w:p w14:paraId="10030834">
      <w:pPr>
        <w:spacing w:before="45"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2.6</w:t>
      </w:r>
      <w:r>
        <w:rPr>
          <w:rFonts w:ascii="黑体" w:hAnsi="黑体" w:eastAsia="黑体" w:cs="黑体"/>
          <w:color w:val="auto"/>
          <w:spacing w:val="21"/>
          <w:sz w:val="24"/>
          <w:szCs w:val="24"/>
          <w:highlight w:val="none"/>
        </w:rPr>
        <w:t xml:space="preserve"> </w:t>
      </w:r>
      <w:r>
        <w:rPr>
          <w:rFonts w:ascii="黑体" w:hAnsi="黑体" w:eastAsia="黑体" w:cs="黑体"/>
          <w:color w:val="auto"/>
          <w:spacing w:val="-3"/>
          <w:sz w:val="24"/>
          <w:szCs w:val="24"/>
          <w:highlight w:val="none"/>
        </w:rPr>
        <w:t>支付合同价款</w:t>
      </w:r>
    </w:p>
    <w:p w14:paraId="7EC78D26">
      <w:pPr>
        <w:spacing w:before="130" w:line="219"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发包人应按合同约定向承包人及时支付合同价款。</w:t>
      </w:r>
    </w:p>
    <w:p w14:paraId="2C5B3D85">
      <w:pPr>
        <w:spacing w:before="47"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2.7 组织竣工验收</w:t>
      </w:r>
    </w:p>
    <w:p w14:paraId="784F9DFF">
      <w:pPr>
        <w:spacing w:before="130"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发包人应按合同约定及时组织竣工验收。</w:t>
      </w:r>
    </w:p>
    <w:p w14:paraId="349F72D8">
      <w:pPr>
        <w:spacing w:before="51"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2.8 现场统一管理协议</w:t>
      </w:r>
    </w:p>
    <w:p w14:paraId="4C378AF6">
      <w:pPr>
        <w:spacing w:before="130"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发包人应与承包人、由发包人直接发包的专业工程的承包人签订施工现场统一管理协</w:t>
      </w:r>
    </w:p>
    <w:p w14:paraId="0116C8F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议，明确各方的权利义务。施工现场统一管理协议作为专用合同条款的附件。</w:t>
      </w:r>
    </w:p>
    <w:p w14:paraId="63271540">
      <w:pPr>
        <w:spacing w:before="174" w:line="220" w:lineRule="auto"/>
        <w:ind w:left="22"/>
        <w:rPr>
          <w:rFonts w:ascii="黑体" w:hAnsi="黑体" w:eastAsia="黑体" w:cs="黑体"/>
          <w:color w:val="auto"/>
          <w:sz w:val="32"/>
          <w:szCs w:val="32"/>
          <w:highlight w:val="none"/>
        </w:rPr>
      </w:pPr>
      <w:r>
        <w:rPr>
          <w:rFonts w:ascii="黑体" w:hAnsi="黑体" w:eastAsia="黑体" w:cs="黑体"/>
          <w:color w:val="auto"/>
          <w:spacing w:val="-2"/>
          <w:sz w:val="32"/>
          <w:szCs w:val="32"/>
          <w:highlight w:val="none"/>
        </w:rPr>
        <w:t>3.承包人</w:t>
      </w:r>
    </w:p>
    <w:p w14:paraId="38CE28CC">
      <w:pPr>
        <w:spacing w:before="149" w:line="218"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3.1 承包人的一般义务</w:t>
      </w:r>
    </w:p>
    <w:p w14:paraId="29981A29">
      <w:pPr>
        <w:spacing w:before="130"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承包人在履行合同过程中应遵守法律和工程建设标准规范，并履行以下义务：</w:t>
      </w:r>
    </w:p>
    <w:p w14:paraId="0E9CA09B">
      <w:pPr>
        <w:spacing w:before="147" w:line="399"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1</w:t>
      </w:r>
      <w:r>
        <w:rPr>
          <w:rFonts w:ascii="宋体" w:hAnsi="宋体" w:eastAsia="宋体" w:cs="宋体"/>
          <w:color w:val="auto"/>
          <w:spacing w:val="-3"/>
          <w:position w:val="14"/>
          <w:sz w:val="21"/>
          <w:szCs w:val="21"/>
          <w:highlight w:val="none"/>
        </w:rPr>
        <w:t>）办理法律规定应由承包人办理的许可和批准，</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3"/>
          <w:position w:val="14"/>
          <w:sz w:val="21"/>
          <w:szCs w:val="21"/>
          <w:highlight w:val="none"/>
        </w:rPr>
        <w:t>并将</w:t>
      </w:r>
      <w:r>
        <w:rPr>
          <w:rFonts w:ascii="宋体" w:hAnsi="宋体" w:eastAsia="宋体" w:cs="宋体"/>
          <w:color w:val="auto"/>
          <w:spacing w:val="-4"/>
          <w:position w:val="14"/>
          <w:sz w:val="21"/>
          <w:szCs w:val="21"/>
          <w:highlight w:val="none"/>
        </w:rPr>
        <w:t>办理结果书面报送发包人留存；</w:t>
      </w:r>
    </w:p>
    <w:p w14:paraId="6A415F3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）按法律规定和合同约定完成工程， 并在保修期内承担保修义务；</w:t>
      </w:r>
    </w:p>
    <w:p w14:paraId="491C71F1">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）按法律规定和合同约定采取施工安全和环境保护措施，办理工伤保险，确保</w:t>
      </w:r>
      <w:r>
        <w:rPr>
          <w:rFonts w:ascii="宋体" w:hAnsi="宋体" w:eastAsia="宋体" w:cs="宋体"/>
          <w:color w:val="auto"/>
          <w:spacing w:val="-1"/>
          <w:position w:val="14"/>
          <w:sz w:val="21"/>
          <w:szCs w:val="21"/>
          <w:highlight w:val="none"/>
        </w:rPr>
        <w:t>工程</w:t>
      </w:r>
    </w:p>
    <w:p w14:paraId="2D986968">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及人员、材料、设备和设施的安全；</w:t>
      </w:r>
    </w:p>
    <w:p w14:paraId="67CBF453">
      <w:pPr>
        <w:spacing w:before="149"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4</w:t>
      </w:r>
      <w:r>
        <w:rPr>
          <w:rFonts w:ascii="宋体" w:hAnsi="宋体" w:eastAsia="宋体" w:cs="宋体"/>
          <w:color w:val="auto"/>
          <w:position w:val="14"/>
          <w:sz w:val="21"/>
          <w:szCs w:val="21"/>
          <w:highlight w:val="none"/>
        </w:rPr>
        <w:t>）按合同约定的工作内容和施工进度要求，编制施工组织设计和施工措施计</w:t>
      </w:r>
      <w:r>
        <w:rPr>
          <w:rFonts w:ascii="宋体" w:hAnsi="宋体" w:eastAsia="宋体" w:cs="宋体"/>
          <w:color w:val="auto"/>
          <w:spacing w:val="-1"/>
          <w:position w:val="14"/>
          <w:sz w:val="21"/>
          <w:szCs w:val="21"/>
          <w:highlight w:val="none"/>
        </w:rPr>
        <w:t>划，并</w:t>
      </w:r>
    </w:p>
    <w:p w14:paraId="658FEE42">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对所有施工作业和施工方法的完备性和安全可靠性负责；</w:t>
      </w:r>
    </w:p>
    <w:p w14:paraId="6F67E452">
      <w:pPr>
        <w:spacing w:before="146" w:line="353" w:lineRule="auto"/>
        <w:ind w:left="17" w:right="188"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）在进行合同约定的各项工作时，不得侵害发包人与他人使用公用道路、水</w:t>
      </w:r>
      <w:r>
        <w:rPr>
          <w:rFonts w:ascii="宋体" w:hAnsi="宋体" w:eastAsia="宋体" w:cs="宋体"/>
          <w:color w:val="auto"/>
          <w:spacing w:val="-1"/>
          <w:sz w:val="21"/>
          <w:szCs w:val="21"/>
          <w:highlight w:val="none"/>
        </w:rPr>
        <w:t>源、市</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政管网等公共设施的权利，避免对邻近的公共设施产生干扰。承包人占用或使</w:t>
      </w:r>
      <w:r>
        <w:rPr>
          <w:rFonts w:ascii="宋体" w:hAnsi="宋体" w:eastAsia="宋体" w:cs="宋体"/>
          <w:color w:val="auto"/>
          <w:spacing w:val="2"/>
          <w:sz w:val="21"/>
          <w:szCs w:val="21"/>
          <w:highlight w:val="none"/>
        </w:rPr>
        <w:t>用他人的施</w:t>
      </w:r>
    </w:p>
    <w:p w14:paraId="592082D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工场地，影响他人作业或生活的，应承担相应责任；</w:t>
      </w:r>
    </w:p>
    <w:p w14:paraId="07191B8C">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6.3 </w:t>
      </w:r>
      <w:r>
        <w:rPr>
          <w:rFonts w:ascii="宋体" w:hAnsi="宋体" w:eastAsia="宋体" w:cs="宋体"/>
          <w:color w:val="auto"/>
          <w:spacing w:val="-1"/>
          <w:sz w:val="21"/>
          <w:szCs w:val="21"/>
          <w:highlight w:val="none"/>
        </w:rPr>
        <w:t>款〔环境保护〕约定负责施工场地及其周边环境与生态的保护工作；</w:t>
      </w:r>
    </w:p>
    <w:p w14:paraId="583B1CAF">
      <w:pPr>
        <w:spacing w:before="147" w:line="404"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 xml:space="preserve">）按第 </w:t>
      </w:r>
      <w:r>
        <w:rPr>
          <w:rFonts w:ascii="Times New Roman" w:hAnsi="Times New Roman" w:eastAsia="Times New Roman" w:cs="Times New Roman"/>
          <w:color w:val="auto"/>
          <w:spacing w:val="-1"/>
          <w:position w:val="14"/>
          <w:sz w:val="21"/>
          <w:szCs w:val="21"/>
          <w:highlight w:val="none"/>
        </w:rPr>
        <w:t>6.1</w:t>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款〔安全文明施工〕约定采取施工</w:t>
      </w:r>
      <w:r>
        <w:rPr>
          <w:rFonts w:ascii="宋体" w:hAnsi="宋体" w:eastAsia="宋体" w:cs="宋体"/>
          <w:color w:val="auto"/>
          <w:spacing w:val="-2"/>
          <w:position w:val="14"/>
          <w:sz w:val="21"/>
          <w:szCs w:val="21"/>
          <w:highlight w:val="none"/>
        </w:rPr>
        <w:t>安全措施，确保工程及其人员、材料、</w:t>
      </w:r>
    </w:p>
    <w:p w14:paraId="0FD4ECD8">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设备和设施的安全，</w:t>
      </w:r>
      <w:r>
        <w:rPr>
          <w:rFonts w:ascii="宋体" w:hAnsi="宋体" w:eastAsia="宋体" w:cs="宋体"/>
          <w:color w:val="auto"/>
          <w:spacing w:val="31"/>
          <w:sz w:val="21"/>
          <w:szCs w:val="21"/>
          <w:highlight w:val="none"/>
        </w:rPr>
        <w:t xml:space="preserve"> </w:t>
      </w:r>
      <w:r>
        <w:rPr>
          <w:rFonts w:ascii="宋体" w:hAnsi="宋体" w:eastAsia="宋体" w:cs="宋体"/>
          <w:color w:val="auto"/>
          <w:spacing w:val="-5"/>
          <w:sz w:val="21"/>
          <w:szCs w:val="21"/>
          <w:highlight w:val="none"/>
        </w:rPr>
        <w:t>防止因工程施工造成的人身伤害和财产损失；</w:t>
      </w:r>
    </w:p>
    <w:p w14:paraId="59C3FFE4">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8</w:t>
      </w:r>
      <w:r>
        <w:rPr>
          <w:rFonts w:ascii="宋体" w:hAnsi="宋体" w:eastAsia="宋体" w:cs="宋体"/>
          <w:color w:val="auto"/>
          <w:position w:val="14"/>
          <w:sz w:val="21"/>
          <w:szCs w:val="21"/>
          <w:highlight w:val="none"/>
        </w:rPr>
        <w:t>）将发包人按合同约定支付的各项价款专用于合同工程，且应及时支付其雇用人员</w:t>
      </w:r>
    </w:p>
    <w:p w14:paraId="0E8E509D">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工资，并及时向分包人支付合同价款；</w:t>
      </w:r>
    </w:p>
    <w:p w14:paraId="1F012523">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9</w:t>
      </w:r>
      <w:r>
        <w:rPr>
          <w:rFonts w:ascii="宋体" w:hAnsi="宋体" w:eastAsia="宋体" w:cs="宋体"/>
          <w:color w:val="auto"/>
          <w:position w:val="14"/>
          <w:sz w:val="21"/>
          <w:szCs w:val="21"/>
          <w:highlight w:val="none"/>
        </w:rPr>
        <w:t>）按照法律规定和合同约定编制竣工资料，完成竣工资料立卷及归档，并按</w:t>
      </w:r>
      <w:r>
        <w:rPr>
          <w:rFonts w:ascii="宋体" w:hAnsi="宋体" w:eastAsia="宋体" w:cs="宋体"/>
          <w:color w:val="auto"/>
          <w:spacing w:val="-1"/>
          <w:position w:val="14"/>
          <w:sz w:val="21"/>
          <w:szCs w:val="21"/>
          <w:highlight w:val="none"/>
        </w:rPr>
        <w:t>专用合</w:t>
      </w:r>
    </w:p>
    <w:p w14:paraId="494D9E28">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同条款约定的竣工资料的套数、内容、时间等要求移交发包人；</w:t>
      </w:r>
    </w:p>
    <w:p w14:paraId="2E11F098">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宋体" w:hAnsi="宋体" w:eastAsia="宋体" w:cs="宋体"/>
          <w:color w:val="auto"/>
          <w:spacing w:val="-3"/>
          <w:sz w:val="21"/>
          <w:szCs w:val="21"/>
          <w:highlight w:val="none"/>
        </w:rPr>
        <w:t>）应履行的其他义务。</w:t>
      </w:r>
    </w:p>
    <w:p w14:paraId="70A0C90A">
      <w:pPr>
        <w:spacing w:before="46"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3.2 项目经理</w:t>
      </w:r>
    </w:p>
    <w:p w14:paraId="1F6A412C">
      <w:pPr>
        <w:spacing w:before="128" w:line="353" w:lineRule="auto"/>
        <w:ind w:left="20" w:right="185"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3.2.1</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项目经理应为合同当事人所确认的人选，</w:t>
      </w:r>
      <w:r>
        <w:rPr>
          <w:rFonts w:ascii="宋体" w:hAnsi="宋体" w:eastAsia="宋体" w:cs="宋体"/>
          <w:color w:val="auto"/>
          <w:sz w:val="21"/>
          <w:szCs w:val="21"/>
          <w:highlight w:val="none"/>
        </w:rPr>
        <w:t xml:space="preserve">并在专用合同条款中明确项目经理的姓 </w:t>
      </w:r>
      <w:r>
        <w:rPr>
          <w:rFonts w:ascii="宋体" w:hAnsi="宋体" w:eastAsia="宋体" w:cs="宋体"/>
          <w:color w:val="auto"/>
          <w:spacing w:val="3"/>
          <w:sz w:val="21"/>
          <w:szCs w:val="21"/>
          <w:highlight w:val="none"/>
        </w:rPr>
        <w:t>名、职称、注册执业证书编号、联系方式及授权范围等事项，项目经理</w:t>
      </w:r>
      <w:r>
        <w:rPr>
          <w:rFonts w:ascii="宋体" w:hAnsi="宋体" w:eastAsia="宋体" w:cs="宋体"/>
          <w:color w:val="auto"/>
          <w:spacing w:val="2"/>
          <w:sz w:val="21"/>
          <w:szCs w:val="21"/>
          <w:highlight w:val="none"/>
        </w:rPr>
        <w:t>经承包人授权后代</w:t>
      </w:r>
    </w:p>
    <w:p w14:paraId="5FD29D93">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表承包人负责履行合同。项目经理应是承包人正式聘用的员工，承包人应向发</w:t>
      </w:r>
      <w:r>
        <w:rPr>
          <w:rFonts w:ascii="宋体" w:hAnsi="宋体" w:eastAsia="宋体" w:cs="宋体"/>
          <w:color w:val="auto"/>
          <w:spacing w:val="2"/>
          <w:sz w:val="21"/>
          <w:szCs w:val="21"/>
          <w:highlight w:val="none"/>
        </w:rPr>
        <w:t>包人提交项</w:t>
      </w:r>
    </w:p>
    <w:p w14:paraId="43454311">
      <w:pPr>
        <w:spacing w:line="220" w:lineRule="auto"/>
        <w:rPr>
          <w:rFonts w:ascii="宋体" w:hAnsi="宋体" w:eastAsia="宋体" w:cs="宋体"/>
          <w:color w:val="auto"/>
          <w:sz w:val="21"/>
          <w:szCs w:val="21"/>
          <w:highlight w:val="none"/>
        </w:rPr>
        <w:sectPr>
          <w:footerReference r:id="rId52" w:type="default"/>
          <w:pgSz w:w="11905" w:h="16839"/>
          <w:pgMar w:top="1431" w:right="1608" w:bottom="1004" w:left="1785" w:header="0" w:footer="829" w:gutter="0"/>
          <w:pgNumType w:fmt="decimal"/>
          <w:cols w:space="720" w:num="1"/>
        </w:sectPr>
      </w:pPr>
    </w:p>
    <w:p w14:paraId="5E96D0D4">
      <w:pPr>
        <w:spacing w:before="150" w:line="352" w:lineRule="auto"/>
        <w:ind w:left="20" w:right="185" w:firstLine="3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目经理与承包人之间的劳动合同， 以及承包人为项目经理缴纳社会保险的有效证明。承包</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人不提交上述文件的， 项目经理无权履行职责，发包人有权要求更换项目经理，由此增加</w:t>
      </w:r>
    </w:p>
    <w:p w14:paraId="567845C7">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的费用和（或）延误的工期由承包人承担。</w:t>
      </w:r>
    </w:p>
    <w:p w14:paraId="08CBCD69">
      <w:pPr>
        <w:spacing w:before="146" w:line="352" w:lineRule="auto"/>
        <w:ind w:left="19"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项目经理应常驻施工现场， 且每月在施工现场时间不得少于专用合同条款约定的天数。</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项目经理不得同时担任其他项目的项目经理。项目经理</w:t>
      </w:r>
      <w:r>
        <w:rPr>
          <w:rFonts w:ascii="宋体" w:hAnsi="宋体" w:eastAsia="宋体" w:cs="宋体"/>
          <w:color w:val="auto"/>
          <w:spacing w:val="2"/>
          <w:sz w:val="21"/>
          <w:szCs w:val="21"/>
          <w:highlight w:val="none"/>
        </w:rPr>
        <w:t xml:space="preserve">确需离开施工现场时，应事先通知  </w:t>
      </w:r>
      <w:r>
        <w:rPr>
          <w:rFonts w:ascii="宋体" w:hAnsi="宋体" w:eastAsia="宋体" w:cs="宋体"/>
          <w:color w:val="auto"/>
          <w:spacing w:val="3"/>
          <w:sz w:val="21"/>
          <w:szCs w:val="21"/>
          <w:highlight w:val="none"/>
        </w:rPr>
        <w:t>监理人，并取得发包人的书面同意。项目经理的通知中应当载明临时代行其</w:t>
      </w:r>
      <w:r>
        <w:rPr>
          <w:rFonts w:ascii="宋体" w:hAnsi="宋体" w:eastAsia="宋体" w:cs="宋体"/>
          <w:color w:val="auto"/>
          <w:spacing w:val="2"/>
          <w:sz w:val="21"/>
          <w:szCs w:val="21"/>
          <w:highlight w:val="none"/>
        </w:rPr>
        <w:t>职责的人员的</w:t>
      </w:r>
    </w:p>
    <w:p w14:paraId="2B83633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注册执业资格、管理经验等资料，该人员应具备履行相应职责的能力。</w:t>
      </w:r>
    </w:p>
    <w:p w14:paraId="32D54F31">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承包人违反上述约定的，应按照专用合同条款的约定，承担违约责</w:t>
      </w:r>
      <w:r>
        <w:rPr>
          <w:rFonts w:ascii="宋体" w:hAnsi="宋体" w:eastAsia="宋体" w:cs="宋体"/>
          <w:color w:val="auto"/>
          <w:spacing w:val="-2"/>
          <w:sz w:val="21"/>
          <w:szCs w:val="21"/>
          <w:highlight w:val="none"/>
        </w:rPr>
        <w:t>任。</w:t>
      </w:r>
    </w:p>
    <w:p w14:paraId="56AA5AC6">
      <w:pPr>
        <w:spacing w:before="151" w:line="352" w:lineRule="auto"/>
        <w:ind w:left="17" w:right="176"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项目经理按合同约定组织工程实施。在紧急情况下为确</w:t>
      </w:r>
      <w:r>
        <w:rPr>
          <w:rFonts w:ascii="宋体" w:hAnsi="宋体" w:eastAsia="宋体" w:cs="宋体"/>
          <w:color w:val="auto"/>
          <w:sz w:val="21"/>
          <w:szCs w:val="21"/>
          <w:highlight w:val="none"/>
        </w:rPr>
        <w:t>保施工安全和人员安全， 在无法与发包人代表和总监理工程师及时取得联</w:t>
      </w:r>
      <w:r>
        <w:rPr>
          <w:rFonts w:ascii="宋体" w:hAnsi="宋体" w:eastAsia="宋体" w:cs="宋体"/>
          <w:color w:val="auto"/>
          <w:spacing w:val="-1"/>
          <w:sz w:val="21"/>
          <w:szCs w:val="21"/>
          <w:highlight w:val="none"/>
        </w:rPr>
        <w:t>系时，</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项目经理有权采取必要的措施保证</w:t>
      </w:r>
      <w:r>
        <w:rPr>
          <w:rFonts w:ascii="宋体" w:hAnsi="宋体" w:eastAsia="宋体" w:cs="宋体"/>
          <w:color w:val="auto"/>
          <w:sz w:val="21"/>
          <w:szCs w:val="21"/>
          <w:highlight w:val="none"/>
        </w:rPr>
        <w:t xml:space="preserve"> 与工程有关的人身、财产和工程的安全，但应在</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z w:val="21"/>
          <w:szCs w:val="21"/>
          <w:highlight w:val="none"/>
        </w:rPr>
        <w:t xml:space="preserve">48 </w:t>
      </w:r>
      <w:r>
        <w:rPr>
          <w:rFonts w:ascii="宋体" w:hAnsi="宋体" w:eastAsia="宋体" w:cs="宋体"/>
          <w:color w:val="auto"/>
          <w:sz w:val="21"/>
          <w:szCs w:val="21"/>
          <w:highlight w:val="none"/>
        </w:rPr>
        <w:t>小</w:t>
      </w:r>
      <w:r>
        <w:rPr>
          <w:rFonts w:ascii="宋体" w:hAnsi="宋体" w:eastAsia="宋体" w:cs="宋体"/>
          <w:color w:val="auto"/>
          <w:spacing w:val="-1"/>
          <w:sz w:val="21"/>
          <w:szCs w:val="21"/>
          <w:highlight w:val="none"/>
        </w:rPr>
        <w:t>时内向发包人代表和总监理工程师提</w:t>
      </w:r>
    </w:p>
    <w:p w14:paraId="30A893A5">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交书面报告。</w:t>
      </w:r>
    </w:p>
    <w:p w14:paraId="7259772C">
      <w:pPr>
        <w:spacing w:before="149" w:line="352" w:lineRule="auto"/>
        <w:ind w:left="20" w:right="2"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3.2.3 </w:t>
      </w:r>
      <w:r>
        <w:rPr>
          <w:rFonts w:ascii="宋体" w:hAnsi="宋体" w:eastAsia="宋体" w:cs="宋体"/>
          <w:color w:val="auto"/>
          <w:spacing w:val="-2"/>
          <w:sz w:val="21"/>
          <w:szCs w:val="21"/>
          <w:highlight w:val="none"/>
        </w:rPr>
        <w:t>承包人需要更换项目经理的，应提前</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 </w:t>
      </w:r>
      <w:r>
        <w:rPr>
          <w:rFonts w:ascii="宋体" w:hAnsi="宋体" w:eastAsia="宋体" w:cs="宋体"/>
          <w:color w:val="auto"/>
          <w:spacing w:val="-2"/>
          <w:sz w:val="21"/>
          <w:szCs w:val="21"/>
          <w:highlight w:val="none"/>
        </w:rPr>
        <w:t xml:space="preserve">天书面通知发包人和监理人，并征得发包  </w:t>
      </w:r>
      <w:r>
        <w:rPr>
          <w:rFonts w:ascii="宋体" w:hAnsi="宋体" w:eastAsia="宋体" w:cs="宋体"/>
          <w:color w:val="auto"/>
          <w:spacing w:val="3"/>
          <w:sz w:val="21"/>
          <w:szCs w:val="21"/>
          <w:highlight w:val="none"/>
        </w:rPr>
        <w:t>人书面同意。通知中应当载明继任项目经理的注</w:t>
      </w:r>
      <w:r>
        <w:rPr>
          <w:rFonts w:ascii="宋体" w:hAnsi="宋体" w:eastAsia="宋体" w:cs="宋体"/>
          <w:color w:val="auto"/>
          <w:spacing w:val="2"/>
          <w:sz w:val="21"/>
          <w:szCs w:val="21"/>
          <w:highlight w:val="none"/>
        </w:rPr>
        <w:t xml:space="preserve">册执业资格、管理经验等资料，继任项目  </w:t>
      </w:r>
      <w:r>
        <w:rPr>
          <w:rFonts w:ascii="宋体" w:hAnsi="宋体" w:eastAsia="宋体" w:cs="宋体"/>
          <w:color w:val="auto"/>
          <w:spacing w:val="-1"/>
          <w:sz w:val="21"/>
          <w:szCs w:val="21"/>
          <w:highlight w:val="none"/>
        </w:rPr>
        <w:t>经理继续履行第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项约定的职责。未经发包人书面同意，承包人不得擅自更换项目</w:t>
      </w:r>
      <w:r>
        <w:rPr>
          <w:rFonts w:ascii="宋体" w:hAnsi="宋体" w:eastAsia="宋体" w:cs="宋体"/>
          <w:color w:val="auto"/>
          <w:spacing w:val="-2"/>
          <w:sz w:val="21"/>
          <w:szCs w:val="21"/>
          <w:highlight w:val="none"/>
        </w:rPr>
        <w:t>经理。</w:t>
      </w:r>
    </w:p>
    <w:p w14:paraId="246266B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承包人擅自更换项目经理的， 应按照专用合同条款的约定承担违约责</w:t>
      </w:r>
      <w:r>
        <w:rPr>
          <w:rFonts w:ascii="宋体" w:hAnsi="宋体" w:eastAsia="宋体" w:cs="宋体"/>
          <w:color w:val="auto"/>
          <w:spacing w:val="-5"/>
          <w:sz w:val="21"/>
          <w:szCs w:val="21"/>
          <w:highlight w:val="none"/>
        </w:rPr>
        <w:t>任。</w:t>
      </w:r>
    </w:p>
    <w:p w14:paraId="33547F87">
      <w:pPr>
        <w:spacing w:before="148" w:line="352" w:lineRule="auto"/>
        <w:ind w:left="17" w:right="176"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3.2.4</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发包人有权书面通知承包人更换其认为不</w:t>
      </w:r>
      <w:r>
        <w:rPr>
          <w:rFonts w:ascii="宋体" w:hAnsi="宋体" w:eastAsia="宋体" w:cs="宋体"/>
          <w:color w:val="auto"/>
          <w:sz w:val="21"/>
          <w:szCs w:val="21"/>
          <w:highlight w:val="none"/>
        </w:rPr>
        <w:t xml:space="preserve">称职的项目经理，通知中应当载明要求 </w:t>
      </w:r>
      <w:r>
        <w:rPr>
          <w:rFonts w:ascii="宋体" w:hAnsi="宋体" w:eastAsia="宋体" w:cs="宋体"/>
          <w:color w:val="auto"/>
          <w:spacing w:val="-1"/>
          <w:sz w:val="21"/>
          <w:szCs w:val="21"/>
          <w:highlight w:val="none"/>
        </w:rPr>
        <w:t xml:space="preserve">更换的理由。承包人应在接到更换通知后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天内向发包人提出书面的改进报告。发包人收</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到改进报告后仍要求更换的， 承包人应在接到第二次更换通知的</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天内进行更</w:t>
      </w:r>
      <w:r>
        <w:rPr>
          <w:rFonts w:ascii="宋体" w:hAnsi="宋体" w:eastAsia="宋体" w:cs="宋体"/>
          <w:color w:val="auto"/>
          <w:spacing w:val="-4"/>
          <w:sz w:val="21"/>
          <w:szCs w:val="21"/>
          <w:highlight w:val="none"/>
        </w:rPr>
        <w:t>换，并将新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任命的项目经理的注册执业资格、管理经验等资料书面通知发包人。继任项目经理继续履</w:t>
      </w:r>
      <w:r>
        <w:rPr>
          <w:rFonts w:ascii="宋体" w:hAnsi="宋体" w:eastAsia="宋体" w:cs="宋体"/>
          <w:color w:val="auto"/>
          <w:sz w:val="21"/>
          <w:szCs w:val="21"/>
          <w:highlight w:val="none"/>
        </w:rPr>
        <w:t xml:space="preserve"> 行第</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z w:val="21"/>
          <w:szCs w:val="21"/>
          <w:highlight w:val="none"/>
        </w:rPr>
        <w:t xml:space="preserve">3.2.1 </w:t>
      </w:r>
      <w:r>
        <w:rPr>
          <w:rFonts w:ascii="宋体" w:hAnsi="宋体" w:eastAsia="宋体" w:cs="宋体"/>
          <w:color w:val="auto"/>
          <w:sz w:val="21"/>
          <w:szCs w:val="21"/>
          <w:highlight w:val="none"/>
        </w:rPr>
        <w:t>项约定的职责。承包人无正当理由拒绝更换项目经理的，应</w:t>
      </w:r>
      <w:r>
        <w:rPr>
          <w:rFonts w:ascii="宋体" w:hAnsi="宋体" w:eastAsia="宋体" w:cs="宋体"/>
          <w:color w:val="auto"/>
          <w:spacing w:val="-1"/>
          <w:sz w:val="21"/>
          <w:szCs w:val="21"/>
          <w:highlight w:val="none"/>
        </w:rPr>
        <w:t>按照专用合同条款的</w:t>
      </w:r>
    </w:p>
    <w:p w14:paraId="153979AA">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约定承担违约责任。</w:t>
      </w:r>
    </w:p>
    <w:p w14:paraId="08873DB3">
      <w:pPr>
        <w:spacing w:before="148" w:line="403"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3.2.5</w:t>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1"/>
          <w:position w:val="14"/>
          <w:sz w:val="21"/>
          <w:szCs w:val="21"/>
          <w:highlight w:val="none"/>
        </w:rPr>
        <w:t>项目经理因特殊情况授权其下属人员履行</w:t>
      </w:r>
      <w:r>
        <w:rPr>
          <w:rFonts w:ascii="宋体" w:hAnsi="宋体" w:eastAsia="宋体" w:cs="宋体"/>
          <w:color w:val="auto"/>
          <w:position w:val="14"/>
          <w:sz w:val="21"/>
          <w:szCs w:val="21"/>
          <w:highlight w:val="none"/>
        </w:rPr>
        <w:t>其某项工作职责的，该下属人员应具备</w:t>
      </w:r>
    </w:p>
    <w:p w14:paraId="1CD245A1">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履行相应职责的能力，并应提前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宋体" w:hAnsi="宋体" w:eastAsia="宋体" w:cs="宋体"/>
          <w:color w:val="auto"/>
          <w:sz w:val="21"/>
          <w:szCs w:val="21"/>
          <w:highlight w:val="none"/>
        </w:rPr>
        <w:t>天将上述人员的姓名和授权范围书面通知监理人，并征</w:t>
      </w:r>
    </w:p>
    <w:p w14:paraId="15525BB9">
      <w:pPr>
        <w:spacing w:before="148"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得发包人书面同意。</w:t>
      </w:r>
    </w:p>
    <w:p w14:paraId="57C5A663">
      <w:pPr>
        <w:spacing w:before="48" w:line="218"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3.3 承包人人员</w:t>
      </w:r>
    </w:p>
    <w:p w14:paraId="4414E048">
      <w:pPr>
        <w:spacing w:before="132" w:line="352" w:lineRule="auto"/>
        <w:ind w:left="18" w:right="179"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3.3.1</w:t>
      </w:r>
      <w:r>
        <w:rPr>
          <w:rFonts w:ascii="Times New Roman" w:hAnsi="Times New Roman" w:eastAsia="Times New Roman" w:cs="Times New Roman"/>
          <w:color w:val="auto"/>
          <w:spacing w:val="49"/>
          <w:sz w:val="21"/>
          <w:szCs w:val="21"/>
          <w:highlight w:val="none"/>
        </w:rPr>
        <w:t xml:space="preserve"> </w:t>
      </w:r>
      <w:r>
        <w:rPr>
          <w:rFonts w:ascii="宋体" w:hAnsi="宋体" w:eastAsia="宋体" w:cs="宋体"/>
          <w:color w:val="auto"/>
          <w:spacing w:val="-4"/>
          <w:sz w:val="21"/>
          <w:szCs w:val="21"/>
          <w:highlight w:val="none"/>
        </w:rPr>
        <w:t xml:space="preserve">除专用合同条款另有约定外， 承包人应在接到开工通知后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22"/>
          <w:w w:val="101"/>
          <w:sz w:val="21"/>
          <w:szCs w:val="21"/>
          <w:highlight w:val="none"/>
        </w:rPr>
        <w:t xml:space="preserve"> </w:t>
      </w:r>
      <w:r>
        <w:rPr>
          <w:rFonts w:ascii="宋体" w:hAnsi="宋体" w:eastAsia="宋体" w:cs="宋体"/>
          <w:color w:val="auto"/>
          <w:spacing w:val="-4"/>
          <w:sz w:val="21"/>
          <w:szCs w:val="21"/>
          <w:highlight w:val="none"/>
        </w:rPr>
        <w:t>天内，向监理人提交</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承包人项目管理机构及施工现场人员安排的报告，其内容应包括合同管理、施工、技术、 </w:t>
      </w:r>
      <w:r>
        <w:rPr>
          <w:rFonts w:ascii="宋体" w:hAnsi="宋体" w:eastAsia="宋体" w:cs="宋体"/>
          <w:color w:val="auto"/>
          <w:spacing w:val="3"/>
          <w:sz w:val="21"/>
          <w:szCs w:val="21"/>
          <w:highlight w:val="none"/>
        </w:rPr>
        <w:t>材料、质量、安全、财务等主要施工管理人员名单及其岗位、注册执业资格</w:t>
      </w:r>
      <w:r>
        <w:rPr>
          <w:rFonts w:ascii="宋体" w:hAnsi="宋体" w:eastAsia="宋体" w:cs="宋体"/>
          <w:color w:val="auto"/>
          <w:spacing w:val="2"/>
          <w:sz w:val="21"/>
          <w:szCs w:val="21"/>
          <w:highlight w:val="none"/>
        </w:rPr>
        <w:t>等，以及各工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种技术工人的安排情况，并同时提交主要施工管理人员与承包人之间的劳动关系证明和缴</w:t>
      </w:r>
    </w:p>
    <w:p w14:paraId="75CBEAB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纳社会保险的有效证明。</w:t>
      </w:r>
    </w:p>
    <w:p w14:paraId="4F8460F5">
      <w:pPr>
        <w:spacing w:before="147" w:line="352" w:lineRule="auto"/>
        <w:ind w:left="18" w:right="18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3.3.2</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承包人派驻到施工现场的主要施工管理人员应相</w:t>
      </w:r>
      <w:r>
        <w:rPr>
          <w:rFonts w:ascii="宋体" w:hAnsi="宋体" w:eastAsia="宋体" w:cs="宋体"/>
          <w:color w:val="auto"/>
          <w:sz w:val="21"/>
          <w:szCs w:val="21"/>
          <w:highlight w:val="none"/>
        </w:rPr>
        <w:t xml:space="preserve">对稳定。施工过程中如有变动， </w:t>
      </w:r>
      <w:r>
        <w:rPr>
          <w:rFonts w:ascii="宋体" w:hAnsi="宋体" w:eastAsia="宋体" w:cs="宋体"/>
          <w:color w:val="auto"/>
          <w:spacing w:val="3"/>
          <w:sz w:val="21"/>
          <w:szCs w:val="21"/>
          <w:highlight w:val="none"/>
        </w:rPr>
        <w:t>承包人应及时向监理人提交施工现场人员变动情况的报告。承包人更换主要</w:t>
      </w:r>
      <w:r>
        <w:rPr>
          <w:rFonts w:ascii="宋体" w:hAnsi="宋体" w:eastAsia="宋体" w:cs="宋体"/>
          <w:color w:val="auto"/>
          <w:spacing w:val="2"/>
          <w:sz w:val="21"/>
          <w:szCs w:val="21"/>
          <w:highlight w:val="none"/>
        </w:rPr>
        <w:t>施工管理人员</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 xml:space="preserve">时，应提前 </w:t>
      </w:r>
      <w:r>
        <w:rPr>
          <w:rFonts w:ascii="Times New Roman" w:hAnsi="Times New Roman" w:eastAsia="Times New Roman" w:cs="Times New Roman"/>
          <w:color w:val="auto"/>
          <w:spacing w:val="-4"/>
          <w:sz w:val="21"/>
          <w:szCs w:val="21"/>
          <w:highlight w:val="none"/>
        </w:rPr>
        <w:t xml:space="preserve">7  </w:t>
      </w:r>
      <w:r>
        <w:rPr>
          <w:rFonts w:ascii="宋体" w:hAnsi="宋体" w:eastAsia="宋体" w:cs="宋体"/>
          <w:color w:val="auto"/>
          <w:spacing w:val="-4"/>
          <w:sz w:val="21"/>
          <w:szCs w:val="21"/>
          <w:highlight w:val="none"/>
        </w:rPr>
        <w:t>天书面通知监理人，</w:t>
      </w:r>
      <w:r>
        <w:rPr>
          <w:rFonts w:ascii="宋体" w:hAnsi="宋体" w:eastAsia="宋体" w:cs="宋体"/>
          <w:color w:val="auto"/>
          <w:spacing w:val="73"/>
          <w:sz w:val="21"/>
          <w:szCs w:val="21"/>
          <w:highlight w:val="none"/>
        </w:rPr>
        <w:t xml:space="preserve"> </w:t>
      </w:r>
      <w:r>
        <w:rPr>
          <w:rFonts w:ascii="宋体" w:hAnsi="宋体" w:eastAsia="宋体" w:cs="宋体"/>
          <w:color w:val="auto"/>
          <w:spacing w:val="-4"/>
          <w:sz w:val="21"/>
          <w:szCs w:val="21"/>
          <w:highlight w:val="none"/>
        </w:rPr>
        <w:t>并征得发包人书面同意。通知中应当载明继任人员的注</w:t>
      </w:r>
    </w:p>
    <w:p w14:paraId="292E19E4">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册执业资格、管理经验等资料。</w:t>
      </w:r>
    </w:p>
    <w:p w14:paraId="2A252691">
      <w:pPr>
        <w:spacing w:line="220" w:lineRule="auto"/>
        <w:rPr>
          <w:rFonts w:ascii="宋体" w:hAnsi="宋体" w:eastAsia="宋体" w:cs="宋体"/>
          <w:color w:val="auto"/>
          <w:sz w:val="21"/>
          <w:szCs w:val="21"/>
          <w:highlight w:val="none"/>
        </w:rPr>
        <w:sectPr>
          <w:footerReference r:id="rId53" w:type="default"/>
          <w:pgSz w:w="11905" w:h="16839"/>
          <w:pgMar w:top="1431" w:right="1612" w:bottom="1004" w:left="1785" w:header="0" w:footer="828" w:gutter="0"/>
          <w:pgNumType w:fmt="decimal"/>
          <w:cols w:space="720" w:num="1"/>
        </w:sectPr>
      </w:pPr>
    </w:p>
    <w:p w14:paraId="5A570A11">
      <w:pPr>
        <w:spacing w:before="148"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特殊工种作业人员均应持有相应的资格证明，监理人可以随时检查。</w:t>
      </w:r>
    </w:p>
    <w:p w14:paraId="1DA9032B">
      <w:pPr>
        <w:spacing w:before="146" w:line="352" w:lineRule="auto"/>
        <w:ind w:left="18" w:right="19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3.3.3</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1"/>
          <w:sz w:val="21"/>
          <w:szCs w:val="21"/>
          <w:highlight w:val="none"/>
        </w:rPr>
        <w:t>发包人对于承包人主要施工管理人员的资格</w:t>
      </w:r>
      <w:r>
        <w:rPr>
          <w:rFonts w:ascii="宋体" w:hAnsi="宋体" w:eastAsia="宋体" w:cs="宋体"/>
          <w:color w:val="auto"/>
          <w:sz w:val="21"/>
          <w:szCs w:val="21"/>
          <w:highlight w:val="none"/>
        </w:rPr>
        <w:t xml:space="preserve">或能力有异议的，承包人应提供资料 </w:t>
      </w:r>
      <w:r>
        <w:rPr>
          <w:rFonts w:ascii="宋体" w:hAnsi="宋体" w:eastAsia="宋体" w:cs="宋体"/>
          <w:color w:val="auto"/>
          <w:spacing w:val="3"/>
          <w:sz w:val="21"/>
          <w:szCs w:val="21"/>
          <w:highlight w:val="none"/>
        </w:rPr>
        <w:t>证明被质疑人员有能力完成其岗位工作或不存在发包人所质疑的情形。发包</w:t>
      </w:r>
      <w:r>
        <w:rPr>
          <w:rFonts w:ascii="宋体" w:hAnsi="宋体" w:eastAsia="宋体" w:cs="宋体"/>
          <w:color w:val="auto"/>
          <w:spacing w:val="2"/>
          <w:sz w:val="21"/>
          <w:szCs w:val="21"/>
          <w:highlight w:val="none"/>
        </w:rPr>
        <w:t>人要求撤换不</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能按照合同约定履行职责及义务的主要施工管理人员的，承包人应当撤换。</w:t>
      </w:r>
      <w:r>
        <w:rPr>
          <w:rFonts w:ascii="宋体" w:hAnsi="宋体" w:eastAsia="宋体" w:cs="宋体"/>
          <w:color w:val="auto"/>
          <w:spacing w:val="2"/>
          <w:sz w:val="21"/>
          <w:szCs w:val="21"/>
          <w:highlight w:val="none"/>
        </w:rPr>
        <w:t>承包人无正当</w:t>
      </w:r>
    </w:p>
    <w:p w14:paraId="6938D977">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理由拒绝撤换的，应按照专用合同条款的约定承担</w:t>
      </w:r>
      <w:r>
        <w:rPr>
          <w:rFonts w:ascii="宋体" w:hAnsi="宋体" w:eastAsia="宋体" w:cs="宋体"/>
          <w:color w:val="auto"/>
          <w:spacing w:val="-2"/>
          <w:sz w:val="21"/>
          <w:szCs w:val="21"/>
          <w:highlight w:val="none"/>
        </w:rPr>
        <w:t>违约责任。</w:t>
      </w:r>
    </w:p>
    <w:p w14:paraId="48E35AA8">
      <w:pPr>
        <w:spacing w:before="151" w:line="352" w:lineRule="auto"/>
        <w:ind w:left="20" w:right="187" w:firstLine="420"/>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3.3.4</w:t>
      </w:r>
      <w:r>
        <w:rPr>
          <w:rFonts w:ascii="Times New Roman" w:hAnsi="Times New Roman" w:eastAsia="Times New Roman" w:cs="Times New Roman"/>
          <w:color w:val="auto"/>
          <w:spacing w:val="59"/>
          <w:sz w:val="21"/>
          <w:szCs w:val="21"/>
          <w:highlight w:val="none"/>
        </w:rPr>
        <w:t xml:space="preserve"> </w:t>
      </w:r>
      <w:r>
        <w:rPr>
          <w:rFonts w:ascii="宋体" w:hAnsi="宋体" w:eastAsia="宋体" w:cs="宋体"/>
          <w:color w:val="auto"/>
          <w:sz w:val="21"/>
          <w:szCs w:val="21"/>
          <w:highlight w:val="none"/>
        </w:rPr>
        <w:t xml:space="preserve">除专用合同条款另有约定外，承包人的主要施工管理人员离开施工现场每月累计 </w:t>
      </w:r>
      <w:r>
        <w:rPr>
          <w:rFonts w:ascii="宋体" w:hAnsi="宋体" w:eastAsia="宋体" w:cs="宋体"/>
          <w:color w:val="auto"/>
          <w:spacing w:val="-4"/>
          <w:sz w:val="21"/>
          <w:szCs w:val="21"/>
          <w:highlight w:val="none"/>
        </w:rPr>
        <w:t xml:space="preserve">不超过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4"/>
          <w:sz w:val="21"/>
          <w:szCs w:val="21"/>
          <w:highlight w:val="none"/>
        </w:rPr>
        <w:t xml:space="preserve">天的，应报监理人同意；离开施工现场每月累计超过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4"/>
          <w:sz w:val="21"/>
          <w:szCs w:val="21"/>
          <w:highlight w:val="none"/>
        </w:rPr>
        <w:t>天的， 应通知监理人，并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征得发包人书面同意。主要施工管理人员离开施工现场前应指定一名有</w:t>
      </w:r>
      <w:r>
        <w:rPr>
          <w:rFonts w:ascii="宋体" w:hAnsi="宋体" w:eastAsia="宋体" w:cs="宋体"/>
          <w:color w:val="auto"/>
          <w:spacing w:val="2"/>
          <w:sz w:val="21"/>
          <w:szCs w:val="21"/>
          <w:highlight w:val="none"/>
        </w:rPr>
        <w:t>经验的人员临时代</w:t>
      </w:r>
    </w:p>
    <w:p w14:paraId="09F17FC3">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行其职责， 该人员应具备履行相应职责的资格和能力，</w:t>
      </w:r>
      <w:r>
        <w:rPr>
          <w:rFonts w:ascii="宋体" w:hAnsi="宋体" w:eastAsia="宋体" w:cs="宋体"/>
          <w:color w:val="auto"/>
          <w:spacing w:val="-4"/>
          <w:sz w:val="21"/>
          <w:szCs w:val="21"/>
          <w:highlight w:val="none"/>
        </w:rPr>
        <w:t>且应征得监理人或发包人的同意。</w:t>
      </w:r>
    </w:p>
    <w:p w14:paraId="3D445C12">
      <w:pPr>
        <w:spacing w:before="147"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3.3.5</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承包人擅自更换主要施工管理人员，或前述人员</w:t>
      </w:r>
      <w:r>
        <w:rPr>
          <w:rFonts w:ascii="宋体" w:hAnsi="宋体" w:eastAsia="宋体" w:cs="宋体"/>
          <w:color w:val="auto"/>
          <w:sz w:val="21"/>
          <w:szCs w:val="21"/>
          <w:highlight w:val="none"/>
        </w:rPr>
        <w:t>未经监理人或发包人同意擅自离</w:t>
      </w:r>
    </w:p>
    <w:p w14:paraId="52A30CC1">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开施工现场的，应按照专用合同条款约定承担违约责任。</w:t>
      </w:r>
    </w:p>
    <w:p w14:paraId="45B08335">
      <w:pPr>
        <w:spacing w:before="51"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3.4 承包人现场查勘</w:t>
      </w:r>
    </w:p>
    <w:p w14:paraId="70A35D0D">
      <w:pPr>
        <w:spacing w:before="130" w:line="350" w:lineRule="auto"/>
        <w:ind w:left="19" w:right="187"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承包人应对基于发包人按照第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2.4.3 </w:t>
      </w:r>
      <w:r>
        <w:rPr>
          <w:rFonts w:ascii="宋体" w:hAnsi="宋体" w:eastAsia="宋体" w:cs="宋体"/>
          <w:color w:val="auto"/>
          <w:sz w:val="21"/>
          <w:szCs w:val="21"/>
          <w:highlight w:val="none"/>
        </w:rPr>
        <w:t>项〔提供基础资料〕提交的基础资</w:t>
      </w:r>
      <w:r>
        <w:rPr>
          <w:rFonts w:ascii="宋体" w:hAnsi="宋体" w:eastAsia="宋体" w:cs="宋体"/>
          <w:color w:val="auto"/>
          <w:spacing w:val="-1"/>
          <w:sz w:val="21"/>
          <w:szCs w:val="21"/>
          <w:highlight w:val="none"/>
        </w:rPr>
        <w:t>料所做出的解释</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和推断负责， 但因基础资料存在错误、遗漏导致承包</w:t>
      </w:r>
      <w:r>
        <w:rPr>
          <w:rFonts w:ascii="宋体" w:hAnsi="宋体" w:eastAsia="宋体" w:cs="宋体"/>
          <w:color w:val="auto"/>
          <w:spacing w:val="-3"/>
          <w:sz w:val="21"/>
          <w:szCs w:val="21"/>
          <w:highlight w:val="none"/>
        </w:rPr>
        <w:t>人解释或推断失实的， 由发包人承担</w:t>
      </w:r>
    </w:p>
    <w:p w14:paraId="3ABE9692">
      <w:pPr>
        <w:spacing w:line="220" w:lineRule="auto"/>
        <w:ind w:left="2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责任。</w:t>
      </w:r>
    </w:p>
    <w:p w14:paraId="73188716">
      <w:pPr>
        <w:spacing w:before="154" w:line="350" w:lineRule="auto"/>
        <w:ind w:left="20" w:right="191"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承包人应对施工现场和施工条件进行查勘，并充分了解工程所在地的气象条件、交通 条件、风俗习惯以及其他与完成合同工作有关的其他资料。因承包人未能</w:t>
      </w:r>
      <w:r>
        <w:rPr>
          <w:rFonts w:ascii="宋体" w:hAnsi="宋体" w:eastAsia="宋体" w:cs="宋体"/>
          <w:color w:val="auto"/>
          <w:spacing w:val="2"/>
          <w:sz w:val="21"/>
          <w:szCs w:val="21"/>
          <w:highlight w:val="none"/>
        </w:rPr>
        <w:t>充分查勘、了解</w:t>
      </w:r>
    </w:p>
    <w:p w14:paraId="1FE65939">
      <w:pPr>
        <w:spacing w:line="219"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前述情况或未能充分估计前述情况所可能产生后果的， 承包人承担由</w:t>
      </w:r>
      <w:r>
        <w:rPr>
          <w:rFonts w:ascii="宋体" w:hAnsi="宋体" w:eastAsia="宋体" w:cs="宋体"/>
          <w:color w:val="auto"/>
          <w:spacing w:val="-1"/>
          <w:sz w:val="21"/>
          <w:szCs w:val="21"/>
          <w:highlight w:val="none"/>
        </w:rPr>
        <w:t>此增加的费用和（或）</w:t>
      </w:r>
    </w:p>
    <w:p w14:paraId="0C3D1DE2">
      <w:pPr>
        <w:spacing w:before="154"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延误的工期。</w:t>
      </w:r>
    </w:p>
    <w:p w14:paraId="7BE2C9DE">
      <w:pPr>
        <w:spacing w:before="45" w:line="220" w:lineRule="auto"/>
        <w:ind w:left="19"/>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3.5</w:t>
      </w:r>
      <w:r>
        <w:rPr>
          <w:rFonts w:ascii="黑体" w:hAnsi="黑体" w:eastAsia="黑体" w:cs="黑体"/>
          <w:color w:val="auto"/>
          <w:spacing w:val="17"/>
          <w:sz w:val="24"/>
          <w:szCs w:val="24"/>
          <w:highlight w:val="none"/>
        </w:rPr>
        <w:t xml:space="preserve"> </w:t>
      </w:r>
      <w:r>
        <w:rPr>
          <w:rFonts w:ascii="黑体" w:hAnsi="黑体" w:eastAsia="黑体" w:cs="黑体"/>
          <w:color w:val="auto"/>
          <w:spacing w:val="-4"/>
          <w:sz w:val="24"/>
          <w:szCs w:val="24"/>
          <w:highlight w:val="none"/>
        </w:rPr>
        <w:t>分包</w:t>
      </w:r>
    </w:p>
    <w:p w14:paraId="7B302786">
      <w:pPr>
        <w:spacing w:before="128"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3.5.1 </w:t>
      </w:r>
      <w:r>
        <w:rPr>
          <w:rFonts w:ascii="宋体" w:hAnsi="宋体" w:eastAsia="宋体" w:cs="宋体"/>
          <w:color w:val="auto"/>
          <w:spacing w:val="-1"/>
          <w:sz w:val="21"/>
          <w:szCs w:val="21"/>
          <w:highlight w:val="none"/>
        </w:rPr>
        <w:t>分包的一般约定</w:t>
      </w:r>
    </w:p>
    <w:p w14:paraId="7A002157">
      <w:pPr>
        <w:spacing w:before="146" w:line="352" w:lineRule="auto"/>
        <w:ind w:left="18" w:right="191"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承包人不得将其承包的全部工程转包给第三人， 或将其承包的全部工程肢解后以分包</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的名义转包给第三人。承包人不得将工程主体结构、关键性工作及专用合同</w:t>
      </w:r>
      <w:r>
        <w:rPr>
          <w:rFonts w:ascii="宋体" w:hAnsi="宋体" w:eastAsia="宋体" w:cs="宋体"/>
          <w:color w:val="auto"/>
          <w:spacing w:val="2"/>
          <w:sz w:val="21"/>
          <w:szCs w:val="21"/>
          <w:highlight w:val="none"/>
        </w:rPr>
        <w:t>条款中禁止分</w:t>
      </w:r>
      <w:r>
        <w:rPr>
          <w:rFonts w:ascii="宋体" w:hAnsi="宋体" w:eastAsia="宋体" w:cs="宋体"/>
          <w:color w:val="auto"/>
          <w:sz w:val="21"/>
          <w:szCs w:val="21"/>
          <w:highlight w:val="none"/>
        </w:rPr>
        <w:t xml:space="preserve"> 包的专业工程分包给第三人， 主体结构、关键性工作的范围由合同当事人按照法律规定在</w:t>
      </w:r>
    </w:p>
    <w:p w14:paraId="4E57E514">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专用合同条款中予以明确。</w:t>
      </w:r>
    </w:p>
    <w:p w14:paraId="7F8A4A28">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承包人不得以劳务分包的名义转包或违法分包工程。</w:t>
      </w:r>
    </w:p>
    <w:p w14:paraId="544F9BE7">
      <w:pPr>
        <w:spacing w:before="153"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分包的确定</w:t>
      </w:r>
    </w:p>
    <w:p w14:paraId="5C62403C">
      <w:pPr>
        <w:spacing w:before="148" w:line="351" w:lineRule="auto"/>
        <w:ind w:left="20" w:right="187" w:firstLine="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承包人应按专用合同条款的约定进行分包，确定分包人。已标价工程量清单或预算书 </w:t>
      </w:r>
      <w:r>
        <w:rPr>
          <w:rFonts w:ascii="宋体" w:hAnsi="宋体" w:eastAsia="宋体" w:cs="宋体"/>
          <w:color w:val="auto"/>
          <w:sz w:val="21"/>
          <w:szCs w:val="21"/>
          <w:highlight w:val="none"/>
        </w:rPr>
        <w:t xml:space="preserve">中给定暂估价的专业工程，按照第 </w:t>
      </w:r>
      <w:r>
        <w:rPr>
          <w:rFonts w:ascii="Times New Roman" w:hAnsi="Times New Roman" w:eastAsia="Times New Roman" w:cs="Times New Roman"/>
          <w:color w:val="auto"/>
          <w:sz w:val="21"/>
          <w:szCs w:val="21"/>
          <w:highlight w:val="none"/>
        </w:rPr>
        <w:t>10.7</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z w:val="21"/>
          <w:szCs w:val="21"/>
          <w:highlight w:val="none"/>
        </w:rPr>
        <w:t>款</w:t>
      </w:r>
      <w:r>
        <w:rPr>
          <w:rFonts w:ascii="宋体" w:hAnsi="宋体" w:eastAsia="宋体" w:cs="宋体"/>
          <w:color w:val="auto"/>
          <w:spacing w:val="-1"/>
          <w:sz w:val="21"/>
          <w:szCs w:val="21"/>
          <w:highlight w:val="none"/>
        </w:rPr>
        <w:t>〔暂估价〕确定分包人。按照合同约定进行分包</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的，承包人应确保分包人具有相应的资质和能力。工程分包不减轻或免</w:t>
      </w:r>
      <w:r>
        <w:rPr>
          <w:rFonts w:ascii="宋体" w:hAnsi="宋体" w:eastAsia="宋体" w:cs="宋体"/>
          <w:color w:val="auto"/>
          <w:spacing w:val="2"/>
          <w:sz w:val="21"/>
          <w:szCs w:val="21"/>
          <w:highlight w:val="none"/>
        </w:rPr>
        <w:t>除承包人的责任和</w:t>
      </w:r>
      <w:r>
        <w:rPr>
          <w:rFonts w:ascii="宋体" w:hAnsi="宋体" w:eastAsia="宋体" w:cs="宋体"/>
          <w:color w:val="auto"/>
          <w:sz w:val="21"/>
          <w:szCs w:val="21"/>
          <w:highlight w:val="none"/>
        </w:rPr>
        <w:t xml:space="preserve"> 义务， 承包人和分包人就分包工程向发包人承担连带责任。除合同另有约定外，承包人应</w:t>
      </w:r>
    </w:p>
    <w:p w14:paraId="76289C3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在分包合同签订后</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天内向发包人和监理人提交分包合同副本。</w:t>
      </w:r>
    </w:p>
    <w:p w14:paraId="1DAD889B">
      <w:pPr>
        <w:spacing w:before="153"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3.5.3 </w:t>
      </w:r>
      <w:r>
        <w:rPr>
          <w:rFonts w:ascii="宋体" w:hAnsi="宋体" w:eastAsia="宋体" w:cs="宋体"/>
          <w:color w:val="auto"/>
          <w:spacing w:val="-1"/>
          <w:sz w:val="21"/>
          <w:szCs w:val="21"/>
          <w:highlight w:val="none"/>
        </w:rPr>
        <w:t>分包管理</w:t>
      </w:r>
    </w:p>
    <w:p w14:paraId="7A2EBF5C">
      <w:pPr>
        <w:spacing w:before="147"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承包人应向监理人提交分包人的主要施工管理人员表， 并对分包人的施工人员进行实</w:t>
      </w:r>
    </w:p>
    <w:p w14:paraId="0E54261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名制管理，</w:t>
      </w:r>
      <w:r>
        <w:rPr>
          <w:rFonts w:ascii="宋体" w:hAnsi="宋体" w:eastAsia="宋体" w:cs="宋体"/>
          <w:color w:val="auto"/>
          <w:spacing w:val="52"/>
          <w:sz w:val="21"/>
          <w:szCs w:val="21"/>
          <w:highlight w:val="none"/>
        </w:rPr>
        <w:t xml:space="preserve"> </w:t>
      </w:r>
      <w:r>
        <w:rPr>
          <w:rFonts w:ascii="宋体" w:hAnsi="宋体" w:eastAsia="宋体" w:cs="宋体"/>
          <w:color w:val="auto"/>
          <w:spacing w:val="-6"/>
          <w:sz w:val="21"/>
          <w:szCs w:val="21"/>
          <w:highlight w:val="none"/>
        </w:rPr>
        <w:t>包括但不限于进出场管理、登记造册以及各种证照的办理。</w:t>
      </w:r>
    </w:p>
    <w:p w14:paraId="5481DA76">
      <w:pPr>
        <w:spacing w:line="220" w:lineRule="auto"/>
        <w:rPr>
          <w:rFonts w:ascii="宋体" w:hAnsi="宋体" w:eastAsia="宋体" w:cs="宋体"/>
          <w:color w:val="auto"/>
          <w:sz w:val="21"/>
          <w:szCs w:val="21"/>
          <w:highlight w:val="none"/>
        </w:rPr>
        <w:sectPr>
          <w:footerReference r:id="rId54" w:type="default"/>
          <w:pgSz w:w="11905" w:h="16839"/>
          <w:pgMar w:top="1431" w:right="1600" w:bottom="1004" w:left="1785" w:header="0" w:footer="829" w:gutter="0"/>
          <w:pgNumType w:fmt="decimal"/>
          <w:cols w:space="720" w:num="1"/>
        </w:sectPr>
      </w:pPr>
    </w:p>
    <w:p w14:paraId="4F25A723">
      <w:pPr>
        <w:spacing w:before="149"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分包合同价款</w:t>
      </w:r>
    </w:p>
    <w:p w14:paraId="1E54A561">
      <w:pPr>
        <w:spacing w:before="149"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）除本项第（</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w:t>
      </w:r>
      <w:r>
        <w:rPr>
          <w:rFonts w:ascii="宋体" w:hAnsi="宋体" w:eastAsia="宋体" w:cs="宋体"/>
          <w:color w:val="auto"/>
          <w:spacing w:val="-48"/>
          <w:position w:val="14"/>
          <w:sz w:val="21"/>
          <w:szCs w:val="21"/>
          <w:highlight w:val="none"/>
        </w:rPr>
        <w:t xml:space="preserve"> </w:t>
      </w:r>
      <w:r>
        <w:rPr>
          <w:rFonts w:ascii="宋体" w:hAnsi="宋体" w:eastAsia="宋体" w:cs="宋体"/>
          <w:color w:val="auto"/>
          <w:spacing w:val="1"/>
          <w:position w:val="14"/>
          <w:sz w:val="21"/>
          <w:szCs w:val="21"/>
          <w:highlight w:val="none"/>
        </w:rPr>
        <w:t>目约定的情况或专用合同条款另有约定外，分包合同价款由承包</w:t>
      </w:r>
    </w:p>
    <w:p w14:paraId="14DBD3A6">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人与分包人结算，未经承包人同意，发包人不得向分包人支付分包工程价款；</w:t>
      </w:r>
    </w:p>
    <w:p w14:paraId="4A6B8072">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）生效法律文书要求发包人向分包人支付分包合同价款的，发包人有权从</w:t>
      </w:r>
      <w:r>
        <w:rPr>
          <w:rFonts w:ascii="宋体" w:hAnsi="宋体" w:eastAsia="宋体" w:cs="宋体"/>
          <w:color w:val="auto"/>
          <w:spacing w:val="-1"/>
          <w:position w:val="14"/>
          <w:sz w:val="21"/>
          <w:szCs w:val="21"/>
          <w:highlight w:val="none"/>
        </w:rPr>
        <w:t>应付承包</w:t>
      </w:r>
    </w:p>
    <w:p w14:paraId="1B4237C8">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人工程款中扣除该部分款项。</w:t>
      </w:r>
    </w:p>
    <w:p w14:paraId="3E49F22E">
      <w:pPr>
        <w:spacing w:before="151"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宋体" w:hAnsi="宋体" w:eastAsia="宋体" w:cs="宋体"/>
          <w:color w:val="auto"/>
          <w:spacing w:val="-1"/>
          <w:sz w:val="21"/>
          <w:szCs w:val="21"/>
          <w:highlight w:val="none"/>
        </w:rPr>
        <w:t>分包合同权益的转让</w:t>
      </w:r>
    </w:p>
    <w:p w14:paraId="71FBD190">
      <w:pPr>
        <w:spacing w:before="148" w:line="398"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分包人在分包合同项下的义务持续到缺陷责任期届满以后的，发包人有权在缺陷责任</w:t>
      </w:r>
    </w:p>
    <w:p w14:paraId="3F92E2DB">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期届满前，要求承包人将其在分包合同项下的权益转让给发包人， 承包人应当转让。除转</w:t>
      </w:r>
    </w:p>
    <w:p w14:paraId="6C4D573D">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让合同另有约定外， 转让合同生效后，</w:t>
      </w:r>
      <w:r>
        <w:rPr>
          <w:rFonts w:ascii="宋体" w:hAnsi="宋体" w:eastAsia="宋体" w:cs="宋体"/>
          <w:color w:val="auto"/>
          <w:spacing w:val="45"/>
          <w:sz w:val="21"/>
          <w:szCs w:val="21"/>
          <w:highlight w:val="none"/>
        </w:rPr>
        <w:t xml:space="preserve"> </w:t>
      </w:r>
      <w:r>
        <w:rPr>
          <w:rFonts w:ascii="宋体" w:hAnsi="宋体" w:eastAsia="宋体" w:cs="宋体"/>
          <w:color w:val="auto"/>
          <w:spacing w:val="-9"/>
          <w:sz w:val="21"/>
          <w:szCs w:val="21"/>
          <w:highlight w:val="none"/>
        </w:rPr>
        <w:t>由分包人向发包人履行义务。</w:t>
      </w:r>
    </w:p>
    <w:p w14:paraId="076D707A">
      <w:pPr>
        <w:spacing w:before="46"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3.6 工程照管与成品、半成品保护</w:t>
      </w:r>
    </w:p>
    <w:p w14:paraId="6AB06C99">
      <w:pPr>
        <w:spacing w:before="129"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）除专用合同条款另有约定外，自发包人向承包人移交施工现场之日起，承</w:t>
      </w:r>
      <w:r>
        <w:rPr>
          <w:rFonts w:ascii="宋体" w:hAnsi="宋体" w:eastAsia="宋体" w:cs="宋体"/>
          <w:color w:val="auto"/>
          <w:spacing w:val="-1"/>
          <w:position w:val="14"/>
          <w:sz w:val="21"/>
          <w:szCs w:val="21"/>
          <w:highlight w:val="none"/>
        </w:rPr>
        <w:t>包人应</w:t>
      </w:r>
    </w:p>
    <w:p w14:paraId="563C86F8">
      <w:pPr>
        <w:spacing w:before="1" w:line="219"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负责照管工程及工程相关的材料、工程设备，直到颁发工程接收证书之日止。</w:t>
      </w:r>
    </w:p>
    <w:p w14:paraId="5F2CCCB5">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）在承包人负责照管期间，因承包人原因造成工程、材料、工程设备损坏</w:t>
      </w:r>
      <w:r>
        <w:rPr>
          <w:rFonts w:ascii="宋体" w:hAnsi="宋体" w:eastAsia="宋体" w:cs="宋体"/>
          <w:color w:val="auto"/>
          <w:spacing w:val="-1"/>
          <w:position w:val="14"/>
          <w:sz w:val="21"/>
          <w:szCs w:val="21"/>
          <w:highlight w:val="none"/>
        </w:rPr>
        <w:t>的，由承</w:t>
      </w:r>
    </w:p>
    <w:p w14:paraId="754990E2">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包人负责修复或更换，并承担由此增加的费用和（或）延误的工期。</w:t>
      </w:r>
    </w:p>
    <w:p w14:paraId="64052B41">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）对合同内分期完成的成品和半成品，在工程接收证书颁发前</w:t>
      </w:r>
      <w:r>
        <w:rPr>
          <w:rFonts w:ascii="宋体" w:hAnsi="宋体" w:eastAsia="宋体" w:cs="宋体"/>
          <w:color w:val="auto"/>
          <w:spacing w:val="-1"/>
          <w:position w:val="14"/>
          <w:sz w:val="21"/>
          <w:szCs w:val="21"/>
          <w:highlight w:val="none"/>
        </w:rPr>
        <w:t>，由承包人承担保护</w:t>
      </w:r>
    </w:p>
    <w:p w14:paraId="78E73313">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z w:val="21"/>
          <w:szCs w:val="21"/>
          <w:highlight w:val="none"/>
        </w:rPr>
        <w:t>责任。因承包人原因造成成品或半成品损坏的，由承包人负责修复或更换， 并承担由此增</w:t>
      </w:r>
    </w:p>
    <w:p w14:paraId="5334E444">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加的费用和（或）延误的工期。</w:t>
      </w:r>
    </w:p>
    <w:p w14:paraId="4F752AE6">
      <w:pPr>
        <w:spacing w:before="45"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3.7 履约担保</w:t>
      </w:r>
    </w:p>
    <w:p w14:paraId="04526676">
      <w:pPr>
        <w:spacing w:before="130" w:line="352" w:lineRule="auto"/>
        <w:ind w:left="19" w:right="161" w:firstLine="42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发包人需要承包人提供履约担保的， 由合同当事人在专用合同条款中约定履约担保的</w:t>
      </w:r>
      <w:r>
        <w:rPr>
          <w:rFonts w:ascii="宋体" w:hAnsi="宋体" w:eastAsia="宋体" w:cs="宋体"/>
          <w:color w:val="auto"/>
          <w:spacing w:val="5"/>
          <w:sz w:val="21"/>
          <w:szCs w:val="21"/>
          <w:highlight w:val="none"/>
        </w:rPr>
        <w:t xml:space="preserve"> </w:t>
      </w:r>
      <w:r>
        <w:rPr>
          <w:rFonts w:ascii="宋体" w:hAnsi="宋体" w:eastAsia="宋体" w:cs="宋体"/>
          <w:color w:val="auto"/>
          <w:spacing w:val="-2"/>
          <w:sz w:val="21"/>
          <w:szCs w:val="21"/>
          <w:highlight w:val="none"/>
        </w:rPr>
        <w:t>方式、金额及期限等。 履约担保可以采用银行保函或担</w:t>
      </w:r>
      <w:r>
        <w:rPr>
          <w:rFonts w:ascii="宋体" w:hAnsi="宋体" w:eastAsia="宋体" w:cs="宋体"/>
          <w:color w:val="auto"/>
          <w:spacing w:val="-3"/>
          <w:sz w:val="21"/>
          <w:szCs w:val="21"/>
          <w:highlight w:val="none"/>
        </w:rPr>
        <w:t>保公司担保等形式， 具体由合同当</w:t>
      </w:r>
    </w:p>
    <w:p w14:paraId="2CDC938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事人在专用合同条款中约定。</w:t>
      </w:r>
    </w:p>
    <w:p w14:paraId="20FAAD44">
      <w:pPr>
        <w:spacing w:before="147"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因承包人原因导致工期延长的， 继续提供履约担保所增加的费用由承包人承担； 非因</w:t>
      </w:r>
    </w:p>
    <w:p w14:paraId="046D4676">
      <w:pPr>
        <w:spacing w:before="149"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承包人原因导致工期延长的， 继续提供履约担保所增加的费用由发包人承担。</w:t>
      </w:r>
    </w:p>
    <w:p w14:paraId="4058CF81">
      <w:pPr>
        <w:spacing w:before="51" w:line="219" w:lineRule="auto"/>
        <w:ind w:left="19"/>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3.8</w:t>
      </w:r>
      <w:r>
        <w:rPr>
          <w:rFonts w:ascii="黑体" w:hAnsi="黑体" w:eastAsia="黑体" w:cs="黑体"/>
          <w:color w:val="auto"/>
          <w:spacing w:val="11"/>
          <w:sz w:val="24"/>
          <w:szCs w:val="24"/>
          <w:highlight w:val="none"/>
        </w:rPr>
        <w:t xml:space="preserve"> </w:t>
      </w:r>
      <w:r>
        <w:rPr>
          <w:rFonts w:ascii="黑体" w:hAnsi="黑体" w:eastAsia="黑体" w:cs="黑体"/>
          <w:color w:val="auto"/>
          <w:spacing w:val="-3"/>
          <w:sz w:val="24"/>
          <w:szCs w:val="24"/>
          <w:highlight w:val="none"/>
        </w:rPr>
        <w:t>联合体</w:t>
      </w:r>
    </w:p>
    <w:p w14:paraId="4D24B731">
      <w:pPr>
        <w:spacing w:before="129" w:line="39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3.8.1</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联合体各方应共同与发包人签订合同协议书。联合体</w:t>
      </w:r>
      <w:r>
        <w:rPr>
          <w:rFonts w:ascii="宋体" w:hAnsi="宋体" w:eastAsia="宋体" w:cs="宋体"/>
          <w:color w:val="auto"/>
          <w:position w:val="14"/>
          <w:sz w:val="21"/>
          <w:szCs w:val="21"/>
          <w:highlight w:val="none"/>
        </w:rPr>
        <w:t>各方应为履行合同向发包人</w:t>
      </w:r>
    </w:p>
    <w:p w14:paraId="786BE74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承担连带责任。</w:t>
      </w:r>
    </w:p>
    <w:p w14:paraId="2F4CF377">
      <w:pPr>
        <w:spacing w:before="148" w:line="403"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3.8.2</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position w:val="14"/>
          <w:sz w:val="21"/>
          <w:szCs w:val="21"/>
          <w:highlight w:val="none"/>
        </w:rPr>
        <w:t>联合体协议经发包人确认后作为合</w:t>
      </w:r>
      <w:r>
        <w:rPr>
          <w:rFonts w:ascii="宋体" w:hAnsi="宋体" w:eastAsia="宋体" w:cs="宋体"/>
          <w:color w:val="auto"/>
          <w:spacing w:val="-1"/>
          <w:position w:val="14"/>
          <w:sz w:val="21"/>
          <w:szCs w:val="21"/>
          <w:highlight w:val="none"/>
        </w:rPr>
        <w:t>同附件。在履行合同过程中，未经发包人同意，</w:t>
      </w:r>
    </w:p>
    <w:p w14:paraId="320BF1F9">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不得修改联合体协议。</w:t>
      </w:r>
    </w:p>
    <w:p w14:paraId="052435F0">
      <w:pPr>
        <w:spacing w:before="148" w:line="39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3.8.3</w:t>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联合体牵头人负责与发包人和监理人联系，并</w:t>
      </w:r>
      <w:r>
        <w:rPr>
          <w:rFonts w:ascii="宋体" w:hAnsi="宋体" w:eastAsia="宋体" w:cs="宋体"/>
          <w:color w:val="auto"/>
          <w:position w:val="14"/>
          <w:sz w:val="21"/>
          <w:szCs w:val="21"/>
          <w:highlight w:val="none"/>
        </w:rPr>
        <w:t>接受指示，负责组织联合体各成员</w:t>
      </w:r>
    </w:p>
    <w:p w14:paraId="2FAB4202">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全面履行合同。</w:t>
      </w:r>
    </w:p>
    <w:p w14:paraId="7B46D26F">
      <w:pPr>
        <w:spacing w:before="177" w:line="223" w:lineRule="auto"/>
        <w:ind w:left="13"/>
        <w:rPr>
          <w:rFonts w:ascii="黑体" w:hAnsi="黑体" w:eastAsia="黑体" w:cs="黑体"/>
          <w:color w:val="auto"/>
          <w:sz w:val="32"/>
          <w:szCs w:val="32"/>
          <w:highlight w:val="none"/>
        </w:rPr>
      </w:pPr>
      <w:r>
        <w:rPr>
          <w:rFonts w:ascii="黑体" w:hAnsi="黑体" w:eastAsia="黑体" w:cs="黑体"/>
          <w:color w:val="auto"/>
          <w:sz w:val="32"/>
          <w:szCs w:val="32"/>
          <w:highlight w:val="none"/>
        </w:rPr>
        <w:t>4.监理人</w:t>
      </w:r>
    </w:p>
    <w:p w14:paraId="353330B3">
      <w:pPr>
        <w:spacing w:before="140"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4.1</w:t>
      </w:r>
      <w:r>
        <w:rPr>
          <w:rFonts w:ascii="黑体" w:hAnsi="黑体" w:eastAsia="黑体" w:cs="黑体"/>
          <w:color w:val="auto"/>
          <w:spacing w:val="-44"/>
          <w:sz w:val="24"/>
          <w:szCs w:val="24"/>
          <w:highlight w:val="none"/>
        </w:rPr>
        <w:t xml:space="preserve"> </w:t>
      </w:r>
      <w:r>
        <w:rPr>
          <w:rFonts w:ascii="黑体" w:hAnsi="黑体" w:eastAsia="黑体" w:cs="黑体"/>
          <w:color w:val="auto"/>
          <w:spacing w:val="-2"/>
          <w:sz w:val="24"/>
          <w:szCs w:val="24"/>
          <w:highlight w:val="none"/>
        </w:rPr>
        <w:t>监理人的一般规定</w:t>
      </w:r>
    </w:p>
    <w:p w14:paraId="1F2EE209">
      <w:pPr>
        <w:spacing w:before="129" w:line="353" w:lineRule="auto"/>
        <w:ind w:left="17" w:right="161"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工程实行监理的，发包人和承包人应在专用合同条款中明确监理人的监理内容及监理</w:t>
      </w:r>
      <w:r>
        <w:rPr>
          <w:rFonts w:ascii="宋体" w:hAnsi="宋体" w:eastAsia="宋体" w:cs="宋体"/>
          <w:color w:val="auto"/>
          <w:sz w:val="21"/>
          <w:szCs w:val="21"/>
          <w:highlight w:val="none"/>
        </w:rPr>
        <w:t xml:space="preserve"> 权限等事项。监理人应当根据发包人授权及法律规定， 代表发包人对工程施工相关事项进</w:t>
      </w:r>
    </w:p>
    <w:p w14:paraId="312555E6">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行检查、查验、审核、验收，</w:t>
      </w:r>
      <w:r>
        <w:rPr>
          <w:rFonts w:ascii="宋体" w:hAnsi="宋体" w:eastAsia="宋体" w:cs="宋体"/>
          <w:color w:val="auto"/>
          <w:spacing w:val="81"/>
          <w:sz w:val="21"/>
          <w:szCs w:val="21"/>
          <w:highlight w:val="none"/>
        </w:rPr>
        <w:t xml:space="preserve"> </w:t>
      </w:r>
      <w:r>
        <w:rPr>
          <w:rFonts w:ascii="宋体" w:hAnsi="宋体" w:eastAsia="宋体" w:cs="宋体"/>
          <w:color w:val="auto"/>
          <w:spacing w:val="-2"/>
          <w:sz w:val="21"/>
          <w:szCs w:val="21"/>
          <w:highlight w:val="none"/>
        </w:rPr>
        <w:t>并签发相关指示，但监理人无权修改合同，且无权减轻或免</w:t>
      </w:r>
    </w:p>
    <w:p w14:paraId="040DD6A1">
      <w:pPr>
        <w:spacing w:line="220" w:lineRule="auto"/>
        <w:rPr>
          <w:rFonts w:ascii="宋体" w:hAnsi="宋体" w:eastAsia="宋体" w:cs="宋体"/>
          <w:color w:val="auto"/>
          <w:sz w:val="21"/>
          <w:szCs w:val="21"/>
          <w:highlight w:val="none"/>
        </w:rPr>
        <w:sectPr>
          <w:footerReference r:id="rId55" w:type="default"/>
          <w:pgSz w:w="11905" w:h="16839"/>
          <w:pgMar w:top="1431" w:right="1630" w:bottom="1004" w:left="1785" w:header="0" w:footer="828" w:gutter="0"/>
          <w:pgNumType w:fmt="decimal"/>
          <w:cols w:space="720" w:num="1"/>
        </w:sectPr>
      </w:pPr>
    </w:p>
    <w:p w14:paraId="4F833F4B">
      <w:pPr>
        <w:spacing w:before="148" w:line="221" w:lineRule="auto"/>
        <w:ind w:left="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除合同约定的承包人的任何责任与义务。</w:t>
      </w:r>
    </w:p>
    <w:p w14:paraId="05312031">
      <w:pPr>
        <w:spacing w:before="147" w:line="220"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除专用合同条款另有约定外，监理人在施工现场的办公场所、生活场所由承包人提供，</w:t>
      </w:r>
    </w:p>
    <w:p w14:paraId="0A147403">
      <w:pPr>
        <w:spacing w:before="152"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所发生的费用由发包人承担。</w:t>
      </w:r>
    </w:p>
    <w:p w14:paraId="22F9D64F">
      <w:pPr>
        <w:spacing w:before="46"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4.2</w:t>
      </w:r>
      <w:r>
        <w:rPr>
          <w:rFonts w:ascii="黑体" w:hAnsi="黑体" w:eastAsia="黑体" w:cs="黑体"/>
          <w:color w:val="auto"/>
          <w:spacing w:val="-50"/>
          <w:sz w:val="24"/>
          <w:szCs w:val="24"/>
          <w:highlight w:val="none"/>
        </w:rPr>
        <w:t xml:space="preserve"> </w:t>
      </w:r>
      <w:r>
        <w:rPr>
          <w:rFonts w:ascii="黑体" w:hAnsi="黑体" w:eastAsia="黑体" w:cs="黑体"/>
          <w:color w:val="auto"/>
          <w:spacing w:val="-2"/>
          <w:sz w:val="24"/>
          <w:szCs w:val="24"/>
          <w:highlight w:val="none"/>
        </w:rPr>
        <w:t>监理人员</w:t>
      </w:r>
    </w:p>
    <w:p w14:paraId="01454F58">
      <w:pPr>
        <w:spacing w:before="131" w:line="352" w:lineRule="auto"/>
        <w:ind w:left="20" w:right="174" w:firstLine="423"/>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发包人授予监理人对工程实施监理的权利由监理人派驻施工现场的监理人员行使，监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理人员包括总监理工程师及监理工程师。监理人应将授权的总监理工程</w:t>
      </w:r>
      <w:r>
        <w:rPr>
          <w:rFonts w:ascii="宋体" w:hAnsi="宋体" w:eastAsia="宋体" w:cs="宋体"/>
          <w:color w:val="auto"/>
          <w:spacing w:val="2"/>
          <w:sz w:val="21"/>
          <w:szCs w:val="21"/>
          <w:highlight w:val="none"/>
        </w:rPr>
        <w:t>师和监理工程师的</w:t>
      </w:r>
    </w:p>
    <w:p w14:paraId="36F4514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姓名及授权范围以书面形式提前通知承包人。</w:t>
      </w:r>
      <w:r>
        <w:rPr>
          <w:rFonts w:ascii="宋体" w:hAnsi="宋体" w:eastAsia="宋体" w:cs="宋体"/>
          <w:color w:val="auto"/>
          <w:sz w:val="21"/>
          <w:szCs w:val="21"/>
          <w:highlight w:val="none"/>
        </w:rPr>
        <w:t xml:space="preserve">更换总监理工程师的，监理人应提前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天书</w:t>
      </w:r>
    </w:p>
    <w:p w14:paraId="1ED920A1">
      <w:pPr>
        <w:spacing w:before="148"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面通知承包人；更换其他监理人员，监理人应提前</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48 </w:t>
      </w:r>
      <w:r>
        <w:rPr>
          <w:rFonts w:ascii="宋体" w:hAnsi="宋体" w:eastAsia="宋体" w:cs="宋体"/>
          <w:color w:val="auto"/>
          <w:spacing w:val="-1"/>
          <w:sz w:val="21"/>
          <w:szCs w:val="21"/>
          <w:highlight w:val="none"/>
        </w:rPr>
        <w:t>小时书面通知承包</w:t>
      </w:r>
      <w:r>
        <w:rPr>
          <w:rFonts w:ascii="宋体" w:hAnsi="宋体" w:eastAsia="宋体" w:cs="宋体"/>
          <w:color w:val="auto"/>
          <w:spacing w:val="-2"/>
          <w:sz w:val="21"/>
          <w:szCs w:val="21"/>
          <w:highlight w:val="none"/>
        </w:rPr>
        <w:t>人。</w:t>
      </w:r>
    </w:p>
    <w:p w14:paraId="72D8B91A">
      <w:pPr>
        <w:spacing w:before="47" w:line="219"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4.3</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监理人的指示</w:t>
      </w:r>
    </w:p>
    <w:p w14:paraId="67090C33">
      <w:pPr>
        <w:spacing w:before="128" w:line="352" w:lineRule="auto"/>
        <w:ind w:left="17" w:right="174"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监理人应按照发包人的授权发出监理指示。监理人的指示应采用书面形式， 并经其授</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权的监理人员签字。紧急情况下， 为了保证施工人员的安全或避免工程受损，监理人员可</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以口头形式发出指示， 该指示与书面形式的指示具有同等法律效力，但必须在发出口头指</w:t>
      </w:r>
    </w:p>
    <w:p w14:paraId="0218A6CD">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示后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 </w:t>
      </w:r>
      <w:r>
        <w:rPr>
          <w:rFonts w:ascii="宋体" w:hAnsi="宋体" w:eastAsia="宋体" w:cs="宋体"/>
          <w:color w:val="auto"/>
          <w:spacing w:val="-1"/>
          <w:sz w:val="21"/>
          <w:szCs w:val="21"/>
          <w:highlight w:val="none"/>
        </w:rPr>
        <w:t>小时内补发书面监理指示，补发的书面监理指示应与口头指示</w:t>
      </w:r>
      <w:r>
        <w:rPr>
          <w:rFonts w:ascii="宋体" w:hAnsi="宋体" w:eastAsia="宋体" w:cs="宋体"/>
          <w:color w:val="auto"/>
          <w:spacing w:val="-2"/>
          <w:sz w:val="21"/>
          <w:szCs w:val="21"/>
          <w:highlight w:val="none"/>
        </w:rPr>
        <w:t>一致。</w:t>
      </w:r>
    </w:p>
    <w:p w14:paraId="066BECF1">
      <w:pPr>
        <w:spacing w:before="148" w:line="352" w:lineRule="auto"/>
        <w:ind w:left="19" w:right="174" w:firstLine="422"/>
        <w:rPr>
          <w:rFonts w:ascii="Times New Roman" w:hAnsi="Times New Roman" w:eastAsia="Times New Roman" w:cs="Times New Roman"/>
          <w:color w:val="auto"/>
          <w:sz w:val="21"/>
          <w:szCs w:val="21"/>
          <w:highlight w:val="none"/>
        </w:rPr>
      </w:pPr>
      <w:r>
        <w:rPr>
          <w:rFonts w:ascii="宋体" w:hAnsi="宋体" w:eastAsia="宋体" w:cs="宋体"/>
          <w:color w:val="auto"/>
          <w:spacing w:val="3"/>
          <w:sz w:val="21"/>
          <w:szCs w:val="21"/>
          <w:highlight w:val="none"/>
        </w:rPr>
        <w:t>监理人发出的指示应送达承包人项目经理或经项目经理授权接收的人员。因监理人未</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能按合同约定发出指示、指示延误或发出了错误指示而导致承包人费用增加</w:t>
      </w:r>
      <w:r>
        <w:rPr>
          <w:rFonts w:ascii="宋体" w:hAnsi="宋体" w:eastAsia="宋体" w:cs="宋体"/>
          <w:color w:val="auto"/>
          <w:spacing w:val="2"/>
          <w:sz w:val="21"/>
          <w:szCs w:val="21"/>
          <w:highlight w:val="none"/>
        </w:rPr>
        <w:t>和（或）工期</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延误的，由发包人承担相应责任。除专用合同条款另有约定外，</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rPr>
        <w:t>总监理工程师</w:t>
      </w:r>
      <w:r>
        <w:rPr>
          <w:rFonts w:ascii="宋体" w:hAnsi="宋体" w:eastAsia="宋体" w:cs="宋体"/>
          <w:color w:val="auto"/>
          <w:spacing w:val="-5"/>
          <w:sz w:val="21"/>
          <w:szCs w:val="21"/>
          <w:highlight w:val="none"/>
        </w:rPr>
        <w:t>不应将第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5"/>
          <w:sz w:val="21"/>
          <w:szCs w:val="21"/>
          <w:highlight w:val="none"/>
        </w:rPr>
        <w:t>4.4</w:t>
      </w:r>
    </w:p>
    <w:p w14:paraId="20F29C77">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款〔商定或确定〕约定应由总监理工程师作出确定的权力授权或委托给其他监理人员。</w:t>
      </w:r>
    </w:p>
    <w:p w14:paraId="7D44DC46">
      <w:pPr>
        <w:spacing w:before="153"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承包人对监理人发出的指示有疑问的， 应向监理人提出书面异议，监理人应在</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48</w:t>
      </w:r>
      <w:r>
        <w:rPr>
          <w:rFonts w:ascii="Times New Roman" w:hAnsi="Times New Roman" w:eastAsia="Times New Roman" w:cs="Times New Roman"/>
          <w:color w:val="auto"/>
          <w:spacing w:val="14"/>
          <w:w w:val="101"/>
          <w:position w:val="14"/>
          <w:sz w:val="21"/>
          <w:szCs w:val="21"/>
          <w:highlight w:val="none"/>
        </w:rPr>
        <w:t xml:space="preserve"> </w:t>
      </w:r>
      <w:r>
        <w:rPr>
          <w:rFonts w:ascii="宋体" w:hAnsi="宋体" w:eastAsia="宋体" w:cs="宋体"/>
          <w:color w:val="auto"/>
          <w:spacing w:val="-4"/>
          <w:position w:val="14"/>
          <w:sz w:val="21"/>
          <w:szCs w:val="21"/>
          <w:highlight w:val="none"/>
        </w:rPr>
        <w:t>小时</w:t>
      </w:r>
    </w:p>
    <w:p w14:paraId="5AF569C4">
      <w:pPr>
        <w:spacing w:before="1"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内对该指示予以确认、更改或撤销， 监理人逾期未回复的， 承包人有权拒绝执行上述指示。</w:t>
      </w:r>
    </w:p>
    <w:p w14:paraId="5181E99C">
      <w:pPr>
        <w:spacing w:before="147" w:line="404"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监理人对承包人的任何工作、工程或其采用的材料和工程设备未在约定的或合理期限</w:t>
      </w:r>
    </w:p>
    <w:p w14:paraId="0BC5BB9C">
      <w:pPr>
        <w:spacing w:line="219"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内提出意见的，视为批准，但不免除或减轻承包人对该工作、工程、材料、工程设备等应</w:t>
      </w:r>
    </w:p>
    <w:p w14:paraId="4D650080">
      <w:pPr>
        <w:spacing w:before="149"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承担的责任和义务。</w:t>
      </w:r>
    </w:p>
    <w:p w14:paraId="203A03D4">
      <w:pPr>
        <w:spacing w:before="45" w:line="219" w:lineRule="auto"/>
        <w:ind w:left="1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4.4</w:t>
      </w:r>
      <w:r>
        <w:rPr>
          <w:rFonts w:ascii="黑体" w:hAnsi="黑体" w:eastAsia="黑体" w:cs="黑体"/>
          <w:color w:val="auto"/>
          <w:spacing w:val="24"/>
          <w:sz w:val="24"/>
          <w:szCs w:val="24"/>
          <w:highlight w:val="none"/>
        </w:rPr>
        <w:t xml:space="preserve"> </w:t>
      </w:r>
      <w:r>
        <w:rPr>
          <w:rFonts w:ascii="黑体" w:hAnsi="黑体" w:eastAsia="黑体" w:cs="黑体"/>
          <w:color w:val="auto"/>
          <w:spacing w:val="-3"/>
          <w:sz w:val="24"/>
          <w:szCs w:val="24"/>
          <w:highlight w:val="none"/>
        </w:rPr>
        <w:t>商定或确定</w:t>
      </w:r>
    </w:p>
    <w:p w14:paraId="5ABA4B82">
      <w:pPr>
        <w:spacing w:before="130" w:line="403"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合同当事人进行商定或确定时， 总监理工程师应当会同合同当事人尽量通过协商达成</w:t>
      </w:r>
    </w:p>
    <w:p w14:paraId="167F231D">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一致，不能达成一致的，由总监理工程师按照合同约定审慎做出公正的确定。</w:t>
      </w:r>
    </w:p>
    <w:p w14:paraId="7CEA44DC">
      <w:pPr>
        <w:spacing w:before="150" w:line="351" w:lineRule="auto"/>
        <w:ind w:left="17" w:right="171"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总监理工程师应将确定以书面形式通知发包人和承包人，并附详细依据。合同</w:t>
      </w:r>
      <w:r>
        <w:rPr>
          <w:rFonts w:ascii="宋体" w:hAnsi="宋体" w:eastAsia="宋体" w:cs="宋体"/>
          <w:color w:val="auto"/>
          <w:spacing w:val="2"/>
          <w:sz w:val="21"/>
          <w:szCs w:val="21"/>
          <w:highlight w:val="none"/>
        </w:rPr>
        <w:t>当事人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对总监理工程师的确定没有异议的，按照总监理工程师的确定执行。任何一方</w:t>
      </w:r>
      <w:r>
        <w:rPr>
          <w:rFonts w:ascii="宋体" w:hAnsi="宋体" w:eastAsia="宋体" w:cs="宋体"/>
          <w:color w:val="auto"/>
          <w:spacing w:val="2"/>
          <w:sz w:val="21"/>
          <w:szCs w:val="21"/>
          <w:highlight w:val="none"/>
        </w:rPr>
        <w:t>合同当事人</w:t>
      </w:r>
      <w:r>
        <w:rPr>
          <w:rFonts w:ascii="宋体" w:hAnsi="宋体" w:eastAsia="宋体" w:cs="宋体"/>
          <w:color w:val="auto"/>
          <w:sz w:val="21"/>
          <w:szCs w:val="21"/>
          <w:highlight w:val="none"/>
        </w:rPr>
        <w:t xml:space="preserve"> 有异议，按照第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宋体" w:hAnsi="宋体" w:eastAsia="宋体" w:cs="宋体"/>
          <w:color w:val="auto"/>
          <w:sz w:val="21"/>
          <w:szCs w:val="21"/>
          <w:highlight w:val="none"/>
        </w:rPr>
        <w:t>条〔争议解决〕约定处理。争议解决前，合同当事人暂按总监</w:t>
      </w:r>
      <w:r>
        <w:rPr>
          <w:rFonts w:ascii="宋体" w:hAnsi="宋体" w:eastAsia="宋体" w:cs="宋体"/>
          <w:color w:val="auto"/>
          <w:spacing w:val="-1"/>
          <w:sz w:val="21"/>
          <w:szCs w:val="21"/>
          <w:highlight w:val="none"/>
        </w:rPr>
        <w:t>理工程师</w:t>
      </w:r>
      <w:r>
        <w:rPr>
          <w:rFonts w:ascii="宋体" w:hAnsi="宋体" w:eastAsia="宋体" w:cs="宋体"/>
          <w:color w:val="auto"/>
          <w:sz w:val="21"/>
          <w:szCs w:val="21"/>
          <w:highlight w:val="none"/>
        </w:rPr>
        <w:t xml:space="preserve"> 的确定执行； 争议解决后，争议解决的结果与总监理工程师的确定不一致的，按照争议解</w:t>
      </w:r>
    </w:p>
    <w:p w14:paraId="1E3B97B7">
      <w:pPr>
        <w:spacing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决的结果执行，由此造成的损失由责任人承担。</w:t>
      </w:r>
    </w:p>
    <w:p w14:paraId="38BC1300">
      <w:pPr>
        <w:spacing w:before="178" w:line="526" w:lineRule="exact"/>
        <w:ind w:left="15"/>
        <w:rPr>
          <w:rFonts w:ascii="黑体" w:hAnsi="黑体" w:eastAsia="黑体" w:cs="黑体"/>
          <w:color w:val="auto"/>
          <w:sz w:val="32"/>
          <w:szCs w:val="32"/>
          <w:highlight w:val="none"/>
        </w:rPr>
      </w:pPr>
      <w:r>
        <w:rPr>
          <w:rFonts w:ascii="黑体" w:hAnsi="黑体" w:eastAsia="黑体" w:cs="黑体"/>
          <w:color w:val="auto"/>
          <w:position w:val="15"/>
          <w:sz w:val="32"/>
          <w:szCs w:val="32"/>
          <w:highlight w:val="none"/>
        </w:rPr>
        <w:t>5.工程质量</w:t>
      </w:r>
    </w:p>
    <w:p w14:paraId="5A823234">
      <w:pPr>
        <w:spacing w:before="1"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5.1</w:t>
      </w:r>
      <w:r>
        <w:rPr>
          <w:rFonts w:ascii="黑体" w:hAnsi="黑体" w:eastAsia="黑体" w:cs="黑体"/>
          <w:color w:val="auto"/>
          <w:spacing w:val="-50"/>
          <w:sz w:val="24"/>
          <w:szCs w:val="24"/>
          <w:highlight w:val="none"/>
        </w:rPr>
        <w:t xml:space="preserve"> </w:t>
      </w:r>
      <w:r>
        <w:rPr>
          <w:rFonts w:ascii="黑体" w:hAnsi="黑体" w:eastAsia="黑体" w:cs="黑体"/>
          <w:color w:val="auto"/>
          <w:spacing w:val="-2"/>
          <w:sz w:val="24"/>
          <w:szCs w:val="24"/>
          <w:highlight w:val="none"/>
        </w:rPr>
        <w:t>质量要求</w:t>
      </w:r>
    </w:p>
    <w:p w14:paraId="591956BD">
      <w:pPr>
        <w:spacing w:before="128" w:line="399" w:lineRule="exact"/>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5.1.1</w:t>
      </w:r>
      <w:r>
        <w:rPr>
          <w:rFonts w:ascii="Times New Roman" w:hAnsi="Times New Roman" w:eastAsia="Times New Roman" w:cs="Times New Roman"/>
          <w:color w:val="auto"/>
          <w:spacing w:val="35"/>
          <w:w w:val="101"/>
          <w:position w:val="14"/>
          <w:sz w:val="21"/>
          <w:szCs w:val="21"/>
          <w:highlight w:val="none"/>
        </w:rPr>
        <w:t xml:space="preserve"> </w:t>
      </w:r>
      <w:r>
        <w:rPr>
          <w:rFonts w:ascii="宋体" w:hAnsi="宋体" w:eastAsia="宋体" w:cs="宋体"/>
          <w:color w:val="auto"/>
          <w:spacing w:val="1"/>
          <w:position w:val="14"/>
          <w:sz w:val="21"/>
          <w:szCs w:val="21"/>
          <w:highlight w:val="none"/>
        </w:rPr>
        <w:t>工程质量标准必须符合现行国家有关工</w:t>
      </w:r>
      <w:r>
        <w:rPr>
          <w:rFonts w:ascii="宋体" w:hAnsi="宋体" w:eastAsia="宋体" w:cs="宋体"/>
          <w:color w:val="auto"/>
          <w:position w:val="14"/>
          <w:sz w:val="21"/>
          <w:szCs w:val="21"/>
          <w:highlight w:val="none"/>
        </w:rPr>
        <w:t>程施工质量验收规范和标准的要求。有关</w:t>
      </w:r>
    </w:p>
    <w:p w14:paraId="6CB8A8B5">
      <w:pPr>
        <w:spacing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工程质量的特殊标准或要求由合同当事人在专用</w:t>
      </w:r>
      <w:r>
        <w:rPr>
          <w:rFonts w:ascii="宋体" w:hAnsi="宋体" w:eastAsia="宋体" w:cs="宋体"/>
          <w:color w:val="auto"/>
          <w:spacing w:val="-1"/>
          <w:sz w:val="21"/>
          <w:szCs w:val="21"/>
          <w:highlight w:val="none"/>
        </w:rPr>
        <w:t>合同条款中约定。</w:t>
      </w:r>
    </w:p>
    <w:p w14:paraId="69EB14C8">
      <w:pPr>
        <w:spacing w:before="153"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5.1.2</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因发包人原因造成工程质量未达到合同约定标准的，由发包人承担由此增加的费</w:t>
      </w:r>
    </w:p>
    <w:p w14:paraId="3D7C0CF1">
      <w:pPr>
        <w:spacing w:line="221" w:lineRule="auto"/>
        <w:rPr>
          <w:rFonts w:ascii="宋体" w:hAnsi="宋体" w:eastAsia="宋体" w:cs="宋体"/>
          <w:color w:val="auto"/>
          <w:sz w:val="21"/>
          <w:szCs w:val="21"/>
          <w:highlight w:val="none"/>
        </w:rPr>
        <w:sectPr>
          <w:footerReference r:id="rId56" w:type="default"/>
          <w:pgSz w:w="11905" w:h="16839"/>
          <w:pgMar w:top="1431" w:right="1617" w:bottom="1004" w:left="1785" w:header="0" w:footer="828" w:gutter="0"/>
          <w:pgNumType w:fmt="decimal"/>
          <w:cols w:space="720" w:num="1"/>
        </w:sectPr>
      </w:pPr>
    </w:p>
    <w:p w14:paraId="03FB7156">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用和（或） 延误的工期，并支付承包人合理的利润。</w:t>
      </w:r>
    </w:p>
    <w:p w14:paraId="0D12CD90">
      <w:pPr>
        <w:spacing w:before="147" w:line="403"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5.1.3</w:t>
      </w:r>
      <w:r>
        <w:rPr>
          <w:rFonts w:ascii="Times New Roman" w:hAnsi="Times New Roman" w:eastAsia="Times New Roman" w:cs="Times New Roman"/>
          <w:color w:val="auto"/>
          <w:spacing w:val="57"/>
          <w:w w:val="101"/>
          <w:position w:val="14"/>
          <w:sz w:val="21"/>
          <w:szCs w:val="21"/>
          <w:highlight w:val="none"/>
        </w:rPr>
        <w:t xml:space="preserve"> </w:t>
      </w:r>
      <w:r>
        <w:rPr>
          <w:rFonts w:ascii="宋体" w:hAnsi="宋体" w:eastAsia="宋体" w:cs="宋体"/>
          <w:color w:val="auto"/>
          <w:position w:val="14"/>
          <w:sz w:val="21"/>
          <w:szCs w:val="21"/>
          <w:highlight w:val="none"/>
        </w:rPr>
        <w:t>因承包人原因造成工程质量未达到合同约定标准的，发包人有权要求承包人返工</w:t>
      </w:r>
    </w:p>
    <w:p w14:paraId="32E0FB6B">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直至工程质量达到合同约定的标准为止， 并由承包</w:t>
      </w:r>
      <w:r>
        <w:rPr>
          <w:rFonts w:ascii="宋体" w:hAnsi="宋体" w:eastAsia="宋体" w:cs="宋体"/>
          <w:color w:val="auto"/>
          <w:spacing w:val="-3"/>
          <w:sz w:val="21"/>
          <w:szCs w:val="21"/>
          <w:highlight w:val="none"/>
        </w:rPr>
        <w:t>人承担由此增加的费用和（或） 延误的</w:t>
      </w:r>
    </w:p>
    <w:p w14:paraId="55CB9D2B">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工期。</w:t>
      </w:r>
    </w:p>
    <w:p w14:paraId="071B8C0B">
      <w:pPr>
        <w:spacing w:before="45" w:line="220"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5.2</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质量保证措施</w:t>
      </w:r>
    </w:p>
    <w:p w14:paraId="4576D5A2">
      <w:pPr>
        <w:spacing w:before="12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5.2.1 </w:t>
      </w:r>
      <w:r>
        <w:rPr>
          <w:rFonts w:ascii="宋体" w:hAnsi="宋体" w:eastAsia="宋体" w:cs="宋体"/>
          <w:color w:val="auto"/>
          <w:spacing w:val="-1"/>
          <w:sz w:val="21"/>
          <w:szCs w:val="21"/>
          <w:highlight w:val="none"/>
        </w:rPr>
        <w:t>发包人的质量管理</w:t>
      </w:r>
    </w:p>
    <w:p w14:paraId="6EFDEE3B">
      <w:pPr>
        <w:spacing w:before="152"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发包人应按照法律规定及合同约定完成与工程质量有关的各项工作。</w:t>
      </w:r>
    </w:p>
    <w:p w14:paraId="50EC3591">
      <w:pPr>
        <w:spacing w:before="148"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5.2.2 </w:t>
      </w:r>
      <w:r>
        <w:rPr>
          <w:rFonts w:ascii="宋体" w:hAnsi="宋体" w:eastAsia="宋体" w:cs="宋体"/>
          <w:color w:val="auto"/>
          <w:spacing w:val="-1"/>
          <w:sz w:val="21"/>
          <w:szCs w:val="21"/>
          <w:highlight w:val="none"/>
        </w:rPr>
        <w:t>承包人的质量管理</w:t>
      </w:r>
    </w:p>
    <w:p w14:paraId="2F213FA0">
      <w:pPr>
        <w:spacing w:before="148" w:line="352" w:lineRule="auto"/>
        <w:ind w:left="18" w:right="2"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承包人按照第</w:t>
      </w:r>
      <w:r>
        <w:rPr>
          <w:rFonts w:ascii="宋体" w:hAnsi="宋体" w:eastAsia="宋体" w:cs="宋体"/>
          <w:color w:val="auto"/>
          <w:spacing w:val="-58"/>
          <w:sz w:val="21"/>
          <w:szCs w:val="21"/>
          <w:highlight w:val="none"/>
        </w:rPr>
        <w:t xml:space="preserve"> </w:t>
      </w:r>
      <w:r>
        <w:rPr>
          <w:rFonts w:ascii="Times New Roman" w:hAnsi="Times New Roman" w:eastAsia="Times New Roman" w:cs="Times New Roman"/>
          <w:color w:val="auto"/>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z w:val="21"/>
          <w:szCs w:val="21"/>
          <w:highlight w:val="none"/>
        </w:rPr>
        <w:t>款〔施工组织设计〕约</w:t>
      </w:r>
      <w:r>
        <w:rPr>
          <w:rFonts w:ascii="宋体" w:hAnsi="宋体" w:eastAsia="宋体" w:cs="宋体"/>
          <w:color w:val="auto"/>
          <w:spacing w:val="-1"/>
          <w:sz w:val="21"/>
          <w:szCs w:val="21"/>
          <w:highlight w:val="none"/>
        </w:rPr>
        <w:t>定向发包人和监理人提交工程质量保证体系及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措施文件，建立完善的质量检查制度，并提交相应的工程质量文件。对于发</w:t>
      </w:r>
      <w:r>
        <w:rPr>
          <w:rFonts w:ascii="宋体" w:hAnsi="宋体" w:eastAsia="宋体" w:cs="宋体"/>
          <w:color w:val="auto"/>
          <w:spacing w:val="2"/>
          <w:sz w:val="21"/>
          <w:szCs w:val="21"/>
          <w:highlight w:val="none"/>
        </w:rPr>
        <w:t>包人和监理人</w:t>
      </w:r>
    </w:p>
    <w:p w14:paraId="188C393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违反法律规定和合同约定的错误指示， 承包人有权拒绝实施。</w:t>
      </w:r>
    </w:p>
    <w:p w14:paraId="48D38147">
      <w:pPr>
        <w:spacing w:before="148"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承包人应对施工人员进行质量教育和技术培训，</w:t>
      </w:r>
      <w:r>
        <w:rPr>
          <w:rFonts w:ascii="宋体" w:hAnsi="宋体" w:eastAsia="宋体" w:cs="宋体"/>
          <w:color w:val="auto"/>
          <w:spacing w:val="-3"/>
          <w:position w:val="14"/>
          <w:sz w:val="21"/>
          <w:szCs w:val="21"/>
          <w:highlight w:val="none"/>
        </w:rPr>
        <w:t xml:space="preserve"> 定期考核施工人员的劳动技能， 严格</w:t>
      </w:r>
    </w:p>
    <w:p w14:paraId="2D4B149E">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执行施工规范和操作规程。</w:t>
      </w:r>
    </w:p>
    <w:p w14:paraId="71D09E0B">
      <w:pPr>
        <w:spacing w:before="147" w:line="352" w:lineRule="auto"/>
        <w:ind w:left="17" w:right="6"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承包人应按照法律规定和发包人的要求， 对材料、工程设备以及工程的所有部位及其</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施工工艺进行全过程的质量检查和检验， 并作详细记录，编制工程质量报表，报送监理人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审查。此外，</w:t>
      </w:r>
      <w:r>
        <w:rPr>
          <w:rFonts w:ascii="宋体" w:hAnsi="宋体" w:eastAsia="宋体" w:cs="宋体"/>
          <w:color w:val="auto"/>
          <w:spacing w:val="60"/>
          <w:sz w:val="21"/>
          <w:szCs w:val="21"/>
          <w:highlight w:val="none"/>
        </w:rPr>
        <w:t xml:space="preserve"> </w:t>
      </w:r>
      <w:r>
        <w:rPr>
          <w:rFonts w:ascii="宋体" w:hAnsi="宋体" w:eastAsia="宋体" w:cs="宋体"/>
          <w:color w:val="auto"/>
          <w:spacing w:val="-1"/>
          <w:sz w:val="21"/>
          <w:szCs w:val="21"/>
          <w:highlight w:val="none"/>
        </w:rPr>
        <w:t>承包人还应按照法律规定和发包人的要求，</w:t>
      </w:r>
      <w:r>
        <w:rPr>
          <w:rFonts w:ascii="宋体" w:hAnsi="宋体" w:eastAsia="宋体" w:cs="宋体"/>
          <w:color w:val="auto"/>
          <w:spacing w:val="-2"/>
          <w:sz w:val="21"/>
          <w:szCs w:val="21"/>
          <w:highlight w:val="none"/>
        </w:rPr>
        <w:t>进行施工现场取样试验、工程复</w:t>
      </w:r>
    </w:p>
    <w:p w14:paraId="4D905FFC">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核测量和设备性能检测，提供试验样品、提交试验报告和测量成果以及其他工作。</w:t>
      </w:r>
    </w:p>
    <w:p w14:paraId="5F554AC5">
      <w:pPr>
        <w:spacing w:before="149"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5.2.3 </w:t>
      </w:r>
      <w:r>
        <w:rPr>
          <w:rFonts w:ascii="宋体" w:hAnsi="宋体" w:eastAsia="宋体" w:cs="宋体"/>
          <w:color w:val="auto"/>
          <w:spacing w:val="-1"/>
          <w:sz w:val="21"/>
          <w:szCs w:val="21"/>
          <w:highlight w:val="none"/>
        </w:rPr>
        <w:t>监理人的质量检查和检验</w:t>
      </w:r>
    </w:p>
    <w:p w14:paraId="1DA897F2">
      <w:pPr>
        <w:spacing w:before="151" w:line="352" w:lineRule="auto"/>
        <w:ind w:left="16" w:right="6"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监理人按照法律规定和发包人授权对工程的所有部位及其施工工艺、材料和工程设备</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进行检查和检验。承包人应为监理人的检查和检验提供方便，包括监理人到施工现场， 或</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制造、加工地点， 或合同约定的其他地方进行察看和查阅施工原始记录。监理人为此进行</w:t>
      </w:r>
    </w:p>
    <w:p w14:paraId="0D18C623">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的检查和检验，不免除或减轻承包人按照合同约</w:t>
      </w:r>
      <w:r>
        <w:rPr>
          <w:rFonts w:ascii="宋体" w:hAnsi="宋体" w:eastAsia="宋体" w:cs="宋体"/>
          <w:color w:val="auto"/>
          <w:spacing w:val="-2"/>
          <w:sz w:val="21"/>
          <w:szCs w:val="21"/>
          <w:highlight w:val="none"/>
        </w:rPr>
        <w:t>定应当承担的责任。</w:t>
      </w:r>
    </w:p>
    <w:p w14:paraId="75F47670">
      <w:pPr>
        <w:spacing w:before="148"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监理人的检查和检验不应影响施工正常进行。监理人的检查和检验影响施工正常进行</w:t>
      </w:r>
    </w:p>
    <w:p w14:paraId="1449D98C">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的，且经检查检验不合格的， 影响正常施工的费用由承包人承担， </w:t>
      </w:r>
      <w:r>
        <w:rPr>
          <w:rFonts w:ascii="宋体" w:hAnsi="宋体" w:eastAsia="宋体" w:cs="宋体"/>
          <w:color w:val="auto"/>
          <w:spacing w:val="-6"/>
          <w:sz w:val="21"/>
          <w:szCs w:val="21"/>
          <w:highlight w:val="none"/>
        </w:rPr>
        <w:t>工期不予顺延； 经检查</w:t>
      </w:r>
    </w:p>
    <w:p w14:paraId="207BD108">
      <w:pPr>
        <w:spacing w:before="151" w:line="221"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检验合格的，由此增加的费用和（或） 延误的工期由发包人承担。</w:t>
      </w:r>
    </w:p>
    <w:p w14:paraId="08E608FB">
      <w:pPr>
        <w:spacing w:before="47"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5.3</w:t>
      </w:r>
      <w:r>
        <w:rPr>
          <w:rFonts w:ascii="黑体" w:hAnsi="黑体" w:eastAsia="黑体" w:cs="黑体"/>
          <w:color w:val="auto"/>
          <w:spacing w:val="17"/>
          <w:sz w:val="24"/>
          <w:szCs w:val="24"/>
          <w:highlight w:val="none"/>
        </w:rPr>
        <w:t xml:space="preserve"> </w:t>
      </w:r>
      <w:r>
        <w:rPr>
          <w:rFonts w:ascii="黑体" w:hAnsi="黑体" w:eastAsia="黑体" w:cs="黑体"/>
          <w:color w:val="auto"/>
          <w:spacing w:val="-2"/>
          <w:sz w:val="24"/>
          <w:szCs w:val="24"/>
          <w:highlight w:val="none"/>
        </w:rPr>
        <w:t>隐蔽工程检查</w:t>
      </w:r>
    </w:p>
    <w:p w14:paraId="7E3A1C97">
      <w:pPr>
        <w:spacing w:before="128"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5.3.1 </w:t>
      </w:r>
      <w:r>
        <w:rPr>
          <w:rFonts w:ascii="宋体" w:hAnsi="宋体" w:eastAsia="宋体" w:cs="宋体"/>
          <w:color w:val="auto"/>
          <w:spacing w:val="-2"/>
          <w:sz w:val="21"/>
          <w:szCs w:val="21"/>
          <w:highlight w:val="none"/>
        </w:rPr>
        <w:t>承包人自检</w:t>
      </w:r>
    </w:p>
    <w:p w14:paraId="6172BEEA">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承包人应当对工程隐蔽部位进行自检， 并经自检确认是否具备覆盖条</w:t>
      </w:r>
      <w:r>
        <w:rPr>
          <w:rFonts w:ascii="宋体" w:hAnsi="宋体" w:eastAsia="宋体" w:cs="宋体"/>
          <w:color w:val="auto"/>
          <w:spacing w:val="-5"/>
          <w:sz w:val="21"/>
          <w:szCs w:val="21"/>
          <w:highlight w:val="none"/>
        </w:rPr>
        <w:t>件。</w:t>
      </w:r>
    </w:p>
    <w:p w14:paraId="5B80F534">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5.3.2 </w:t>
      </w:r>
      <w:r>
        <w:rPr>
          <w:rFonts w:ascii="宋体" w:hAnsi="宋体" w:eastAsia="宋体" w:cs="宋体"/>
          <w:color w:val="auto"/>
          <w:spacing w:val="-2"/>
          <w:sz w:val="21"/>
          <w:szCs w:val="21"/>
          <w:highlight w:val="none"/>
        </w:rPr>
        <w:t>检查程序</w:t>
      </w:r>
    </w:p>
    <w:p w14:paraId="47BC8F71">
      <w:pPr>
        <w:spacing w:before="154" w:line="350" w:lineRule="auto"/>
        <w:ind w:left="20" w:right="3"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除专用合同条款另有约定外，工程隐蔽部位经承包人自检确认具备覆盖条件的</w:t>
      </w:r>
      <w:r>
        <w:rPr>
          <w:rFonts w:ascii="宋体" w:hAnsi="宋体" w:eastAsia="宋体" w:cs="宋体"/>
          <w:color w:val="auto"/>
          <w:spacing w:val="-1"/>
          <w:sz w:val="21"/>
          <w:szCs w:val="21"/>
          <w:highlight w:val="none"/>
        </w:rPr>
        <w:t>， 承包</w:t>
      </w:r>
      <w:r>
        <w:rPr>
          <w:rFonts w:ascii="宋体" w:hAnsi="宋体" w:eastAsia="宋体" w:cs="宋体"/>
          <w:color w:val="auto"/>
          <w:sz w:val="21"/>
          <w:szCs w:val="21"/>
          <w:highlight w:val="none"/>
        </w:rPr>
        <w:t xml:space="preserve"> 人应在共同检查前</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小时书面通知监理人检</w:t>
      </w:r>
      <w:r>
        <w:rPr>
          <w:rFonts w:ascii="宋体" w:hAnsi="宋体" w:eastAsia="宋体" w:cs="宋体"/>
          <w:color w:val="auto"/>
          <w:spacing w:val="-1"/>
          <w:sz w:val="21"/>
          <w:szCs w:val="21"/>
          <w:highlight w:val="none"/>
        </w:rPr>
        <w:t>查，通知中应载明隐蔽检查的内容、时间和地</w:t>
      </w:r>
    </w:p>
    <w:p w14:paraId="033CB340">
      <w:pPr>
        <w:spacing w:before="1" w:line="219" w:lineRule="auto"/>
        <w:ind w:left="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点，并应附有自检记录和必要的检查资料。</w:t>
      </w:r>
    </w:p>
    <w:p w14:paraId="3A9BF9F4">
      <w:pPr>
        <w:spacing w:before="154" w:line="350" w:lineRule="auto"/>
        <w:ind w:left="18" w:right="6"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监理人应按时到场并对隐蔽工程及其施工工艺、材料和工程设备进行检查。经监理人</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检查确认质量符合隐蔽要求， 并在验收记录上签字后，</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承包人才能进行覆盖。经监</w:t>
      </w:r>
      <w:r>
        <w:rPr>
          <w:rFonts w:ascii="宋体" w:hAnsi="宋体" w:eastAsia="宋体" w:cs="宋体"/>
          <w:color w:val="auto"/>
          <w:spacing w:val="-4"/>
          <w:sz w:val="21"/>
          <w:szCs w:val="21"/>
          <w:highlight w:val="none"/>
        </w:rPr>
        <w:t>理人检</w:t>
      </w:r>
    </w:p>
    <w:p w14:paraId="16F52829">
      <w:pPr>
        <w:spacing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查质量不合格的， 承包人应在监理人指示的时间内完成修复，并由监理人重新检查，由此</w:t>
      </w:r>
    </w:p>
    <w:p w14:paraId="6A277755">
      <w:pPr>
        <w:spacing w:line="220" w:lineRule="auto"/>
        <w:rPr>
          <w:rFonts w:ascii="宋体" w:hAnsi="宋体" w:eastAsia="宋体" w:cs="宋体"/>
          <w:color w:val="auto"/>
          <w:sz w:val="21"/>
          <w:szCs w:val="21"/>
          <w:highlight w:val="none"/>
        </w:rPr>
        <w:sectPr>
          <w:footerReference r:id="rId57" w:type="default"/>
          <w:pgSz w:w="11905" w:h="16839"/>
          <w:pgMar w:top="1431" w:right="1785" w:bottom="1004" w:left="1785" w:header="0" w:footer="828" w:gutter="0"/>
          <w:pgNumType w:fmt="decimal"/>
          <w:cols w:space="720" w:num="1"/>
        </w:sectPr>
      </w:pPr>
    </w:p>
    <w:p w14:paraId="5CEE6D7F">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增加的费用和（或） 延误的工期由承包人承担。</w:t>
      </w:r>
    </w:p>
    <w:p w14:paraId="12CEC06F">
      <w:pPr>
        <w:spacing w:before="149" w:line="352" w:lineRule="auto"/>
        <w:ind w:left="19" w:right="1" w:firstLine="4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监理人不能按时进行检查的，应在检查前</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4"/>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小时向承包</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人提交书面延期要求，但延期不能超过</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48</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小时，由此导致工期延误的， 工期应予以顺延。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监理人未按时进行检查，也未提出延期要求的，视为隐蔽工程检查合格，承</w:t>
      </w:r>
      <w:r>
        <w:rPr>
          <w:rFonts w:ascii="宋体" w:hAnsi="宋体" w:eastAsia="宋体" w:cs="宋体"/>
          <w:color w:val="auto"/>
          <w:spacing w:val="2"/>
          <w:sz w:val="21"/>
          <w:szCs w:val="21"/>
          <w:highlight w:val="none"/>
        </w:rPr>
        <w:t>包人可自行完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成覆盖工作， 并作相应记录报送监理人， 监理人应</w:t>
      </w:r>
      <w:r>
        <w:rPr>
          <w:rFonts w:ascii="宋体" w:hAnsi="宋体" w:eastAsia="宋体" w:cs="宋体"/>
          <w:color w:val="auto"/>
          <w:spacing w:val="-3"/>
          <w:sz w:val="21"/>
          <w:szCs w:val="21"/>
          <w:highlight w:val="none"/>
        </w:rPr>
        <w:t>签字确认。监理人事后对检查记录有疑</w:t>
      </w:r>
    </w:p>
    <w:p w14:paraId="0DA82EF0">
      <w:pPr>
        <w:spacing w:line="220"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问的，可按第</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5.3.3 </w:t>
      </w:r>
      <w:r>
        <w:rPr>
          <w:rFonts w:ascii="宋体" w:hAnsi="宋体" w:eastAsia="宋体" w:cs="宋体"/>
          <w:color w:val="auto"/>
          <w:spacing w:val="-2"/>
          <w:sz w:val="21"/>
          <w:szCs w:val="21"/>
          <w:highlight w:val="none"/>
        </w:rPr>
        <w:t>项〔重新检查〕的约定重新检查。</w:t>
      </w:r>
    </w:p>
    <w:p w14:paraId="6C2617BC">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5.3.3 </w:t>
      </w:r>
      <w:r>
        <w:rPr>
          <w:rFonts w:ascii="宋体" w:hAnsi="宋体" w:eastAsia="宋体" w:cs="宋体"/>
          <w:color w:val="auto"/>
          <w:spacing w:val="-1"/>
          <w:sz w:val="21"/>
          <w:szCs w:val="21"/>
          <w:highlight w:val="none"/>
        </w:rPr>
        <w:t>重新检查</w:t>
      </w:r>
    </w:p>
    <w:p w14:paraId="34DC6BDD">
      <w:pPr>
        <w:spacing w:before="149"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承包人覆盖工程隐蔽部位后，发包人或监理人对质量有疑问的， 可要求承包人对已覆</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盖的部位进行钻孔探测或揭开重新检查， 承包人应遵照执行，并在检查后重新覆盖恢复原</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状。经检查证明工程质量符合合同要求的，由发包人承担由此增加的费用和（或） 延误的</w:t>
      </w:r>
      <w:r>
        <w:rPr>
          <w:rFonts w:ascii="宋体" w:hAnsi="宋体" w:eastAsia="宋体" w:cs="宋体"/>
          <w:color w:val="auto"/>
          <w:spacing w:val="6"/>
          <w:sz w:val="21"/>
          <w:szCs w:val="21"/>
          <w:highlight w:val="none"/>
        </w:rPr>
        <w:t xml:space="preserve"> </w:t>
      </w:r>
      <w:r>
        <w:rPr>
          <w:rFonts w:ascii="宋体" w:hAnsi="宋体" w:eastAsia="宋体" w:cs="宋体"/>
          <w:color w:val="auto"/>
          <w:spacing w:val="-5"/>
          <w:sz w:val="21"/>
          <w:szCs w:val="21"/>
          <w:highlight w:val="none"/>
        </w:rPr>
        <w:t>工期， 并支付承包人合理的利润； 经检查证明工程质量不符合合同要求的， 由此增加的费</w:t>
      </w:r>
    </w:p>
    <w:p w14:paraId="36B7B76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用和（或） 延误的工期由承包人承担。</w:t>
      </w:r>
    </w:p>
    <w:p w14:paraId="72B5803B">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5.3.4 </w:t>
      </w:r>
      <w:r>
        <w:rPr>
          <w:rFonts w:ascii="宋体" w:hAnsi="宋体" w:eastAsia="宋体" w:cs="宋体"/>
          <w:color w:val="auto"/>
          <w:spacing w:val="-1"/>
          <w:sz w:val="21"/>
          <w:szCs w:val="21"/>
          <w:highlight w:val="none"/>
        </w:rPr>
        <w:t>承包人私自覆盖</w:t>
      </w:r>
    </w:p>
    <w:p w14:paraId="23A870D5">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承包人未通知监理人到场检查， 私自将工程隐蔽部位覆盖的，监理人有权指示承包人</w:t>
      </w:r>
    </w:p>
    <w:p w14:paraId="0EA6D36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钻孔探测或揭开检查， 无论工程隐蔽部位质量是否合</w:t>
      </w:r>
      <w:r>
        <w:rPr>
          <w:rFonts w:ascii="宋体" w:hAnsi="宋体" w:eastAsia="宋体" w:cs="宋体"/>
          <w:color w:val="auto"/>
          <w:spacing w:val="-3"/>
          <w:sz w:val="21"/>
          <w:szCs w:val="21"/>
          <w:highlight w:val="none"/>
        </w:rPr>
        <w:t>格，由此增加的费用和（或） 延误的</w:t>
      </w:r>
    </w:p>
    <w:p w14:paraId="044D65BE">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工期均由承包人承担。</w:t>
      </w:r>
    </w:p>
    <w:p w14:paraId="50915E6F">
      <w:pPr>
        <w:spacing w:before="46"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5.4</w:t>
      </w:r>
      <w:r>
        <w:rPr>
          <w:rFonts w:ascii="黑体" w:hAnsi="黑体" w:eastAsia="黑体" w:cs="黑体"/>
          <w:color w:val="auto"/>
          <w:spacing w:val="-44"/>
          <w:sz w:val="24"/>
          <w:szCs w:val="24"/>
          <w:highlight w:val="none"/>
        </w:rPr>
        <w:t xml:space="preserve"> </w:t>
      </w:r>
      <w:r>
        <w:rPr>
          <w:rFonts w:ascii="黑体" w:hAnsi="黑体" w:eastAsia="黑体" w:cs="黑体"/>
          <w:color w:val="auto"/>
          <w:spacing w:val="-2"/>
          <w:sz w:val="24"/>
          <w:szCs w:val="24"/>
          <w:highlight w:val="none"/>
        </w:rPr>
        <w:t>不合格工程的处理</w:t>
      </w:r>
    </w:p>
    <w:p w14:paraId="23AF00A1">
      <w:pPr>
        <w:spacing w:before="130" w:line="352" w:lineRule="auto"/>
        <w:ind w:left="20" w:right="8" w:firstLine="423"/>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5.4.1</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 xml:space="preserve">因承包人原因造成工程不合格的，发包人有权随时要求承包人采取补救措施，直 </w:t>
      </w:r>
      <w:r>
        <w:rPr>
          <w:rFonts w:ascii="宋体" w:hAnsi="宋体" w:eastAsia="宋体" w:cs="宋体"/>
          <w:color w:val="auto"/>
          <w:spacing w:val="-4"/>
          <w:sz w:val="21"/>
          <w:szCs w:val="21"/>
          <w:highlight w:val="none"/>
        </w:rPr>
        <w:t>至达到合同要求的质量标准，</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由此增加的费用和（或）</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延误的工</w:t>
      </w:r>
      <w:r>
        <w:rPr>
          <w:rFonts w:ascii="宋体" w:hAnsi="宋体" w:eastAsia="宋体" w:cs="宋体"/>
          <w:color w:val="auto"/>
          <w:spacing w:val="-5"/>
          <w:sz w:val="21"/>
          <w:szCs w:val="21"/>
          <w:highlight w:val="none"/>
        </w:rPr>
        <w:t>期由承包人承担。无法补</w:t>
      </w:r>
    </w:p>
    <w:p w14:paraId="038A86E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救的，按照第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13.2.4 </w:t>
      </w:r>
      <w:r>
        <w:rPr>
          <w:rFonts w:ascii="宋体" w:hAnsi="宋体" w:eastAsia="宋体" w:cs="宋体"/>
          <w:color w:val="auto"/>
          <w:spacing w:val="-2"/>
          <w:sz w:val="21"/>
          <w:szCs w:val="21"/>
          <w:highlight w:val="none"/>
        </w:rPr>
        <w:t>项〔拒绝接收全部或部分工程〕约定执行。</w:t>
      </w:r>
    </w:p>
    <w:p w14:paraId="16A94F33">
      <w:pPr>
        <w:spacing w:before="147" w:line="221" w:lineRule="auto"/>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5.4.2</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因发包人原因造成工程不合格的，由此增加的费用和（或）延误的工期由发包人</w:t>
      </w:r>
    </w:p>
    <w:p w14:paraId="1F301B7C">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承担，并支付承包人合理的利润。</w:t>
      </w:r>
    </w:p>
    <w:p w14:paraId="712861A5">
      <w:pPr>
        <w:spacing w:before="45" w:line="219" w:lineRule="auto"/>
        <w:ind w:left="13"/>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5.5 质量争议检测</w:t>
      </w:r>
    </w:p>
    <w:p w14:paraId="6FF0F16E">
      <w:pPr>
        <w:spacing w:before="12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合同当事人对工程质量有争议的，由双方协商确定的工程质量检测机构鉴定，由此产</w:t>
      </w:r>
    </w:p>
    <w:p w14:paraId="028EFD4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生的费用及因此造成的损失，</w:t>
      </w:r>
      <w:r>
        <w:rPr>
          <w:rFonts w:ascii="宋体" w:hAnsi="宋体" w:eastAsia="宋体" w:cs="宋体"/>
          <w:color w:val="auto"/>
          <w:spacing w:val="48"/>
          <w:sz w:val="21"/>
          <w:szCs w:val="21"/>
          <w:highlight w:val="none"/>
        </w:rPr>
        <w:t xml:space="preserve"> </w:t>
      </w:r>
      <w:r>
        <w:rPr>
          <w:rFonts w:ascii="宋体" w:hAnsi="宋体" w:eastAsia="宋体" w:cs="宋体"/>
          <w:color w:val="auto"/>
          <w:spacing w:val="-9"/>
          <w:sz w:val="21"/>
          <w:szCs w:val="21"/>
          <w:highlight w:val="none"/>
        </w:rPr>
        <w:t>由责任方承担。</w:t>
      </w:r>
    </w:p>
    <w:p w14:paraId="4BCC100C">
      <w:pPr>
        <w:spacing w:before="148" w:line="403"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合同当事人均有责任的，由双方根据其责任分别承担。合同当事人无法达成</w:t>
      </w:r>
      <w:r>
        <w:rPr>
          <w:rFonts w:ascii="宋体" w:hAnsi="宋体" w:eastAsia="宋体" w:cs="宋体"/>
          <w:color w:val="auto"/>
          <w:spacing w:val="2"/>
          <w:position w:val="14"/>
          <w:sz w:val="21"/>
          <w:szCs w:val="21"/>
          <w:highlight w:val="none"/>
        </w:rPr>
        <w:t>一致的，</w:t>
      </w:r>
    </w:p>
    <w:p w14:paraId="79FE230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4.4 </w:t>
      </w:r>
      <w:r>
        <w:rPr>
          <w:rFonts w:ascii="宋体" w:hAnsi="宋体" w:eastAsia="宋体" w:cs="宋体"/>
          <w:color w:val="auto"/>
          <w:spacing w:val="-3"/>
          <w:sz w:val="21"/>
          <w:szCs w:val="21"/>
          <w:highlight w:val="none"/>
        </w:rPr>
        <w:t>款〔商定或确定〕执行。</w:t>
      </w:r>
    </w:p>
    <w:p w14:paraId="5E89EE6C">
      <w:pPr>
        <w:spacing w:before="173" w:line="526" w:lineRule="exact"/>
        <w:ind w:left="21"/>
        <w:rPr>
          <w:rFonts w:ascii="黑体" w:hAnsi="黑体" w:eastAsia="黑体" w:cs="黑体"/>
          <w:color w:val="auto"/>
          <w:sz w:val="32"/>
          <w:szCs w:val="32"/>
          <w:highlight w:val="none"/>
        </w:rPr>
      </w:pPr>
      <w:r>
        <w:rPr>
          <w:rFonts w:ascii="黑体" w:hAnsi="黑体" w:eastAsia="黑体" w:cs="黑体"/>
          <w:color w:val="auto"/>
          <w:spacing w:val="-1"/>
          <w:position w:val="14"/>
          <w:sz w:val="32"/>
          <w:szCs w:val="32"/>
          <w:highlight w:val="none"/>
        </w:rPr>
        <w:t>6.安全文明施工与环境保护</w:t>
      </w:r>
    </w:p>
    <w:p w14:paraId="0966398A">
      <w:pPr>
        <w:spacing w:line="218" w:lineRule="auto"/>
        <w:ind w:left="18"/>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6.1</w:t>
      </w:r>
      <w:r>
        <w:rPr>
          <w:rFonts w:ascii="黑体" w:hAnsi="黑体" w:eastAsia="黑体" w:cs="黑体"/>
          <w:color w:val="auto"/>
          <w:spacing w:val="-42"/>
          <w:sz w:val="24"/>
          <w:szCs w:val="24"/>
          <w:highlight w:val="none"/>
        </w:rPr>
        <w:t xml:space="preserve"> </w:t>
      </w:r>
      <w:r>
        <w:rPr>
          <w:rFonts w:ascii="黑体" w:hAnsi="黑体" w:eastAsia="黑体" w:cs="黑体"/>
          <w:color w:val="auto"/>
          <w:spacing w:val="-3"/>
          <w:sz w:val="24"/>
          <w:szCs w:val="24"/>
          <w:highlight w:val="none"/>
        </w:rPr>
        <w:t>安全文明施工</w:t>
      </w:r>
    </w:p>
    <w:p w14:paraId="349F006D">
      <w:pPr>
        <w:spacing w:before="130"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6.1.1 </w:t>
      </w:r>
      <w:r>
        <w:rPr>
          <w:rFonts w:ascii="宋体" w:hAnsi="宋体" w:eastAsia="宋体" w:cs="宋体"/>
          <w:color w:val="auto"/>
          <w:spacing w:val="-2"/>
          <w:sz w:val="21"/>
          <w:szCs w:val="21"/>
          <w:highlight w:val="none"/>
        </w:rPr>
        <w:t>安全生产要求</w:t>
      </w:r>
    </w:p>
    <w:p w14:paraId="058953D4">
      <w:pPr>
        <w:spacing w:before="153" w:line="350" w:lineRule="auto"/>
        <w:ind w:left="31" w:right="6" w:firstLine="41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合同履行期间， 合同当事人均应当遵守国家</w:t>
      </w:r>
      <w:r>
        <w:rPr>
          <w:rFonts w:ascii="宋体" w:hAnsi="宋体" w:eastAsia="宋体" w:cs="宋体"/>
          <w:color w:val="auto"/>
          <w:spacing w:val="-3"/>
          <w:sz w:val="21"/>
          <w:szCs w:val="21"/>
          <w:highlight w:val="none"/>
        </w:rPr>
        <w:t>和工程所在地有关安全生产的要求， 合同</w:t>
      </w:r>
      <w:r>
        <w:rPr>
          <w:rFonts w:ascii="宋体" w:hAnsi="宋体" w:eastAsia="宋体" w:cs="宋体"/>
          <w:color w:val="auto"/>
          <w:sz w:val="21"/>
          <w:szCs w:val="21"/>
          <w:highlight w:val="none"/>
        </w:rPr>
        <w:t xml:space="preserve"> 当事人有特别要求的， 应在专用合同条款中明确施工项目安全生产标准化</w:t>
      </w:r>
      <w:r>
        <w:rPr>
          <w:rFonts w:ascii="宋体" w:hAnsi="宋体" w:eastAsia="宋体" w:cs="宋体"/>
          <w:color w:val="auto"/>
          <w:spacing w:val="-1"/>
          <w:sz w:val="21"/>
          <w:szCs w:val="21"/>
          <w:highlight w:val="none"/>
        </w:rPr>
        <w:t>达标目标及相应</w:t>
      </w:r>
    </w:p>
    <w:p w14:paraId="401D0068">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事项。承包人有权拒绝发包人及监理人强令承包人违章作业、冒险施工的</w:t>
      </w:r>
      <w:r>
        <w:rPr>
          <w:rFonts w:ascii="宋体" w:hAnsi="宋体" w:eastAsia="宋体" w:cs="宋体"/>
          <w:color w:val="auto"/>
          <w:spacing w:val="-1"/>
          <w:sz w:val="21"/>
          <w:szCs w:val="21"/>
          <w:highlight w:val="none"/>
        </w:rPr>
        <w:t>任何指示。</w:t>
      </w:r>
    </w:p>
    <w:p w14:paraId="09ED2F24">
      <w:pPr>
        <w:spacing w:before="153" w:line="221" w:lineRule="auto"/>
        <w:ind w:right="6"/>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在施工过程中， 如遇到突发的地质变动、事先未知的地下施工障碍等影响施工安全的</w:t>
      </w:r>
    </w:p>
    <w:p w14:paraId="71CFAC9E">
      <w:pPr>
        <w:spacing w:line="221" w:lineRule="auto"/>
        <w:rPr>
          <w:rFonts w:ascii="宋体" w:hAnsi="宋体" w:eastAsia="宋体" w:cs="宋体"/>
          <w:color w:val="auto"/>
          <w:sz w:val="21"/>
          <w:szCs w:val="21"/>
          <w:highlight w:val="none"/>
        </w:rPr>
        <w:sectPr>
          <w:footerReference r:id="rId58" w:type="default"/>
          <w:pgSz w:w="11905" w:h="16839"/>
          <w:pgMar w:top="1431" w:right="1785" w:bottom="1004" w:left="1785" w:header="0" w:footer="828" w:gutter="0"/>
          <w:pgNumType w:fmt="decimal"/>
          <w:cols w:space="720" w:num="1"/>
        </w:sectPr>
      </w:pPr>
    </w:p>
    <w:p w14:paraId="0184D330">
      <w:pPr>
        <w:spacing w:before="149" w:line="398" w:lineRule="exact"/>
        <w:ind w:left="2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紧急情况， 承包人应及时报告监理人和发包人，发包人应当及时下令停工并报政府有关行</w:t>
      </w:r>
    </w:p>
    <w:p w14:paraId="076FAE44">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政管理部门采取应急措施。</w:t>
      </w:r>
    </w:p>
    <w:p w14:paraId="50EFE501">
      <w:pPr>
        <w:spacing w:before="152" w:line="221" w:lineRule="auto"/>
        <w:ind w:left="45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因安全生产需要暂停施工的， 按照第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5"/>
          <w:sz w:val="21"/>
          <w:szCs w:val="21"/>
          <w:highlight w:val="none"/>
        </w:rPr>
        <w:t xml:space="preserve">7.8 </w:t>
      </w:r>
      <w:r>
        <w:rPr>
          <w:rFonts w:ascii="宋体" w:hAnsi="宋体" w:eastAsia="宋体" w:cs="宋体"/>
          <w:color w:val="auto"/>
          <w:spacing w:val="-5"/>
          <w:sz w:val="21"/>
          <w:szCs w:val="21"/>
          <w:highlight w:val="none"/>
        </w:rPr>
        <w:t>款〔暂停施工〕的约定执行。</w:t>
      </w:r>
    </w:p>
    <w:p w14:paraId="03025681">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6.1.2 </w:t>
      </w:r>
      <w:r>
        <w:rPr>
          <w:rFonts w:ascii="宋体" w:hAnsi="宋体" w:eastAsia="宋体" w:cs="宋体"/>
          <w:color w:val="auto"/>
          <w:spacing w:val="-1"/>
          <w:sz w:val="21"/>
          <w:szCs w:val="21"/>
          <w:highlight w:val="none"/>
        </w:rPr>
        <w:t>安全生产保证措施</w:t>
      </w:r>
    </w:p>
    <w:p w14:paraId="79231314">
      <w:pPr>
        <w:spacing w:before="147" w:line="352" w:lineRule="auto"/>
        <w:ind w:left="17" w:right="158"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承包人应当按照有关规定编制安全技术措施或者专项施工方案， 建立安全生产责任制</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度、治安保卫制度及安全生产教育培训制度， 并按安全生产法律规定及合同约定履行安全</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职责， 如实编制工程安全生产的有关记录，接受发包人、监理人及政府安全监督部门的检</w:t>
      </w:r>
    </w:p>
    <w:p w14:paraId="31AA284E">
      <w:pPr>
        <w:spacing w:line="222"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查与监督。</w:t>
      </w:r>
    </w:p>
    <w:p w14:paraId="59B40F8C">
      <w:pPr>
        <w:spacing w:before="150"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6.1.3 </w:t>
      </w:r>
      <w:r>
        <w:rPr>
          <w:rFonts w:ascii="宋体" w:hAnsi="宋体" w:eastAsia="宋体" w:cs="宋体"/>
          <w:color w:val="auto"/>
          <w:spacing w:val="-2"/>
          <w:sz w:val="21"/>
          <w:szCs w:val="21"/>
          <w:highlight w:val="none"/>
        </w:rPr>
        <w:t>特别安全生产事项</w:t>
      </w:r>
    </w:p>
    <w:p w14:paraId="428E7B77">
      <w:pPr>
        <w:spacing w:before="149" w:line="352" w:lineRule="auto"/>
        <w:ind w:left="21" w:right="158" w:firstLine="4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承包人应按照法律规定进行施工，开工前做好安全技术交底工作，施工过程中做好各 项安全防护措施。承包人为实施合同而雇用的特殊工种的人员应受过</w:t>
      </w:r>
      <w:r>
        <w:rPr>
          <w:rFonts w:ascii="宋体" w:hAnsi="宋体" w:eastAsia="宋体" w:cs="宋体"/>
          <w:color w:val="auto"/>
          <w:spacing w:val="2"/>
          <w:sz w:val="21"/>
          <w:szCs w:val="21"/>
          <w:highlight w:val="none"/>
        </w:rPr>
        <w:t>专门的培训并已取得</w:t>
      </w:r>
    </w:p>
    <w:p w14:paraId="12C4FD2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政府有关管理机构颁发的上岗证书。</w:t>
      </w:r>
    </w:p>
    <w:p w14:paraId="702886ED">
      <w:pPr>
        <w:spacing w:before="149" w:line="352" w:lineRule="auto"/>
        <w:ind w:left="18" w:right="158"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承包人在动力设备、输电线路、地下管道、密封防震车间、易燃易爆地段以及临街交 通要道附近施工时，施工开始前应向发包人和监理人提出安全防护措施，经</w:t>
      </w:r>
      <w:r>
        <w:rPr>
          <w:rFonts w:ascii="宋体" w:hAnsi="宋体" w:eastAsia="宋体" w:cs="宋体"/>
          <w:color w:val="auto"/>
          <w:spacing w:val="2"/>
          <w:sz w:val="21"/>
          <w:szCs w:val="21"/>
          <w:highlight w:val="none"/>
        </w:rPr>
        <w:t>发包人认可后</w:t>
      </w:r>
    </w:p>
    <w:p w14:paraId="007CCD72">
      <w:pPr>
        <w:spacing w:before="1" w:line="221" w:lineRule="auto"/>
        <w:ind w:left="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实施。</w:t>
      </w:r>
    </w:p>
    <w:p w14:paraId="3B7DEA5E">
      <w:pPr>
        <w:spacing w:before="145" w:line="353" w:lineRule="auto"/>
        <w:ind w:left="18" w:right="159"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实施爆破作业， 在放射、毒害性环境中施工（含储存、运输、使用）</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及使用毒害性、</w:t>
      </w:r>
      <w:r>
        <w:rPr>
          <w:rFonts w:ascii="宋体" w:hAnsi="宋体" w:eastAsia="宋体" w:cs="宋体"/>
          <w:color w:val="auto"/>
          <w:sz w:val="21"/>
          <w:szCs w:val="21"/>
          <w:highlight w:val="none"/>
        </w:rPr>
        <w:t xml:space="preserve"> 腐蚀性物品施工时，承包人应在施工前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3"/>
          <w:w w:val="101"/>
          <w:sz w:val="21"/>
          <w:szCs w:val="21"/>
          <w:highlight w:val="none"/>
        </w:rPr>
        <w:t xml:space="preserve"> </w:t>
      </w:r>
      <w:r>
        <w:rPr>
          <w:rFonts w:ascii="宋体" w:hAnsi="宋体" w:eastAsia="宋体" w:cs="宋体"/>
          <w:color w:val="auto"/>
          <w:sz w:val="21"/>
          <w:szCs w:val="21"/>
          <w:highlight w:val="none"/>
        </w:rPr>
        <w:t>天以书面通知发包人和监理人，并报送相应的安</w:t>
      </w:r>
    </w:p>
    <w:p w14:paraId="5DB84CAB">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全防护措施，经发包人认可后实施。</w:t>
      </w:r>
    </w:p>
    <w:p w14:paraId="7AC7DCB1">
      <w:pPr>
        <w:spacing w:before="146" w:line="399" w:lineRule="exact"/>
        <w:ind w:left="45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需单独编制危险性较大分部分项专项工程施工方案的， 及要求进行专家论证的超过一</w:t>
      </w:r>
    </w:p>
    <w:p w14:paraId="6646EBA5">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定规模的危险性较大的分部分项工程， 承包人应及</w:t>
      </w:r>
      <w:r>
        <w:rPr>
          <w:rFonts w:ascii="宋体" w:hAnsi="宋体" w:eastAsia="宋体" w:cs="宋体"/>
          <w:color w:val="auto"/>
          <w:spacing w:val="-5"/>
          <w:sz w:val="21"/>
          <w:szCs w:val="21"/>
          <w:highlight w:val="none"/>
        </w:rPr>
        <w:t>时编制和组织论证。</w:t>
      </w:r>
    </w:p>
    <w:p w14:paraId="3831B978">
      <w:pPr>
        <w:spacing w:before="153"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治安保卫</w:t>
      </w:r>
    </w:p>
    <w:p w14:paraId="06E43622">
      <w:pPr>
        <w:spacing w:before="147" w:line="398"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除专用合同条款另有约定外，发包人应与当地公安部门协商，</w:t>
      </w:r>
      <w:r>
        <w:rPr>
          <w:rFonts w:ascii="宋体" w:hAnsi="宋体" w:eastAsia="宋体" w:cs="宋体"/>
          <w:color w:val="auto"/>
          <w:spacing w:val="2"/>
          <w:position w:val="14"/>
          <w:sz w:val="21"/>
          <w:szCs w:val="21"/>
          <w:highlight w:val="none"/>
        </w:rPr>
        <w:t>在现场建立治安管理机</w:t>
      </w:r>
    </w:p>
    <w:p w14:paraId="4EBFDE5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构或联防组织，统一管理施工场地的治安保卫事</w:t>
      </w:r>
      <w:r>
        <w:rPr>
          <w:rFonts w:ascii="宋体" w:hAnsi="宋体" w:eastAsia="宋体" w:cs="宋体"/>
          <w:color w:val="auto"/>
          <w:spacing w:val="-3"/>
          <w:sz w:val="21"/>
          <w:szCs w:val="21"/>
          <w:highlight w:val="none"/>
        </w:rPr>
        <w:t>项，</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履行合同工程的治安保卫职责。</w:t>
      </w:r>
    </w:p>
    <w:p w14:paraId="6E2A8FE7">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发包人和承包人除应协助现场治安管理机构或联防组织维护施工场地</w:t>
      </w:r>
      <w:r>
        <w:rPr>
          <w:rFonts w:ascii="宋体" w:hAnsi="宋体" w:eastAsia="宋体" w:cs="宋体"/>
          <w:color w:val="auto"/>
          <w:spacing w:val="2"/>
          <w:position w:val="14"/>
          <w:sz w:val="21"/>
          <w:szCs w:val="21"/>
          <w:highlight w:val="none"/>
        </w:rPr>
        <w:t>的社会治安外，</w:t>
      </w:r>
    </w:p>
    <w:p w14:paraId="4021AFD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还应做好包括生活区在内的各自管辖区的治安保卫工作。</w:t>
      </w:r>
    </w:p>
    <w:p w14:paraId="1A28D281">
      <w:pPr>
        <w:spacing w:before="149" w:line="403" w:lineRule="exact"/>
        <w:ind w:left="45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 xml:space="preserve">除专用合同条款另有约定外，发包人和承包人应在工程开工后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天内共同编制施工场</w:t>
      </w:r>
    </w:p>
    <w:p w14:paraId="4E125DA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地治安管理计划， 并制定应对突发治安事件的紧急预案。在工程施工过程中，发生暴乱、</w:t>
      </w:r>
    </w:p>
    <w:p w14:paraId="0B2A75DD">
      <w:pPr>
        <w:spacing w:before="147" w:line="353"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爆炸等恐怖事件， 以及群殴、械斗等群体性突发</w:t>
      </w:r>
      <w:r>
        <w:rPr>
          <w:rFonts w:ascii="宋体" w:hAnsi="宋体" w:eastAsia="宋体" w:cs="宋体"/>
          <w:color w:val="auto"/>
          <w:spacing w:val="-1"/>
          <w:sz w:val="21"/>
          <w:szCs w:val="21"/>
          <w:highlight w:val="none"/>
        </w:rPr>
        <w:t xml:space="preserve">治安事件的，发包人和承包人应立即向当  </w:t>
      </w:r>
      <w:r>
        <w:rPr>
          <w:rFonts w:ascii="宋体" w:hAnsi="宋体" w:eastAsia="宋体" w:cs="宋体"/>
          <w:color w:val="auto"/>
          <w:spacing w:val="2"/>
          <w:sz w:val="21"/>
          <w:szCs w:val="21"/>
          <w:highlight w:val="none"/>
        </w:rPr>
        <w:t>地政府报告。发包人和承包人应积极协助当地有关部门采</w:t>
      </w:r>
      <w:r>
        <w:rPr>
          <w:rFonts w:ascii="宋体" w:hAnsi="宋体" w:eastAsia="宋体" w:cs="宋体"/>
          <w:color w:val="auto"/>
          <w:spacing w:val="1"/>
          <w:sz w:val="21"/>
          <w:szCs w:val="21"/>
          <w:highlight w:val="none"/>
        </w:rPr>
        <w:t>取措施平息事态，防止事态扩大，</w:t>
      </w:r>
    </w:p>
    <w:p w14:paraId="0CEC0EDC">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尽量避免人员伤亡和财产损失。</w:t>
      </w:r>
    </w:p>
    <w:p w14:paraId="65AD7E49">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6.1.5 </w:t>
      </w:r>
      <w:r>
        <w:rPr>
          <w:rFonts w:ascii="宋体" w:hAnsi="宋体" w:eastAsia="宋体" w:cs="宋体"/>
          <w:color w:val="auto"/>
          <w:spacing w:val="-1"/>
          <w:sz w:val="21"/>
          <w:szCs w:val="21"/>
          <w:highlight w:val="none"/>
        </w:rPr>
        <w:t>文明施工</w:t>
      </w:r>
    </w:p>
    <w:p w14:paraId="62304CEB">
      <w:pPr>
        <w:spacing w:before="148" w:line="352" w:lineRule="auto"/>
        <w:ind w:left="18" w:right="158"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承包人在工程施工期间，应当采取措施保持施工现场平整， 物料堆放整齐。工程所在</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 xml:space="preserve">地有关政府行政管理部门有特殊要求的， 按照其要求执行。 </w:t>
      </w:r>
      <w:r>
        <w:rPr>
          <w:rFonts w:ascii="宋体" w:hAnsi="宋体" w:eastAsia="宋体" w:cs="宋体"/>
          <w:color w:val="auto"/>
          <w:spacing w:val="-3"/>
          <w:sz w:val="21"/>
          <w:szCs w:val="21"/>
          <w:highlight w:val="none"/>
        </w:rPr>
        <w:t>合同当事人对文明施工有其他</w:t>
      </w:r>
    </w:p>
    <w:p w14:paraId="32A9932A">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要求的，可以在专用合同条款中明确。</w:t>
      </w:r>
    </w:p>
    <w:p w14:paraId="02AC16BD">
      <w:pPr>
        <w:spacing w:line="220" w:lineRule="auto"/>
        <w:rPr>
          <w:rFonts w:ascii="宋体" w:hAnsi="宋体" w:eastAsia="宋体" w:cs="宋体"/>
          <w:color w:val="auto"/>
          <w:sz w:val="21"/>
          <w:szCs w:val="21"/>
          <w:highlight w:val="none"/>
        </w:rPr>
        <w:sectPr>
          <w:footerReference r:id="rId59" w:type="default"/>
          <w:pgSz w:w="11905" w:h="16839"/>
          <w:pgMar w:top="1431" w:right="1633" w:bottom="1004" w:left="1785" w:header="0" w:footer="828" w:gutter="0"/>
          <w:pgNumType w:fmt="decimal"/>
          <w:cols w:space="720" w:num="1"/>
        </w:sectPr>
      </w:pPr>
    </w:p>
    <w:p w14:paraId="59F273DD">
      <w:pPr>
        <w:spacing w:before="150" w:line="352" w:lineRule="auto"/>
        <w:ind w:left="19" w:right="6"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在工程移交之前，承包人应当从施工现场清除承包人的全部工程设备、多余材料、垃 圾和各种临时工程，并保持施工现场清洁整齐。经发包人书面同意，承包人</w:t>
      </w:r>
      <w:r>
        <w:rPr>
          <w:rFonts w:ascii="宋体" w:hAnsi="宋体" w:eastAsia="宋体" w:cs="宋体"/>
          <w:color w:val="auto"/>
          <w:spacing w:val="2"/>
          <w:sz w:val="21"/>
          <w:szCs w:val="21"/>
          <w:highlight w:val="none"/>
        </w:rPr>
        <w:t>可在发包人指</w:t>
      </w:r>
    </w:p>
    <w:p w14:paraId="34B67593">
      <w:pPr>
        <w:spacing w:line="219"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定的地点保留承包人履行保修期内的各项义务所需要的材料、</w:t>
      </w:r>
      <w:r>
        <w:rPr>
          <w:rFonts w:ascii="宋体" w:hAnsi="宋体" w:eastAsia="宋体" w:cs="宋体"/>
          <w:color w:val="auto"/>
          <w:spacing w:val="-1"/>
          <w:sz w:val="21"/>
          <w:szCs w:val="21"/>
          <w:highlight w:val="none"/>
        </w:rPr>
        <w:t>施工设备和临时工程。</w:t>
      </w:r>
    </w:p>
    <w:p w14:paraId="25AB5382">
      <w:pPr>
        <w:spacing w:before="148"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6.1.6 </w:t>
      </w:r>
      <w:r>
        <w:rPr>
          <w:rFonts w:ascii="宋体" w:hAnsi="宋体" w:eastAsia="宋体" w:cs="宋体"/>
          <w:color w:val="auto"/>
          <w:spacing w:val="-1"/>
          <w:sz w:val="21"/>
          <w:szCs w:val="21"/>
          <w:highlight w:val="none"/>
        </w:rPr>
        <w:t>安全文明施工费</w:t>
      </w:r>
    </w:p>
    <w:p w14:paraId="584CE92B">
      <w:pPr>
        <w:spacing w:before="147"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安全文明施工费由发包人承担， 发包人不得以任何形式扣减该部分费用。因基准日期</w:t>
      </w:r>
    </w:p>
    <w:p w14:paraId="7A5FC17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后合同所适用的法律或政府有关规定发生变化， 增加的安全</w:t>
      </w:r>
      <w:r>
        <w:rPr>
          <w:rFonts w:ascii="宋体" w:hAnsi="宋体" w:eastAsia="宋体" w:cs="宋体"/>
          <w:color w:val="auto"/>
          <w:spacing w:val="-4"/>
          <w:sz w:val="21"/>
          <w:szCs w:val="21"/>
          <w:highlight w:val="none"/>
        </w:rPr>
        <w:t>文明施工费由发包人承担。</w:t>
      </w:r>
    </w:p>
    <w:p w14:paraId="150171D2">
      <w:pPr>
        <w:spacing w:before="147" w:line="353" w:lineRule="auto"/>
        <w:ind w:left="20" w:right="6"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承包人经发包人同意采取合同约定以外的安全措施所产生的费用，由发包人承担。未 </w:t>
      </w:r>
      <w:r>
        <w:rPr>
          <w:rFonts w:ascii="宋体" w:hAnsi="宋体" w:eastAsia="宋体" w:cs="宋体"/>
          <w:color w:val="auto"/>
          <w:sz w:val="21"/>
          <w:szCs w:val="21"/>
          <w:highlight w:val="none"/>
        </w:rPr>
        <w:t>经发包人同意的， 如果该措施避免了发包人的损失，则发包人在避免损失的额度内承担该</w:t>
      </w:r>
    </w:p>
    <w:p w14:paraId="3B3BED8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措施费。如果该措施避免了承包人的损失，由承包人承担该措施费。</w:t>
      </w:r>
    </w:p>
    <w:p w14:paraId="5506EFB4">
      <w:pPr>
        <w:spacing w:before="146" w:line="352" w:lineRule="auto"/>
        <w:ind w:left="19" w:right="3"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 发包人应在开工后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52"/>
          <w:sz w:val="21"/>
          <w:szCs w:val="21"/>
          <w:highlight w:val="none"/>
        </w:rPr>
        <w:t xml:space="preserve"> </w:t>
      </w:r>
      <w:r>
        <w:rPr>
          <w:rFonts w:ascii="宋体" w:hAnsi="宋体" w:eastAsia="宋体" w:cs="宋体"/>
          <w:color w:val="auto"/>
          <w:sz w:val="21"/>
          <w:szCs w:val="21"/>
          <w:highlight w:val="none"/>
        </w:rPr>
        <w:t xml:space="preserve">天内预付安全文明施工费总额的 </w:t>
      </w:r>
      <w:r>
        <w:rPr>
          <w:rFonts w:ascii="Times New Roman" w:hAnsi="Times New Roman" w:eastAsia="Times New Roman" w:cs="Times New Roman"/>
          <w:color w:val="auto"/>
          <w:spacing w:val="1"/>
          <w:sz w:val="21"/>
          <w:szCs w:val="21"/>
          <w:highlight w:val="none"/>
        </w:rPr>
        <w:t>50%</w:t>
      </w:r>
      <w:r>
        <w:rPr>
          <w:rFonts w:ascii="宋体" w:hAnsi="宋体" w:eastAsia="宋体" w:cs="宋体"/>
          <w:color w:val="auto"/>
          <w:spacing w:val="1"/>
          <w:sz w:val="21"/>
          <w:szCs w:val="21"/>
          <w:highlight w:val="none"/>
        </w:rPr>
        <w:t xml:space="preserve">，其余部分与进度款同期支付。发包人逾期支付安全文明施工费超过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天的，承</w:t>
      </w:r>
      <w:r>
        <w:rPr>
          <w:rFonts w:ascii="宋体" w:hAnsi="宋体" w:eastAsia="宋体" w:cs="宋体"/>
          <w:color w:val="auto"/>
          <w:sz w:val="21"/>
          <w:szCs w:val="21"/>
          <w:highlight w:val="none"/>
        </w:rPr>
        <w:t xml:space="preserve">包人 有权向发包人发出要求预付的催告通知，发包人收到通知后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天内仍未支付的，承包人有</w:t>
      </w:r>
    </w:p>
    <w:p w14:paraId="001C7A1A">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权暂停施工，并按第 </w:t>
      </w:r>
      <w:r>
        <w:rPr>
          <w:rFonts w:ascii="Times New Roman" w:hAnsi="Times New Roman" w:eastAsia="Times New Roman" w:cs="Times New Roman"/>
          <w:color w:val="auto"/>
          <w:spacing w:val="-3"/>
          <w:sz w:val="21"/>
          <w:szCs w:val="21"/>
          <w:highlight w:val="none"/>
        </w:rPr>
        <w:t xml:space="preserve">16.1.1 </w:t>
      </w:r>
      <w:r>
        <w:rPr>
          <w:rFonts w:ascii="宋体" w:hAnsi="宋体" w:eastAsia="宋体" w:cs="宋体"/>
          <w:color w:val="auto"/>
          <w:spacing w:val="-3"/>
          <w:sz w:val="21"/>
          <w:szCs w:val="21"/>
          <w:highlight w:val="none"/>
        </w:rPr>
        <w:t>项〔发包人违约的情形〕执行。</w:t>
      </w:r>
    </w:p>
    <w:p w14:paraId="6DA17622">
      <w:pPr>
        <w:spacing w:before="148" w:line="352" w:lineRule="auto"/>
        <w:ind w:left="19"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承包人对安全文明施工费应专款专用，承包人应在财务账目中单独列项备查，不得挪 </w:t>
      </w:r>
      <w:r>
        <w:rPr>
          <w:rFonts w:ascii="宋体" w:hAnsi="宋体" w:eastAsia="宋体" w:cs="宋体"/>
          <w:color w:val="auto"/>
          <w:spacing w:val="-3"/>
          <w:sz w:val="21"/>
          <w:szCs w:val="21"/>
          <w:highlight w:val="none"/>
        </w:rPr>
        <w:t>作他用，否则发包人有权责令其限期改正；逾期未改</w:t>
      </w:r>
      <w:r>
        <w:rPr>
          <w:rFonts w:ascii="宋体" w:hAnsi="宋体" w:eastAsia="宋体" w:cs="宋体"/>
          <w:color w:val="auto"/>
          <w:spacing w:val="-4"/>
          <w:sz w:val="21"/>
          <w:szCs w:val="21"/>
          <w:highlight w:val="none"/>
        </w:rPr>
        <w:t>正的， 可以责令其暂停施工，</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由此增</w:t>
      </w:r>
    </w:p>
    <w:p w14:paraId="280D43A7">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加的费用和（或）延误的工期由承包人承担。</w:t>
      </w:r>
    </w:p>
    <w:p w14:paraId="073F0751">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6.1.7</w:t>
      </w:r>
      <w:r>
        <w:rPr>
          <w:rFonts w:ascii="Times New Roman" w:hAnsi="Times New Roman" w:eastAsia="Times New Roman" w:cs="Times New Roman"/>
          <w:color w:val="auto"/>
          <w:spacing w:val="17"/>
          <w:sz w:val="21"/>
          <w:szCs w:val="21"/>
          <w:highlight w:val="none"/>
        </w:rPr>
        <w:t xml:space="preserve"> </w:t>
      </w:r>
      <w:r>
        <w:rPr>
          <w:rFonts w:ascii="宋体" w:hAnsi="宋体" w:eastAsia="宋体" w:cs="宋体"/>
          <w:color w:val="auto"/>
          <w:spacing w:val="-2"/>
          <w:sz w:val="21"/>
          <w:szCs w:val="21"/>
          <w:highlight w:val="none"/>
        </w:rPr>
        <w:t>紧急情况处理</w:t>
      </w:r>
    </w:p>
    <w:p w14:paraId="7B90294C">
      <w:pPr>
        <w:spacing w:before="153" w:line="350" w:lineRule="auto"/>
        <w:ind w:left="20" w:right="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在工程实施期间或缺陷责任期内发生危及工程安全的事件， 监理人通知承包人进行抢</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救，承包人声明无能力或不愿立即执行的，发包人有权雇佣其他人员进行</w:t>
      </w:r>
      <w:r>
        <w:rPr>
          <w:rFonts w:ascii="宋体" w:hAnsi="宋体" w:eastAsia="宋体" w:cs="宋体"/>
          <w:color w:val="auto"/>
          <w:spacing w:val="2"/>
          <w:sz w:val="21"/>
          <w:szCs w:val="21"/>
          <w:highlight w:val="none"/>
        </w:rPr>
        <w:t>抢救。此类抢救</w:t>
      </w:r>
    </w:p>
    <w:p w14:paraId="2C1680D4">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按合同约定属于承包人义务的，由此增加的费用和（或）延误的工期</w:t>
      </w:r>
      <w:r>
        <w:rPr>
          <w:rFonts w:ascii="宋体" w:hAnsi="宋体" w:eastAsia="宋体" w:cs="宋体"/>
          <w:color w:val="auto"/>
          <w:spacing w:val="-1"/>
          <w:sz w:val="21"/>
          <w:szCs w:val="21"/>
          <w:highlight w:val="none"/>
        </w:rPr>
        <w:t>由承包人承担。</w:t>
      </w:r>
    </w:p>
    <w:p w14:paraId="09149F03">
      <w:pPr>
        <w:spacing w:before="153"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6.1.8 </w:t>
      </w:r>
      <w:r>
        <w:rPr>
          <w:rFonts w:ascii="宋体" w:hAnsi="宋体" w:eastAsia="宋体" w:cs="宋体"/>
          <w:color w:val="auto"/>
          <w:spacing w:val="-1"/>
          <w:sz w:val="21"/>
          <w:szCs w:val="21"/>
          <w:highlight w:val="none"/>
        </w:rPr>
        <w:t>事故处理</w:t>
      </w:r>
    </w:p>
    <w:p w14:paraId="15BC5FB0">
      <w:pPr>
        <w:spacing w:before="149" w:line="351" w:lineRule="auto"/>
        <w:ind w:left="21" w:right="11"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工程施工过程中发生事故的，承包人应立即通知监理人，监理人应立即通知发包人。</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发包人和承包人应立即组织人员和设备进行紧急抢救和</w:t>
      </w:r>
      <w:r>
        <w:rPr>
          <w:rFonts w:ascii="宋体" w:hAnsi="宋体" w:eastAsia="宋体" w:cs="宋体"/>
          <w:color w:val="auto"/>
          <w:spacing w:val="2"/>
          <w:sz w:val="21"/>
          <w:szCs w:val="21"/>
          <w:highlight w:val="none"/>
        </w:rPr>
        <w:t>抢修，减少人员伤亡和财产损失，</w:t>
      </w:r>
      <w:r>
        <w:rPr>
          <w:rFonts w:ascii="宋体" w:hAnsi="宋体" w:eastAsia="宋体" w:cs="宋体"/>
          <w:color w:val="auto"/>
          <w:sz w:val="21"/>
          <w:szCs w:val="21"/>
          <w:highlight w:val="none"/>
        </w:rPr>
        <w:t xml:space="preserve"> 防止事故扩大，并保护事故现场。需要移动现场物品时，应作出标记和书面记录， 妥善保</w:t>
      </w:r>
      <w:r>
        <w:rPr>
          <w:rFonts w:ascii="宋体" w:hAnsi="宋体" w:eastAsia="宋体" w:cs="宋体"/>
          <w:color w:val="auto"/>
          <w:spacing w:val="3"/>
          <w:sz w:val="21"/>
          <w:szCs w:val="21"/>
          <w:highlight w:val="none"/>
        </w:rPr>
        <w:t xml:space="preserve"> 管有关证据。发包人和承包人应按国家有关规定，及时如实地向有关</w:t>
      </w:r>
      <w:r>
        <w:rPr>
          <w:rFonts w:ascii="宋体" w:hAnsi="宋体" w:eastAsia="宋体" w:cs="宋体"/>
          <w:color w:val="auto"/>
          <w:spacing w:val="2"/>
          <w:sz w:val="21"/>
          <w:szCs w:val="21"/>
          <w:highlight w:val="none"/>
        </w:rPr>
        <w:t>部门报告事故发生的</w:t>
      </w:r>
    </w:p>
    <w:p w14:paraId="6E46F0F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情况，以及正在采取的紧急措施等。</w:t>
      </w:r>
    </w:p>
    <w:p w14:paraId="2D90AD6B">
      <w:pPr>
        <w:spacing w:before="152"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6.1.9 </w:t>
      </w:r>
      <w:r>
        <w:rPr>
          <w:rFonts w:ascii="宋体" w:hAnsi="宋体" w:eastAsia="宋体" w:cs="宋体"/>
          <w:color w:val="auto"/>
          <w:spacing w:val="-1"/>
          <w:sz w:val="21"/>
          <w:szCs w:val="21"/>
          <w:highlight w:val="none"/>
        </w:rPr>
        <w:t>安全生产责任</w:t>
      </w:r>
    </w:p>
    <w:p w14:paraId="0283E3E0">
      <w:pPr>
        <w:spacing w:before="147" w:line="221" w:lineRule="auto"/>
        <w:ind w:left="44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"6.1.9.1"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6.1.9.1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发包人的安全责任</w:t>
      </w:r>
    </w:p>
    <w:p w14:paraId="6D0C304F">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发包人应负责赔偿以下各种情况造成的损失：</w:t>
      </w:r>
    </w:p>
    <w:p w14:paraId="0E8BA837">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）工程或工程的任何部分对土地的占用所造成的第三者财产损失；</w:t>
      </w:r>
    </w:p>
    <w:p w14:paraId="51410CFD">
      <w:pPr>
        <w:spacing w:before="148"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）由于发包人原因在施工场地及其毗邻地带造成的第</w:t>
      </w:r>
      <w:r>
        <w:rPr>
          <w:rFonts w:ascii="宋体" w:hAnsi="宋体" w:eastAsia="宋体" w:cs="宋体"/>
          <w:color w:val="auto"/>
          <w:spacing w:val="-1"/>
          <w:position w:val="14"/>
          <w:sz w:val="21"/>
          <w:szCs w:val="21"/>
          <w:highlight w:val="none"/>
        </w:rPr>
        <w:t>三者人身伤亡和财产损失；</w:t>
      </w:r>
    </w:p>
    <w:p w14:paraId="66D5B9E9">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）由于发包人原因对承包人、监理人造成的</w:t>
      </w:r>
      <w:r>
        <w:rPr>
          <w:rFonts w:ascii="宋体" w:hAnsi="宋体" w:eastAsia="宋体" w:cs="宋体"/>
          <w:color w:val="auto"/>
          <w:spacing w:val="-1"/>
          <w:sz w:val="21"/>
          <w:szCs w:val="21"/>
          <w:highlight w:val="none"/>
        </w:rPr>
        <w:t>人员人身伤亡和财产损失；</w:t>
      </w:r>
    </w:p>
    <w:p w14:paraId="31D9162F">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）由于发包人原因造成的发包人自身人员的人身伤害以及财</w:t>
      </w:r>
      <w:r>
        <w:rPr>
          <w:rFonts w:ascii="宋体" w:hAnsi="宋体" w:eastAsia="宋体" w:cs="宋体"/>
          <w:color w:val="auto"/>
          <w:spacing w:val="-2"/>
          <w:sz w:val="21"/>
          <w:szCs w:val="21"/>
          <w:highlight w:val="none"/>
        </w:rPr>
        <w:t>产损失。</w:t>
      </w:r>
    </w:p>
    <w:p w14:paraId="4EAB13B0">
      <w:pPr>
        <w:spacing w:before="147" w:line="221" w:lineRule="auto"/>
        <w:ind w:left="44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"6.1.9.2"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6.1.9.2</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承包人的安全责任</w:t>
      </w:r>
    </w:p>
    <w:p w14:paraId="1F6052E5">
      <w:pPr>
        <w:spacing w:line="221" w:lineRule="auto"/>
        <w:rPr>
          <w:rFonts w:ascii="宋体" w:hAnsi="宋体" w:eastAsia="宋体" w:cs="宋体"/>
          <w:color w:val="auto"/>
          <w:sz w:val="21"/>
          <w:szCs w:val="21"/>
          <w:highlight w:val="none"/>
        </w:rPr>
        <w:sectPr>
          <w:footerReference r:id="rId60" w:type="default"/>
          <w:pgSz w:w="11905" w:h="16839"/>
          <w:pgMar w:top="1431" w:right="1785" w:bottom="1004" w:left="1785" w:header="0" w:footer="828" w:gutter="0"/>
          <w:pgNumType w:fmt="decimal"/>
          <w:cols w:space="720" w:num="1"/>
        </w:sectPr>
      </w:pPr>
    </w:p>
    <w:p w14:paraId="06457046">
      <w:pPr>
        <w:spacing w:before="148" w:line="221" w:lineRule="auto"/>
        <w:ind w:left="46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由于承包人原因在施工场地内及其毗邻地带</w:t>
      </w:r>
      <w:r>
        <w:rPr>
          <w:rFonts w:ascii="宋体" w:hAnsi="宋体" w:eastAsia="宋体" w:cs="宋体"/>
          <w:color w:val="auto"/>
          <w:spacing w:val="2"/>
          <w:sz w:val="21"/>
          <w:szCs w:val="21"/>
          <w:highlight w:val="none"/>
        </w:rPr>
        <w:t>造成的发包人、监理人以及第三者人员伤</w:t>
      </w:r>
    </w:p>
    <w:p w14:paraId="5F21F497">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亡和财产损失，由承包人负责赔偿。</w:t>
      </w:r>
    </w:p>
    <w:p w14:paraId="75998CBB">
      <w:pPr>
        <w:spacing w:before="50" w:line="221" w:lineRule="auto"/>
        <w:ind w:left="18"/>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6.2 职业健康</w:t>
      </w:r>
    </w:p>
    <w:p w14:paraId="18D74DDD">
      <w:pPr>
        <w:spacing w:before="126"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6.2.1</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劳动保护</w:t>
      </w:r>
    </w:p>
    <w:p w14:paraId="22A45B6D">
      <w:pPr>
        <w:spacing w:before="146" w:line="352" w:lineRule="auto"/>
        <w:ind w:left="20"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14:paraId="26EB285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保险和注册等。</w:t>
      </w:r>
    </w:p>
    <w:p w14:paraId="79152EFB">
      <w:pPr>
        <w:spacing w:before="146" w:line="352" w:lineRule="auto"/>
        <w:ind w:left="21" w:right="174"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承包人应按照法律规定保障现场施工人员的劳动安全</w:t>
      </w:r>
      <w:r>
        <w:rPr>
          <w:rFonts w:ascii="宋体" w:hAnsi="宋体" w:eastAsia="宋体" w:cs="宋体"/>
          <w:color w:val="auto"/>
          <w:spacing w:val="1"/>
          <w:sz w:val="21"/>
          <w:szCs w:val="21"/>
          <w:highlight w:val="none"/>
        </w:rPr>
        <w:t>，并提供劳动保护</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并应按国家有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关劳动保护的规定，采取有效的防止粉尘、降低噪声、控制有害气体和保障高温、高寒、</w:t>
      </w:r>
      <w:r>
        <w:rPr>
          <w:rFonts w:ascii="宋体" w:hAnsi="宋体" w:eastAsia="宋体" w:cs="宋体"/>
          <w:color w:val="auto"/>
          <w:sz w:val="21"/>
          <w:szCs w:val="21"/>
          <w:highlight w:val="none"/>
        </w:rPr>
        <w:t xml:space="preserve"> 高空作业安全等劳动保护措施。承包人雇佣人员在施工中受到伤害的， 承包人应立即采取</w:t>
      </w:r>
    </w:p>
    <w:p w14:paraId="34BB9BB5">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有效措施进行抢救和治疗。</w:t>
      </w:r>
    </w:p>
    <w:p w14:paraId="74A296DB">
      <w:pPr>
        <w:spacing w:before="153" w:line="350" w:lineRule="auto"/>
        <w:ind w:left="17" w:right="173"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承包人应按法律规定安排工作时间， 保证其雇佣人员享有休息和休假的权利。因工程</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施工的特殊需要占用休假日或延长工作时间的，应不超过法律规定的限度， 并按法律规定</w:t>
      </w:r>
    </w:p>
    <w:p w14:paraId="4B67EE4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给予补休或付酬。</w:t>
      </w:r>
    </w:p>
    <w:p w14:paraId="7AB26663">
      <w:pPr>
        <w:spacing w:before="152"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6.2.2 </w:t>
      </w:r>
      <w:r>
        <w:rPr>
          <w:rFonts w:ascii="宋体" w:hAnsi="宋体" w:eastAsia="宋体" w:cs="宋体"/>
          <w:color w:val="auto"/>
          <w:spacing w:val="-1"/>
          <w:sz w:val="21"/>
          <w:szCs w:val="21"/>
          <w:highlight w:val="none"/>
        </w:rPr>
        <w:t>生活条件</w:t>
      </w:r>
    </w:p>
    <w:p w14:paraId="1B9D0E09">
      <w:pPr>
        <w:spacing w:before="148" w:line="352"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承包人应为其履行合同所雇用的人员提供必要的膳宿条件和生活环境；承包人应采取 </w:t>
      </w:r>
      <w:r>
        <w:rPr>
          <w:rFonts w:ascii="宋体" w:hAnsi="宋体" w:eastAsia="宋体" w:cs="宋体"/>
          <w:color w:val="auto"/>
          <w:spacing w:val="-2"/>
          <w:sz w:val="21"/>
          <w:szCs w:val="21"/>
          <w:highlight w:val="none"/>
        </w:rPr>
        <w:t>有效措施预防传染病， 保证施工人员的健康， 并定</w:t>
      </w:r>
      <w:r>
        <w:rPr>
          <w:rFonts w:ascii="宋体" w:hAnsi="宋体" w:eastAsia="宋体" w:cs="宋体"/>
          <w:color w:val="auto"/>
          <w:spacing w:val="-3"/>
          <w:sz w:val="21"/>
          <w:szCs w:val="21"/>
          <w:highlight w:val="none"/>
        </w:rPr>
        <w:t>期对施工现场、施工人员生活基地和工</w:t>
      </w:r>
    </w:p>
    <w:p w14:paraId="2746EBD2">
      <w:pPr>
        <w:spacing w:before="1" w:line="213"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程进行防疫和卫生的专业检查和处理</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4"/>
          <w:sz w:val="21"/>
          <w:szCs w:val="21"/>
          <w:highlight w:val="none"/>
        </w:rPr>
        <w:t>在远离城镇的施工场地，</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rPr>
        <w:t>还应配备必要的伤病防</w:t>
      </w:r>
      <w:r>
        <w:rPr>
          <w:rFonts w:ascii="宋体" w:hAnsi="宋体" w:eastAsia="宋体" w:cs="宋体"/>
          <w:color w:val="auto"/>
          <w:spacing w:val="-5"/>
          <w:sz w:val="21"/>
          <w:szCs w:val="21"/>
          <w:highlight w:val="none"/>
        </w:rPr>
        <w:t>治和</w:t>
      </w:r>
    </w:p>
    <w:p w14:paraId="270A81B4">
      <w:pPr>
        <w:spacing w:before="155" w:line="221" w:lineRule="auto"/>
        <w:ind w:left="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急救的医务人员与医疗设施。</w:t>
      </w:r>
    </w:p>
    <w:p w14:paraId="1658B7D1">
      <w:pPr>
        <w:spacing w:before="46" w:line="219" w:lineRule="auto"/>
        <w:ind w:left="18"/>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6.3 环境保护</w:t>
      </w:r>
    </w:p>
    <w:p w14:paraId="07E9DBF9">
      <w:pPr>
        <w:spacing w:before="130" w:line="352" w:lineRule="auto"/>
        <w:ind w:left="20" w:right="174" w:firstLine="420"/>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承包人应在施工组织设计中列明环境保护的具体措施。在合同履行期间，承包人应采 取合理措施保护施工现场环境。对施工作业过程中可能引起的大气、水</w:t>
      </w:r>
      <w:r>
        <w:rPr>
          <w:rFonts w:ascii="宋体" w:hAnsi="宋体" w:eastAsia="宋体" w:cs="宋体"/>
          <w:color w:val="auto"/>
          <w:spacing w:val="2"/>
          <w:sz w:val="21"/>
          <w:szCs w:val="21"/>
          <w:highlight w:val="none"/>
        </w:rPr>
        <w:t>、噪音以及固体废</w:t>
      </w:r>
    </w:p>
    <w:p w14:paraId="0624485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物污染采取具体可行的防范措施。</w:t>
      </w:r>
    </w:p>
    <w:p w14:paraId="4F1BDC41">
      <w:pPr>
        <w:spacing w:before="148" w:line="399"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承包人应当承担因其原因引起的环境污染侵权损害赔偿责任，因上述环境污染引起纠</w:t>
      </w:r>
    </w:p>
    <w:p w14:paraId="712BFBA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纷而导致暂停施工的，由此增加的费用和（或） 延</w:t>
      </w:r>
      <w:r>
        <w:rPr>
          <w:rFonts w:ascii="宋体" w:hAnsi="宋体" w:eastAsia="宋体" w:cs="宋体"/>
          <w:color w:val="auto"/>
          <w:spacing w:val="-4"/>
          <w:sz w:val="21"/>
          <w:szCs w:val="21"/>
          <w:highlight w:val="none"/>
        </w:rPr>
        <w:t>误的工期由承包人承担。</w:t>
      </w:r>
    </w:p>
    <w:p w14:paraId="06E502FA">
      <w:pPr>
        <w:spacing w:before="177" w:line="526" w:lineRule="exact"/>
        <w:ind w:left="23"/>
        <w:rPr>
          <w:rFonts w:ascii="黑体" w:hAnsi="黑体" w:eastAsia="黑体" w:cs="黑体"/>
          <w:color w:val="auto"/>
          <w:sz w:val="32"/>
          <w:szCs w:val="32"/>
          <w:highlight w:val="none"/>
        </w:rPr>
      </w:pPr>
      <w:r>
        <w:rPr>
          <w:rFonts w:ascii="黑体" w:hAnsi="黑体" w:eastAsia="黑体" w:cs="黑体"/>
          <w:color w:val="auto"/>
          <w:spacing w:val="-2"/>
          <w:position w:val="15"/>
          <w:sz w:val="32"/>
          <w:szCs w:val="32"/>
          <w:highlight w:val="none"/>
        </w:rPr>
        <w:t>7.工期和进度</w:t>
      </w:r>
    </w:p>
    <w:p w14:paraId="26C87156">
      <w:pPr>
        <w:spacing w:before="2" w:line="218" w:lineRule="auto"/>
        <w:ind w:left="20"/>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7.1</w:t>
      </w:r>
      <w:r>
        <w:rPr>
          <w:rFonts w:ascii="黑体" w:hAnsi="黑体" w:eastAsia="黑体" w:cs="黑体"/>
          <w:color w:val="auto"/>
          <w:spacing w:val="-54"/>
          <w:sz w:val="24"/>
          <w:szCs w:val="24"/>
          <w:highlight w:val="none"/>
        </w:rPr>
        <w:t xml:space="preserve"> </w:t>
      </w:r>
      <w:r>
        <w:rPr>
          <w:rFonts w:ascii="黑体" w:hAnsi="黑体" w:eastAsia="黑体" w:cs="黑体"/>
          <w:color w:val="auto"/>
          <w:spacing w:val="-2"/>
          <w:sz w:val="24"/>
          <w:szCs w:val="24"/>
          <w:highlight w:val="none"/>
        </w:rPr>
        <w:t>施工组织设计</w:t>
      </w:r>
    </w:p>
    <w:p w14:paraId="121582EA">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7.1.1 </w:t>
      </w:r>
      <w:r>
        <w:rPr>
          <w:rFonts w:ascii="宋体" w:hAnsi="宋体" w:eastAsia="宋体" w:cs="宋体"/>
          <w:color w:val="auto"/>
          <w:spacing w:val="-1"/>
          <w:sz w:val="21"/>
          <w:szCs w:val="21"/>
          <w:highlight w:val="none"/>
        </w:rPr>
        <w:t>施工组织设计的内容</w:t>
      </w:r>
    </w:p>
    <w:p w14:paraId="35DD0003">
      <w:pPr>
        <w:spacing w:before="148" w:line="403"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施工组织设计应包含以下内容：</w:t>
      </w:r>
    </w:p>
    <w:p w14:paraId="5DA6652A">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）施工方案；</w:t>
      </w:r>
    </w:p>
    <w:p w14:paraId="044A50BF">
      <w:pPr>
        <w:spacing w:before="146"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）施工现场平面布置图；</w:t>
      </w:r>
    </w:p>
    <w:p w14:paraId="5579E3F4">
      <w:pPr>
        <w:spacing w:before="148"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宋体" w:hAnsi="宋体" w:eastAsia="宋体" w:cs="宋体"/>
          <w:color w:val="auto"/>
          <w:spacing w:val="-1"/>
          <w:position w:val="14"/>
          <w:sz w:val="21"/>
          <w:szCs w:val="21"/>
          <w:highlight w:val="none"/>
        </w:rPr>
        <w:t>）施工进度计划和保证措施；</w:t>
      </w:r>
    </w:p>
    <w:p w14:paraId="0ABBB6A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宋体" w:hAnsi="宋体" w:eastAsia="宋体" w:cs="宋体"/>
          <w:color w:val="auto"/>
          <w:spacing w:val="-4"/>
          <w:sz w:val="21"/>
          <w:szCs w:val="21"/>
          <w:highlight w:val="none"/>
        </w:rPr>
        <w:t>）劳动力及材料供应计划；</w:t>
      </w:r>
    </w:p>
    <w:p w14:paraId="09338DED">
      <w:pPr>
        <w:spacing w:line="219" w:lineRule="auto"/>
        <w:rPr>
          <w:rFonts w:ascii="宋体" w:hAnsi="宋体" w:eastAsia="宋体" w:cs="宋体"/>
          <w:color w:val="auto"/>
          <w:sz w:val="21"/>
          <w:szCs w:val="21"/>
          <w:highlight w:val="none"/>
        </w:rPr>
        <w:sectPr>
          <w:footerReference r:id="rId61" w:type="default"/>
          <w:pgSz w:w="11905" w:h="16839"/>
          <w:pgMar w:top="1431" w:right="1617" w:bottom="1004" w:left="1785" w:header="0" w:footer="829" w:gutter="0"/>
          <w:pgNumType w:fmt="decimal"/>
          <w:cols w:space="720" w:num="1"/>
        </w:sectPr>
      </w:pPr>
    </w:p>
    <w:p w14:paraId="5DE886E0">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5</w:t>
      </w:r>
      <w:r>
        <w:rPr>
          <w:rFonts w:ascii="宋体" w:hAnsi="宋体" w:eastAsia="宋体" w:cs="宋体"/>
          <w:color w:val="auto"/>
          <w:spacing w:val="-4"/>
          <w:position w:val="14"/>
          <w:sz w:val="21"/>
          <w:szCs w:val="21"/>
          <w:highlight w:val="none"/>
        </w:rPr>
        <w:t>）施工机械设备的选用；</w:t>
      </w:r>
    </w:p>
    <w:p w14:paraId="5CE4F7BB">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）质量保证体系及措施；</w:t>
      </w:r>
    </w:p>
    <w:p w14:paraId="671DF808">
      <w:pPr>
        <w:spacing w:before="150"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）安全生产、文明施工措施；</w:t>
      </w:r>
    </w:p>
    <w:p w14:paraId="02BA7D3F">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）环境保护、成本控制措施；</w:t>
      </w:r>
    </w:p>
    <w:p w14:paraId="724EA076">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宋体" w:hAnsi="宋体" w:eastAsia="宋体" w:cs="宋体"/>
          <w:color w:val="auto"/>
          <w:spacing w:val="-1"/>
          <w:sz w:val="21"/>
          <w:szCs w:val="21"/>
          <w:highlight w:val="none"/>
        </w:rPr>
        <w:t>）合同当事人约定的其他内容。</w:t>
      </w:r>
    </w:p>
    <w:p w14:paraId="6FEE45DC">
      <w:pPr>
        <w:spacing w:before="152"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7.1.2 </w:t>
      </w:r>
      <w:r>
        <w:rPr>
          <w:rFonts w:ascii="宋体" w:hAnsi="宋体" w:eastAsia="宋体" w:cs="宋体"/>
          <w:color w:val="auto"/>
          <w:spacing w:val="-1"/>
          <w:sz w:val="21"/>
          <w:szCs w:val="21"/>
          <w:highlight w:val="none"/>
        </w:rPr>
        <w:t>施工组织设计的提交和修改</w:t>
      </w:r>
    </w:p>
    <w:p w14:paraId="21123388">
      <w:pPr>
        <w:spacing w:before="148" w:line="352" w:lineRule="auto"/>
        <w:ind w:left="16" w:right="1" w:firstLine="43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承包人应在合同签订后</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宋体" w:hAnsi="宋体" w:eastAsia="宋体" w:cs="宋体"/>
          <w:color w:val="auto"/>
          <w:spacing w:val="-4"/>
          <w:sz w:val="21"/>
          <w:szCs w:val="21"/>
          <w:highlight w:val="none"/>
        </w:rPr>
        <w:t>天内，但至迟不得晚于第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4"/>
          <w:sz w:val="21"/>
          <w:szCs w:val="21"/>
          <w:highlight w:val="none"/>
        </w:rPr>
        <w:t>7.3.2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 xml:space="preserve">项〔开工通知〕载明的开工日期前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5"/>
          <w:sz w:val="21"/>
          <w:szCs w:val="21"/>
          <w:highlight w:val="none"/>
        </w:rPr>
        <w:t xml:space="preserve"> </w:t>
      </w:r>
      <w:r>
        <w:rPr>
          <w:rFonts w:ascii="宋体" w:hAnsi="宋体" w:eastAsia="宋体" w:cs="宋体"/>
          <w:color w:val="auto"/>
          <w:sz w:val="21"/>
          <w:szCs w:val="21"/>
          <w:highlight w:val="none"/>
        </w:rPr>
        <w:t>天，向监理人提交详细的施工组织设计，并由监理人 报送发包人。 除专用合同条款另有约定外，发包人和监理人应在监理人收到施工组织设计</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 xml:space="preserve">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天内确认或提出修改意见。对发包人和监理人提出的合理意见和要求，承包人应自费</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修改完善。根据工程实际情况需要修改施工组织设计的，承包人应向发包人和监</w:t>
      </w:r>
      <w:r>
        <w:rPr>
          <w:rFonts w:ascii="宋体" w:hAnsi="宋体" w:eastAsia="宋体" w:cs="宋体"/>
          <w:color w:val="auto"/>
          <w:spacing w:val="2"/>
          <w:sz w:val="21"/>
          <w:szCs w:val="21"/>
          <w:highlight w:val="none"/>
        </w:rPr>
        <w:t>理人提交</w:t>
      </w:r>
    </w:p>
    <w:p w14:paraId="770CC61D">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修改后的施工组织设计。</w:t>
      </w:r>
    </w:p>
    <w:p w14:paraId="6C8B1DE9">
      <w:pPr>
        <w:spacing w:before="148"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施工进度计划的编制和修改按照第</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7.2 </w:t>
      </w:r>
      <w:r>
        <w:rPr>
          <w:rFonts w:ascii="宋体" w:hAnsi="宋体" w:eastAsia="宋体" w:cs="宋体"/>
          <w:color w:val="auto"/>
          <w:spacing w:val="-1"/>
          <w:sz w:val="21"/>
          <w:szCs w:val="21"/>
          <w:highlight w:val="none"/>
        </w:rPr>
        <w:t>款〔施工进度计划〕执行。</w:t>
      </w:r>
    </w:p>
    <w:p w14:paraId="57959DAB">
      <w:pPr>
        <w:spacing w:before="46"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7.2 施工进度计划</w:t>
      </w:r>
    </w:p>
    <w:p w14:paraId="214035AC">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7.2.1 </w:t>
      </w:r>
      <w:r>
        <w:rPr>
          <w:rFonts w:ascii="宋体" w:hAnsi="宋体" w:eastAsia="宋体" w:cs="宋体"/>
          <w:color w:val="auto"/>
          <w:spacing w:val="-1"/>
          <w:sz w:val="21"/>
          <w:szCs w:val="21"/>
          <w:highlight w:val="none"/>
        </w:rPr>
        <w:t>施工进度计划的编制</w:t>
      </w:r>
    </w:p>
    <w:p w14:paraId="05B0C767">
      <w:pPr>
        <w:spacing w:before="152" w:line="352" w:lineRule="auto"/>
        <w:ind w:left="17" w:right="2"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承包人应按照第</w:t>
      </w:r>
      <w:r>
        <w:rPr>
          <w:rFonts w:ascii="宋体" w:hAnsi="宋体" w:eastAsia="宋体" w:cs="宋体"/>
          <w:color w:val="auto"/>
          <w:spacing w:val="-58"/>
          <w:sz w:val="21"/>
          <w:szCs w:val="21"/>
          <w:highlight w:val="none"/>
        </w:rPr>
        <w:t xml:space="preserve"> </w:t>
      </w:r>
      <w:r>
        <w:rPr>
          <w:rFonts w:ascii="Times New Roman" w:hAnsi="Times New Roman" w:eastAsia="Times New Roman" w:cs="Times New Roman"/>
          <w:color w:val="auto"/>
          <w:spacing w:val="-3"/>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款〔施工组织设计〕约定提交详细的施工进度计划， 施</w:t>
      </w:r>
      <w:r>
        <w:rPr>
          <w:rFonts w:ascii="宋体" w:hAnsi="宋体" w:eastAsia="宋体" w:cs="宋体"/>
          <w:color w:val="auto"/>
          <w:spacing w:val="-4"/>
          <w:sz w:val="21"/>
          <w:szCs w:val="21"/>
          <w:highlight w:val="none"/>
        </w:rPr>
        <w:t>工进度计划</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的编制应当符合国家法律规定和一般工程实践惯例，施工进度计划经发包人批准后实施。</w:t>
      </w:r>
      <w:r>
        <w:rPr>
          <w:rFonts w:ascii="宋体" w:hAnsi="宋体" w:eastAsia="宋体" w:cs="宋体"/>
          <w:color w:val="auto"/>
          <w:spacing w:val="3"/>
          <w:sz w:val="21"/>
          <w:szCs w:val="21"/>
          <w:highlight w:val="none"/>
        </w:rPr>
        <w:t xml:space="preserve"> 施工进度计划是控制工程进度的依据，发包人和监理人有权按照施工进度计划</w:t>
      </w:r>
      <w:r>
        <w:rPr>
          <w:rFonts w:ascii="宋体" w:hAnsi="宋体" w:eastAsia="宋体" w:cs="宋体"/>
          <w:color w:val="auto"/>
          <w:spacing w:val="2"/>
          <w:sz w:val="21"/>
          <w:szCs w:val="21"/>
          <w:highlight w:val="none"/>
        </w:rPr>
        <w:t>检查工程进</w:t>
      </w:r>
    </w:p>
    <w:p w14:paraId="543B8437">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度情况。</w:t>
      </w:r>
    </w:p>
    <w:p w14:paraId="61E7FB26">
      <w:pPr>
        <w:spacing w:before="146"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7.2.2 </w:t>
      </w:r>
      <w:r>
        <w:rPr>
          <w:rFonts w:ascii="宋体" w:hAnsi="宋体" w:eastAsia="宋体" w:cs="宋体"/>
          <w:color w:val="auto"/>
          <w:spacing w:val="-1"/>
          <w:sz w:val="21"/>
          <w:szCs w:val="21"/>
          <w:highlight w:val="none"/>
        </w:rPr>
        <w:t>施工进度计划的修订</w:t>
      </w:r>
    </w:p>
    <w:p w14:paraId="2D5EA4C2">
      <w:pPr>
        <w:spacing w:before="147"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施工进度计划不符合合同要求或与工程的实际进度不一致的，承包人应向监理人提交 </w:t>
      </w:r>
      <w:r>
        <w:rPr>
          <w:rFonts w:ascii="宋体" w:hAnsi="宋体" w:eastAsia="宋体" w:cs="宋体"/>
          <w:color w:val="auto"/>
          <w:sz w:val="21"/>
          <w:szCs w:val="21"/>
          <w:highlight w:val="none"/>
        </w:rPr>
        <w:t>修订的施工进度计划， 并附具有关措施和相关资料，由监理人报送发包人。除专用合同条</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 xml:space="preserve">款另有约定外，发包人和监理人应在收到修订的施工进度计划后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天内完成审核和批准或</w:t>
      </w:r>
    </w:p>
    <w:p w14:paraId="510DE13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提出修改意见。发包人和监理人对承包人提交的施工进度计划的确认， 不能减轻或免除承</w:t>
      </w:r>
    </w:p>
    <w:p w14:paraId="48DBE228">
      <w:pPr>
        <w:spacing w:before="151"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包人根据法律规定和合同约定应承担的任何责任或义务。</w:t>
      </w:r>
    </w:p>
    <w:p w14:paraId="712C0799">
      <w:pPr>
        <w:spacing w:before="47" w:line="222" w:lineRule="auto"/>
        <w:ind w:left="20"/>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7.3</w:t>
      </w:r>
      <w:r>
        <w:rPr>
          <w:rFonts w:ascii="黑体" w:hAnsi="黑体" w:eastAsia="黑体" w:cs="黑体"/>
          <w:color w:val="auto"/>
          <w:spacing w:val="15"/>
          <w:sz w:val="24"/>
          <w:szCs w:val="24"/>
          <w:highlight w:val="none"/>
        </w:rPr>
        <w:t xml:space="preserve"> </w:t>
      </w:r>
      <w:r>
        <w:rPr>
          <w:rFonts w:ascii="黑体" w:hAnsi="黑体" w:eastAsia="黑体" w:cs="黑体"/>
          <w:color w:val="auto"/>
          <w:spacing w:val="-4"/>
          <w:sz w:val="24"/>
          <w:szCs w:val="24"/>
          <w:highlight w:val="none"/>
        </w:rPr>
        <w:t>开工</w:t>
      </w:r>
    </w:p>
    <w:p w14:paraId="0E8FEA05">
      <w:pPr>
        <w:spacing w:before="125" w:line="222"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开工准备</w:t>
      </w:r>
    </w:p>
    <w:p w14:paraId="04F5EAA1">
      <w:pPr>
        <w:spacing w:before="145" w:line="352" w:lineRule="auto"/>
        <w:ind w:left="19" w:right="11" w:firstLine="4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承包人应按照第</w:t>
      </w:r>
      <w:r>
        <w:rPr>
          <w:rFonts w:ascii="宋体" w:hAnsi="宋体" w:eastAsia="宋体" w:cs="宋体"/>
          <w:color w:val="auto"/>
          <w:spacing w:val="-56"/>
          <w:sz w:val="21"/>
          <w:szCs w:val="21"/>
          <w:highlight w:val="none"/>
        </w:rPr>
        <w:t xml:space="preserve"> </w:t>
      </w:r>
      <w:r>
        <w:rPr>
          <w:rFonts w:ascii="Times New Roman" w:hAnsi="Times New Roman" w:eastAsia="Times New Roman" w:cs="Times New Roman"/>
          <w:color w:val="auto"/>
          <w:spacing w:val="-4"/>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款〔施工组织设计〕约定的期限，向</w:t>
      </w:r>
      <w:r>
        <w:rPr>
          <w:rFonts w:ascii="宋体" w:hAnsi="宋体" w:eastAsia="宋体" w:cs="宋体"/>
          <w:color w:val="auto"/>
          <w:sz w:val="21"/>
          <w:szCs w:val="21"/>
          <w:highlight w:val="none"/>
        </w:rPr>
        <w:t xml:space="preserve"> 监理人提交工程开工报审表， 经监理人报发包人批准后执行。开工报审表应详细说明按施</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工进度计划正常施工所需的施工道路、临时设施、材料、工程设备、施工设</w:t>
      </w:r>
      <w:r>
        <w:rPr>
          <w:rFonts w:ascii="宋体" w:hAnsi="宋体" w:eastAsia="宋体" w:cs="宋体"/>
          <w:color w:val="auto"/>
          <w:spacing w:val="2"/>
          <w:sz w:val="21"/>
          <w:szCs w:val="21"/>
          <w:highlight w:val="none"/>
        </w:rPr>
        <w:t>备、施工人员</w:t>
      </w:r>
    </w:p>
    <w:p w14:paraId="190030E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等落实情况以及工程的进度安排。</w:t>
      </w:r>
    </w:p>
    <w:p w14:paraId="691A1CCE">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合同当事人应按约定完成开工准备工作。</w:t>
      </w:r>
    </w:p>
    <w:p w14:paraId="23372E11">
      <w:pPr>
        <w:spacing w:before="152" w:line="222"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7.3.2 </w:t>
      </w:r>
      <w:r>
        <w:rPr>
          <w:rFonts w:ascii="宋体" w:hAnsi="宋体" w:eastAsia="宋体" w:cs="宋体"/>
          <w:color w:val="auto"/>
          <w:spacing w:val="-1"/>
          <w:sz w:val="21"/>
          <w:szCs w:val="21"/>
          <w:highlight w:val="none"/>
        </w:rPr>
        <w:t>开工通知</w:t>
      </w:r>
    </w:p>
    <w:p w14:paraId="5B0AE88B">
      <w:pPr>
        <w:spacing w:before="146"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发包人应按照法律规定获得工程施工所需的许可。经发包人同意后， 监理人发出的开</w:t>
      </w:r>
    </w:p>
    <w:p w14:paraId="7C6B887B">
      <w:pPr>
        <w:spacing w:line="220" w:lineRule="auto"/>
        <w:ind w:right="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工通知应符合法律规定。监理人应在计划开</w:t>
      </w:r>
      <w:r>
        <w:rPr>
          <w:rFonts w:ascii="宋体" w:hAnsi="宋体" w:eastAsia="宋体" w:cs="宋体"/>
          <w:color w:val="auto"/>
          <w:sz w:val="21"/>
          <w:szCs w:val="21"/>
          <w:highlight w:val="none"/>
        </w:rPr>
        <w:t xml:space="preserve">工日期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z w:val="21"/>
          <w:szCs w:val="21"/>
          <w:highlight w:val="none"/>
        </w:rPr>
        <w:t>天前向承包人发出开工通知，工期自</w:t>
      </w:r>
    </w:p>
    <w:p w14:paraId="49CC7086">
      <w:pPr>
        <w:spacing w:line="220" w:lineRule="auto"/>
        <w:rPr>
          <w:rFonts w:ascii="宋体" w:hAnsi="宋体" w:eastAsia="宋体" w:cs="宋体"/>
          <w:color w:val="auto"/>
          <w:sz w:val="21"/>
          <w:szCs w:val="21"/>
          <w:highlight w:val="none"/>
        </w:rPr>
        <w:sectPr>
          <w:footerReference r:id="rId62" w:type="default"/>
          <w:pgSz w:w="11905" w:h="16839"/>
          <w:pgMar w:top="1431" w:right="1785" w:bottom="1004" w:left="1785" w:header="0" w:footer="829" w:gutter="0"/>
          <w:pgNumType w:fmt="decimal"/>
          <w:cols w:space="720" w:num="1"/>
        </w:sectPr>
      </w:pPr>
    </w:p>
    <w:p w14:paraId="3DE9E4FF">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开工通知中载明的开工日期起算。</w:t>
      </w:r>
    </w:p>
    <w:p w14:paraId="6ACE5CD3">
      <w:pPr>
        <w:spacing w:before="147" w:line="403" w:lineRule="exact"/>
        <w:ind w:left="453"/>
        <w:rPr>
          <w:rFonts w:ascii="Times New Roman" w:hAnsi="Times New Roman" w:eastAsia="Times New Roman" w:cs="Times New Roman"/>
          <w:color w:val="auto"/>
          <w:sz w:val="21"/>
          <w:szCs w:val="21"/>
          <w:highlight w:val="none"/>
        </w:rPr>
      </w:pPr>
      <w:r>
        <w:rPr>
          <w:rFonts w:ascii="宋体" w:hAnsi="宋体" w:eastAsia="宋体" w:cs="宋体"/>
          <w:color w:val="auto"/>
          <w:position w:val="14"/>
          <w:sz w:val="21"/>
          <w:szCs w:val="21"/>
          <w:highlight w:val="none"/>
        </w:rPr>
        <w:t xml:space="preserve">除专用合同条款另有约定外，因发包人原因造成监理人未能在计划开工日期之日起 </w:t>
      </w:r>
      <w:r>
        <w:rPr>
          <w:rFonts w:ascii="Times New Roman" w:hAnsi="Times New Roman" w:eastAsia="Times New Roman" w:cs="Times New Roman"/>
          <w:color w:val="auto"/>
          <w:position w:val="14"/>
          <w:sz w:val="21"/>
          <w:szCs w:val="21"/>
          <w:highlight w:val="none"/>
        </w:rPr>
        <w:t>90</w:t>
      </w:r>
    </w:p>
    <w:p w14:paraId="29194900">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天内发出开工通知的， 承包人有权提出价格调整要求，</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或者解除合</w:t>
      </w:r>
      <w:r>
        <w:rPr>
          <w:rFonts w:ascii="宋体" w:hAnsi="宋体" w:eastAsia="宋体" w:cs="宋体"/>
          <w:color w:val="auto"/>
          <w:spacing w:val="-4"/>
          <w:sz w:val="21"/>
          <w:szCs w:val="21"/>
          <w:highlight w:val="none"/>
        </w:rPr>
        <w:t>同。发包人应当承担由</w:t>
      </w:r>
    </w:p>
    <w:p w14:paraId="5938B759">
      <w:pPr>
        <w:spacing w:before="149"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此增加的费用和（或）延误的工期，并向承包人支付合理</w:t>
      </w:r>
      <w:r>
        <w:rPr>
          <w:rFonts w:ascii="宋体" w:hAnsi="宋体" w:eastAsia="宋体" w:cs="宋体"/>
          <w:color w:val="auto"/>
          <w:spacing w:val="-2"/>
          <w:sz w:val="21"/>
          <w:szCs w:val="21"/>
          <w:highlight w:val="none"/>
        </w:rPr>
        <w:t>利润。</w:t>
      </w:r>
    </w:p>
    <w:p w14:paraId="72E68327">
      <w:pPr>
        <w:spacing w:before="45" w:line="217" w:lineRule="auto"/>
        <w:ind w:left="2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7.4</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测量放线</w:t>
      </w:r>
    </w:p>
    <w:p w14:paraId="7A4F87E3">
      <w:pPr>
        <w:spacing w:before="131" w:line="352" w:lineRule="auto"/>
        <w:ind w:left="21"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7.4.1 </w:t>
      </w:r>
      <w:r>
        <w:rPr>
          <w:rFonts w:ascii="宋体" w:hAnsi="宋体" w:eastAsia="宋体" w:cs="宋体"/>
          <w:color w:val="auto"/>
          <w:spacing w:val="-1"/>
          <w:sz w:val="21"/>
          <w:szCs w:val="21"/>
          <w:highlight w:val="none"/>
        </w:rPr>
        <w:t>除专用合同条款另有约定外，发包人应在至迟不得晚于第</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7.3.2 </w:t>
      </w:r>
      <w:r>
        <w:rPr>
          <w:rFonts w:ascii="宋体" w:hAnsi="宋体" w:eastAsia="宋体" w:cs="宋体"/>
          <w:color w:val="auto"/>
          <w:spacing w:val="-1"/>
          <w:sz w:val="21"/>
          <w:szCs w:val="21"/>
          <w:highlight w:val="none"/>
        </w:rPr>
        <w:t>项</w:t>
      </w:r>
      <w:r>
        <w:rPr>
          <w:rFonts w:ascii="宋体" w:hAnsi="宋体" w:eastAsia="宋体" w:cs="宋体"/>
          <w:color w:val="auto"/>
          <w:spacing w:val="-2"/>
          <w:sz w:val="21"/>
          <w:szCs w:val="21"/>
          <w:highlight w:val="none"/>
        </w:rPr>
        <w:t xml:space="preserve">〔开工通知〕载  </w:t>
      </w:r>
      <w:r>
        <w:rPr>
          <w:rFonts w:ascii="宋体" w:hAnsi="宋体" w:eastAsia="宋体" w:cs="宋体"/>
          <w:color w:val="auto"/>
          <w:sz w:val="21"/>
          <w:szCs w:val="21"/>
          <w:highlight w:val="none"/>
        </w:rPr>
        <w:t xml:space="preserve">明的开工日期前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天通过监理人向承</w:t>
      </w:r>
      <w:r>
        <w:rPr>
          <w:rFonts w:ascii="宋体" w:hAnsi="宋体" w:eastAsia="宋体" w:cs="宋体"/>
          <w:color w:val="auto"/>
          <w:spacing w:val="-1"/>
          <w:sz w:val="21"/>
          <w:szCs w:val="21"/>
          <w:highlight w:val="none"/>
        </w:rPr>
        <w:t>包人提供测量基准点、基准线和水准点及其书面资料。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发包人应对其提供的测量基准点、基准线和水准点及其书面资料的真</w:t>
      </w:r>
      <w:r>
        <w:rPr>
          <w:rFonts w:ascii="宋体" w:hAnsi="宋体" w:eastAsia="宋体" w:cs="宋体"/>
          <w:color w:val="auto"/>
          <w:spacing w:val="2"/>
          <w:sz w:val="21"/>
          <w:szCs w:val="21"/>
          <w:highlight w:val="none"/>
        </w:rPr>
        <w:t>实性、准确性和完整</w:t>
      </w:r>
    </w:p>
    <w:p w14:paraId="28BA74B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性负责。</w:t>
      </w:r>
    </w:p>
    <w:p w14:paraId="116EB29D">
      <w:pPr>
        <w:spacing w:before="153" w:line="350" w:lineRule="auto"/>
        <w:ind w:left="35" w:right="178"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承包人发现发包人提供的测量基准点、基准线和水准点及其书面资料存在错误或疏漏 </w:t>
      </w:r>
      <w:r>
        <w:rPr>
          <w:rFonts w:ascii="宋体" w:hAnsi="宋体" w:eastAsia="宋体" w:cs="宋体"/>
          <w:color w:val="auto"/>
          <w:spacing w:val="2"/>
          <w:sz w:val="21"/>
          <w:szCs w:val="21"/>
          <w:highlight w:val="none"/>
        </w:rPr>
        <w:t>的，应及时通知监理人。监理人应及时报告发包人，并会同发包人和承包人予以核实。发</w:t>
      </w:r>
    </w:p>
    <w:p w14:paraId="3752F73C">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包人应就如何处理和是否继续施工作出决定，并通知监理人和承包人。</w:t>
      </w:r>
    </w:p>
    <w:p w14:paraId="07DACF23">
      <w:pPr>
        <w:spacing w:before="154" w:line="350" w:lineRule="auto"/>
        <w:ind w:left="19" w:right="183" w:firstLine="42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7.4.2</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z w:val="21"/>
          <w:szCs w:val="21"/>
          <w:highlight w:val="none"/>
        </w:rPr>
        <w:t>承包人负责施工过程中的全部施工测量放线工作，并配置具有相应资质</w:t>
      </w:r>
      <w:r>
        <w:rPr>
          <w:rFonts w:ascii="宋体" w:hAnsi="宋体" w:eastAsia="宋体" w:cs="宋体"/>
          <w:color w:val="auto"/>
          <w:spacing w:val="-1"/>
          <w:sz w:val="21"/>
          <w:szCs w:val="21"/>
          <w:highlight w:val="none"/>
        </w:rPr>
        <w:t>的人员、</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合格的仪器、设备和其他物品。承包人应矫正工程的位置、标高、尺寸或准</w:t>
      </w:r>
      <w:r>
        <w:rPr>
          <w:rFonts w:ascii="宋体" w:hAnsi="宋体" w:eastAsia="宋体" w:cs="宋体"/>
          <w:color w:val="auto"/>
          <w:spacing w:val="2"/>
          <w:sz w:val="21"/>
          <w:szCs w:val="21"/>
          <w:highlight w:val="none"/>
        </w:rPr>
        <w:t>线中出现的任</w:t>
      </w:r>
    </w:p>
    <w:p w14:paraId="12C21346">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何差错，并对工程各部分的定位负责。</w:t>
      </w:r>
    </w:p>
    <w:p w14:paraId="5D26271D">
      <w:pPr>
        <w:spacing w:before="152"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施工过程中对施工现场内水准点等测量标志物的保护工作由承包人负责。</w:t>
      </w:r>
    </w:p>
    <w:p w14:paraId="7EF54A11">
      <w:pPr>
        <w:spacing w:before="46"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7.5 工期延误</w:t>
      </w:r>
    </w:p>
    <w:p w14:paraId="7BD3349F">
      <w:pPr>
        <w:spacing w:before="130"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7.5.1</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2"/>
          <w:sz w:val="21"/>
          <w:szCs w:val="21"/>
          <w:highlight w:val="none"/>
        </w:rPr>
        <w:t>因发包人原因导致工期延误</w:t>
      </w:r>
    </w:p>
    <w:p w14:paraId="6EDDE4E7">
      <w:pPr>
        <w:spacing w:before="146" w:line="221"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在合同履行过程中，因下列情况导致工期延误和</w:t>
      </w:r>
      <w:r>
        <w:rPr>
          <w:rFonts w:ascii="宋体" w:hAnsi="宋体" w:eastAsia="宋体" w:cs="宋体"/>
          <w:color w:val="auto"/>
          <w:spacing w:val="-3"/>
          <w:sz w:val="21"/>
          <w:szCs w:val="21"/>
          <w:highlight w:val="none"/>
        </w:rPr>
        <w:t>（或） 费用增加的， 由发包人承担由</w:t>
      </w:r>
    </w:p>
    <w:p w14:paraId="10565F86">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此延误的工期和（或）增加的费用，且发包人应</w:t>
      </w:r>
      <w:r>
        <w:rPr>
          <w:rFonts w:ascii="宋体" w:hAnsi="宋体" w:eastAsia="宋体" w:cs="宋体"/>
          <w:color w:val="auto"/>
          <w:spacing w:val="-2"/>
          <w:sz w:val="21"/>
          <w:szCs w:val="21"/>
          <w:highlight w:val="none"/>
        </w:rPr>
        <w:t>支付承包人合理的利润：</w:t>
      </w:r>
    </w:p>
    <w:p w14:paraId="01C4E301">
      <w:pPr>
        <w:spacing w:before="152"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）发包人未能按合同约定提供图纸或所提供图纸不符合合同约定的；</w:t>
      </w:r>
    </w:p>
    <w:p w14:paraId="2263F171">
      <w:pPr>
        <w:spacing w:before="149"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）发包人未能按合同约定提供施工现场、施工条件、基础资料、许可、</w:t>
      </w:r>
      <w:r>
        <w:rPr>
          <w:rFonts w:ascii="宋体" w:hAnsi="宋体" w:eastAsia="宋体" w:cs="宋体"/>
          <w:color w:val="auto"/>
          <w:spacing w:val="-1"/>
          <w:sz w:val="21"/>
          <w:szCs w:val="21"/>
          <w:highlight w:val="none"/>
        </w:rPr>
        <w:t>批准等开工</w:t>
      </w:r>
    </w:p>
    <w:p w14:paraId="618D380D">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条件的；</w:t>
      </w:r>
    </w:p>
    <w:p w14:paraId="10A6B144">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）发包人提供的测量基准点、基准线和水准点及其书</w:t>
      </w:r>
      <w:r>
        <w:rPr>
          <w:rFonts w:ascii="宋体" w:hAnsi="宋体" w:eastAsia="宋体" w:cs="宋体"/>
          <w:color w:val="auto"/>
          <w:spacing w:val="-1"/>
          <w:position w:val="14"/>
          <w:sz w:val="21"/>
          <w:szCs w:val="21"/>
          <w:highlight w:val="none"/>
        </w:rPr>
        <w:t>面资料存在错误或疏漏的；</w:t>
      </w:r>
    </w:p>
    <w:p w14:paraId="017B1A1A">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）发包人未能在计划开工日期之日起</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天内同意下达开工通知的；</w:t>
      </w:r>
    </w:p>
    <w:p w14:paraId="52CFAA2B">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5</w:t>
      </w:r>
      <w:r>
        <w:rPr>
          <w:rFonts w:ascii="宋体" w:hAnsi="宋体" w:eastAsia="宋体" w:cs="宋体"/>
          <w:color w:val="auto"/>
          <w:spacing w:val="-1"/>
          <w:position w:val="14"/>
          <w:sz w:val="21"/>
          <w:szCs w:val="21"/>
          <w:highlight w:val="none"/>
        </w:rPr>
        <w:t>）发包人未能按合同约定日期支付工程预付款、进度款或竣工结</w:t>
      </w:r>
      <w:r>
        <w:rPr>
          <w:rFonts w:ascii="宋体" w:hAnsi="宋体" w:eastAsia="宋体" w:cs="宋体"/>
          <w:color w:val="auto"/>
          <w:spacing w:val="-2"/>
          <w:position w:val="14"/>
          <w:sz w:val="21"/>
          <w:szCs w:val="21"/>
          <w:highlight w:val="none"/>
        </w:rPr>
        <w:t>算款的；</w:t>
      </w:r>
    </w:p>
    <w:p w14:paraId="39F593EF">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）监理人未按合同约定发出指示、批准等文件的；</w:t>
      </w:r>
    </w:p>
    <w:p w14:paraId="204534C0">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）专用合同条款中约定的其他情形。</w:t>
      </w:r>
    </w:p>
    <w:p w14:paraId="27DA3186">
      <w:pPr>
        <w:spacing w:before="146" w:line="353" w:lineRule="auto"/>
        <w:ind w:left="19" w:right="178"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因发包人原因未按计划开工日期开工的， 发包人应按实际开工日期</w:t>
      </w:r>
      <w:r>
        <w:rPr>
          <w:rFonts w:ascii="宋体" w:hAnsi="宋体" w:eastAsia="宋体" w:cs="宋体"/>
          <w:color w:val="auto"/>
          <w:spacing w:val="-1"/>
          <w:sz w:val="21"/>
          <w:szCs w:val="21"/>
          <w:highlight w:val="none"/>
        </w:rPr>
        <w:t>顺延竣工日期，确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保实际工期不低于合同约定的工期总日历天数。因发包人原因导致工期延误</w:t>
      </w:r>
      <w:r>
        <w:rPr>
          <w:rFonts w:ascii="宋体" w:hAnsi="宋体" w:eastAsia="宋体" w:cs="宋体"/>
          <w:color w:val="auto"/>
          <w:spacing w:val="2"/>
          <w:sz w:val="21"/>
          <w:szCs w:val="21"/>
          <w:highlight w:val="none"/>
        </w:rPr>
        <w:t>需要修订施工</w:t>
      </w:r>
    </w:p>
    <w:p w14:paraId="2D9C4AA1">
      <w:pPr>
        <w:spacing w:before="1" w:line="220"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进度计划的，按照第</w:t>
      </w:r>
      <w:r>
        <w:rPr>
          <w:rFonts w:ascii="宋体" w:hAnsi="宋体" w:eastAsia="宋体" w:cs="宋体"/>
          <w:color w:val="auto"/>
          <w:spacing w:val="-2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7.2.2 </w:t>
      </w:r>
      <w:r>
        <w:rPr>
          <w:rFonts w:ascii="宋体" w:hAnsi="宋体" w:eastAsia="宋体" w:cs="宋体"/>
          <w:color w:val="auto"/>
          <w:spacing w:val="-2"/>
          <w:sz w:val="21"/>
          <w:szCs w:val="21"/>
          <w:highlight w:val="none"/>
        </w:rPr>
        <w:t>项〔施工进度计划的修订〕执行。</w:t>
      </w:r>
    </w:p>
    <w:p w14:paraId="2705250A">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7.5.2</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2"/>
          <w:sz w:val="21"/>
          <w:szCs w:val="21"/>
          <w:highlight w:val="none"/>
        </w:rPr>
        <w:t>因承包人原因导致工期延误</w:t>
      </w:r>
    </w:p>
    <w:p w14:paraId="19939308">
      <w:pPr>
        <w:spacing w:before="153" w:line="350" w:lineRule="auto"/>
        <w:ind w:left="19" w:right="178"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因承包人原因造成工期延误的， 可以在专用合同条款中约定逾期竣</w:t>
      </w:r>
      <w:r>
        <w:rPr>
          <w:rFonts w:ascii="宋体" w:hAnsi="宋体" w:eastAsia="宋体" w:cs="宋体"/>
          <w:color w:val="auto"/>
          <w:spacing w:val="-1"/>
          <w:sz w:val="21"/>
          <w:szCs w:val="21"/>
          <w:highlight w:val="none"/>
        </w:rPr>
        <w:t>工违约金的计算方</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法和逾期竣工违约金的上限。承包人支付逾期竣工违约金后，不免除承包人</w:t>
      </w:r>
      <w:r>
        <w:rPr>
          <w:rFonts w:ascii="宋体" w:hAnsi="宋体" w:eastAsia="宋体" w:cs="宋体"/>
          <w:color w:val="auto"/>
          <w:spacing w:val="2"/>
          <w:sz w:val="21"/>
          <w:szCs w:val="21"/>
          <w:highlight w:val="none"/>
        </w:rPr>
        <w:t>继续完成工程</w:t>
      </w:r>
    </w:p>
    <w:p w14:paraId="1E91A4E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及修补缺陷的义务。</w:t>
      </w:r>
    </w:p>
    <w:p w14:paraId="382BE771">
      <w:pPr>
        <w:spacing w:line="220" w:lineRule="auto"/>
        <w:rPr>
          <w:rFonts w:ascii="宋体" w:hAnsi="宋体" w:eastAsia="宋体" w:cs="宋体"/>
          <w:color w:val="auto"/>
          <w:sz w:val="21"/>
          <w:szCs w:val="21"/>
          <w:highlight w:val="none"/>
        </w:rPr>
        <w:sectPr>
          <w:footerReference r:id="rId63" w:type="default"/>
          <w:pgSz w:w="11905" w:h="16839"/>
          <w:pgMar w:top="1431" w:right="1613" w:bottom="1004" w:left="1785" w:header="0" w:footer="828" w:gutter="0"/>
          <w:pgNumType w:fmt="decimal"/>
          <w:cols w:space="720" w:num="1"/>
        </w:sectPr>
      </w:pPr>
    </w:p>
    <w:p w14:paraId="4233CCD2">
      <w:pPr>
        <w:spacing w:before="47"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7.6 不利物质条件</w:t>
      </w:r>
    </w:p>
    <w:p w14:paraId="1E60000A">
      <w:pPr>
        <w:spacing w:before="128" w:line="353" w:lineRule="auto"/>
        <w:ind w:left="19" w:right="180"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不利物质条件是指有经验的承包人在施工现场遇到的不可预见的自然物质条件、非自</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然的物质障碍和污染物，包括地表以下物质条件和水文条件以及专用合同条</w:t>
      </w:r>
      <w:r>
        <w:rPr>
          <w:rFonts w:ascii="宋体" w:hAnsi="宋体" w:eastAsia="宋体" w:cs="宋体"/>
          <w:color w:val="auto"/>
          <w:spacing w:val="2"/>
          <w:sz w:val="21"/>
          <w:szCs w:val="21"/>
          <w:highlight w:val="none"/>
        </w:rPr>
        <w:t>款约定的其他</w:t>
      </w:r>
    </w:p>
    <w:p w14:paraId="1FE7B68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情形，但不包括气候条件。</w:t>
      </w:r>
    </w:p>
    <w:p w14:paraId="4F3C155D">
      <w:pPr>
        <w:spacing w:before="147"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承包人遇到不利物质条件时，应采取克服不利物质条件的合理措施继续施工，并及时</w:t>
      </w:r>
    </w:p>
    <w:p w14:paraId="7995F10F">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通知发包人和监理人。通知应载明不利物质条件的内容以及承包</w:t>
      </w:r>
      <w:r>
        <w:rPr>
          <w:rFonts w:ascii="宋体" w:hAnsi="宋体" w:eastAsia="宋体" w:cs="宋体"/>
          <w:color w:val="auto"/>
          <w:spacing w:val="2"/>
          <w:sz w:val="21"/>
          <w:szCs w:val="21"/>
          <w:highlight w:val="none"/>
        </w:rPr>
        <w:t>人认为不可预见的理由。</w:t>
      </w:r>
    </w:p>
    <w:p w14:paraId="7851A950">
      <w:pPr>
        <w:spacing w:before="151" w:line="221"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监理人经发包人同意后应当及时发出指示，指示构成变更的，按第 </w:t>
      </w:r>
      <w:r>
        <w:rPr>
          <w:rFonts w:ascii="Times New Roman" w:hAnsi="Times New Roman" w:eastAsia="Times New Roman" w:cs="Times New Roman"/>
          <w:color w:val="auto"/>
          <w:spacing w:val="-2"/>
          <w:sz w:val="21"/>
          <w:szCs w:val="21"/>
          <w:highlight w:val="none"/>
        </w:rPr>
        <w:t xml:space="preserve">10 </w:t>
      </w:r>
      <w:r>
        <w:rPr>
          <w:rFonts w:ascii="宋体" w:hAnsi="宋体" w:eastAsia="宋体" w:cs="宋体"/>
          <w:color w:val="auto"/>
          <w:spacing w:val="-2"/>
          <w:sz w:val="21"/>
          <w:szCs w:val="21"/>
          <w:highlight w:val="none"/>
        </w:rPr>
        <w:t>条〔变更〕约定执行。</w:t>
      </w:r>
    </w:p>
    <w:p w14:paraId="5510B73D">
      <w:pPr>
        <w:spacing w:before="148"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承包人因采取合理措施而增加的费用和（或）延误的工期由发包人承担。</w:t>
      </w:r>
    </w:p>
    <w:p w14:paraId="4957FBC1">
      <w:pPr>
        <w:spacing w:before="47" w:line="218"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7.7 异常恶劣的气候条件</w:t>
      </w:r>
    </w:p>
    <w:p w14:paraId="148CAAC3">
      <w:pPr>
        <w:spacing w:before="131" w:line="352" w:lineRule="auto"/>
        <w:ind w:left="21" w:right="180"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异常恶劣的气候条件是指在施工过程中遇到的， 有经验的承包人在签订合同时不可预</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见的， 对合同履行造成实质性影响的，但尚未构成不可抗力事件的恶劣气候条件。合同当</w:t>
      </w:r>
    </w:p>
    <w:p w14:paraId="44BFDA5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事人可以在专用合同条款中约定异常恶劣的气候条件的</w:t>
      </w:r>
      <w:r>
        <w:rPr>
          <w:rFonts w:ascii="宋体" w:hAnsi="宋体" w:eastAsia="宋体" w:cs="宋体"/>
          <w:color w:val="auto"/>
          <w:spacing w:val="-1"/>
          <w:sz w:val="21"/>
          <w:szCs w:val="21"/>
          <w:highlight w:val="none"/>
        </w:rPr>
        <w:t>具体情形。</w:t>
      </w:r>
    </w:p>
    <w:p w14:paraId="54C2E081">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承包人应采取克服异常恶劣的气候条件的合理措施继续施工，并及时通知发包人和监</w:t>
      </w:r>
    </w:p>
    <w:p w14:paraId="2A61CB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理人。监理人经发包人同意后应当及时发出指示，指示构成变更的，按第 </w:t>
      </w:r>
      <w:r>
        <w:rPr>
          <w:rFonts w:ascii="Times New Roman" w:hAnsi="Times New Roman" w:eastAsia="Times New Roman" w:cs="Times New Roman"/>
          <w:color w:val="auto"/>
          <w:spacing w:val="-1"/>
          <w:sz w:val="21"/>
          <w:szCs w:val="21"/>
          <w:highlight w:val="none"/>
        </w:rPr>
        <w:t xml:space="preserve">10 </w:t>
      </w:r>
      <w:r>
        <w:rPr>
          <w:rFonts w:ascii="宋体" w:hAnsi="宋体" w:eastAsia="宋体" w:cs="宋体"/>
          <w:color w:val="auto"/>
          <w:spacing w:val="-1"/>
          <w:sz w:val="21"/>
          <w:szCs w:val="21"/>
          <w:highlight w:val="none"/>
        </w:rPr>
        <w:t>条〔变更〕约</w:t>
      </w:r>
    </w:p>
    <w:p w14:paraId="6808F0D8">
      <w:pPr>
        <w:spacing w:before="152"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定办理。承包人因采取合理措施而增加的费用和（或）延误的工期由发包人承担。</w:t>
      </w:r>
    </w:p>
    <w:p w14:paraId="153B74D6">
      <w:pPr>
        <w:spacing w:before="47" w:line="220" w:lineRule="auto"/>
        <w:ind w:left="20"/>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7.8</w:t>
      </w:r>
      <w:r>
        <w:rPr>
          <w:rFonts w:ascii="黑体" w:hAnsi="黑体" w:eastAsia="黑体" w:cs="黑体"/>
          <w:color w:val="auto"/>
          <w:spacing w:val="21"/>
          <w:sz w:val="24"/>
          <w:szCs w:val="24"/>
          <w:highlight w:val="none"/>
        </w:rPr>
        <w:t xml:space="preserve"> </w:t>
      </w:r>
      <w:r>
        <w:rPr>
          <w:rFonts w:ascii="黑体" w:hAnsi="黑体" w:eastAsia="黑体" w:cs="黑体"/>
          <w:color w:val="auto"/>
          <w:spacing w:val="-4"/>
          <w:sz w:val="24"/>
          <w:szCs w:val="24"/>
          <w:highlight w:val="none"/>
        </w:rPr>
        <w:t>暂停施工</w:t>
      </w:r>
    </w:p>
    <w:p w14:paraId="5D4F9B0C">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7.8.1 </w:t>
      </w:r>
      <w:r>
        <w:rPr>
          <w:rFonts w:ascii="宋体" w:hAnsi="宋体" w:eastAsia="宋体" w:cs="宋体"/>
          <w:color w:val="auto"/>
          <w:spacing w:val="-1"/>
          <w:sz w:val="21"/>
          <w:szCs w:val="21"/>
          <w:highlight w:val="none"/>
        </w:rPr>
        <w:t>发包人原因引起的暂停施工</w:t>
      </w:r>
    </w:p>
    <w:p w14:paraId="76547EA9">
      <w:pPr>
        <w:spacing w:before="147" w:line="352" w:lineRule="auto"/>
        <w:ind w:left="19" w:right="211" w:firstLine="4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因发包人原因引起暂停施工的， 监理人经发包人同意后，应及时下达暂停施工指示。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 xml:space="preserve">情况紧急且监理人未及时下达暂停施工指示的， </w:t>
      </w:r>
      <w:r>
        <w:rPr>
          <w:rFonts w:ascii="宋体" w:hAnsi="宋体" w:eastAsia="宋体" w:cs="宋体"/>
          <w:color w:val="auto"/>
          <w:spacing w:val="-4"/>
          <w:sz w:val="21"/>
          <w:szCs w:val="21"/>
          <w:highlight w:val="none"/>
        </w:rPr>
        <w:t>按照第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7.8.4 </w:t>
      </w:r>
      <w:r>
        <w:rPr>
          <w:rFonts w:ascii="宋体" w:hAnsi="宋体" w:eastAsia="宋体" w:cs="宋体"/>
          <w:color w:val="auto"/>
          <w:spacing w:val="-4"/>
          <w:sz w:val="21"/>
          <w:szCs w:val="21"/>
          <w:highlight w:val="none"/>
        </w:rPr>
        <w:t>项〔紧急情况下的暂停施工〕</w:t>
      </w:r>
    </w:p>
    <w:p w14:paraId="4BF04590">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执行。</w:t>
      </w:r>
    </w:p>
    <w:p w14:paraId="137ED106">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因发包人原因引起的暂停施工， 发包人应承担由此增</w:t>
      </w:r>
      <w:r>
        <w:rPr>
          <w:rFonts w:ascii="宋体" w:hAnsi="宋体" w:eastAsia="宋体" w:cs="宋体"/>
          <w:color w:val="auto"/>
          <w:spacing w:val="-1"/>
          <w:position w:val="14"/>
          <w:sz w:val="21"/>
          <w:szCs w:val="21"/>
          <w:highlight w:val="none"/>
        </w:rPr>
        <w:t>加的费用和（或）延误的工期，</w:t>
      </w:r>
    </w:p>
    <w:p w14:paraId="111082B8">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并支付承包人合理的利润。</w:t>
      </w:r>
    </w:p>
    <w:p w14:paraId="73CB7F70">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7.8.2 </w:t>
      </w:r>
      <w:r>
        <w:rPr>
          <w:rFonts w:ascii="宋体" w:hAnsi="宋体" w:eastAsia="宋体" w:cs="宋体"/>
          <w:color w:val="auto"/>
          <w:spacing w:val="-1"/>
          <w:sz w:val="21"/>
          <w:szCs w:val="21"/>
          <w:highlight w:val="none"/>
        </w:rPr>
        <w:t>承包人原因引起的暂停施工</w:t>
      </w:r>
    </w:p>
    <w:p w14:paraId="0353C1C7">
      <w:pPr>
        <w:spacing w:before="148" w:line="352" w:lineRule="auto"/>
        <w:ind w:left="18" w:right="180" w:firstLine="439"/>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因承包人原因引起的暂停施工， 承包人应承担由此增</w:t>
      </w:r>
      <w:r>
        <w:rPr>
          <w:rFonts w:ascii="宋体" w:hAnsi="宋体" w:eastAsia="宋体" w:cs="宋体"/>
          <w:color w:val="auto"/>
          <w:spacing w:val="-1"/>
          <w:sz w:val="21"/>
          <w:szCs w:val="21"/>
          <w:highlight w:val="none"/>
        </w:rPr>
        <w:t>加的费用和（或）延误的工期，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且承包人在收到监理人复工指示后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84 </w:t>
      </w:r>
      <w:r>
        <w:rPr>
          <w:rFonts w:ascii="宋体" w:hAnsi="宋体" w:eastAsia="宋体" w:cs="宋体"/>
          <w:color w:val="auto"/>
          <w:spacing w:val="-1"/>
          <w:sz w:val="21"/>
          <w:szCs w:val="21"/>
          <w:highlight w:val="none"/>
        </w:rPr>
        <w:t>天内仍未复工的，视</w:t>
      </w:r>
      <w:r>
        <w:rPr>
          <w:rFonts w:ascii="宋体" w:hAnsi="宋体" w:eastAsia="宋体" w:cs="宋体"/>
          <w:color w:val="auto"/>
          <w:spacing w:val="-2"/>
          <w:sz w:val="21"/>
          <w:szCs w:val="21"/>
          <w:highlight w:val="none"/>
        </w:rPr>
        <w:t xml:space="preserve">为第 </w:t>
      </w: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项〔承包人违约的情</w:t>
      </w:r>
    </w:p>
    <w:p w14:paraId="242BDC6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形〕第（</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目约定的承包人无法继续履行合同的情形。</w:t>
      </w:r>
    </w:p>
    <w:p w14:paraId="79325084">
      <w:pPr>
        <w:spacing w:before="14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7.8.3 </w:t>
      </w:r>
      <w:r>
        <w:rPr>
          <w:rFonts w:ascii="宋体" w:hAnsi="宋体" w:eastAsia="宋体" w:cs="宋体"/>
          <w:color w:val="auto"/>
          <w:spacing w:val="-1"/>
          <w:sz w:val="21"/>
          <w:szCs w:val="21"/>
          <w:highlight w:val="none"/>
        </w:rPr>
        <w:t>指示暂停施工</w:t>
      </w:r>
    </w:p>
    <w:p w14:paraId="42D3ED3D">
      <w:pPr>
        <w:spacing w:before="152"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监理人认为有必要时， 并经发包人批准后，可向承包人作出暂停施工的指示，承包人</w:t>
      </w:r>
    </w:p>
    <w:p w14:paraId="5500FD8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应按监理人指示暂停施工。</w:t>
      </w:r>
    </w:p>
    <w:p w14:paraId="1BCE282D">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7.8.4</w:t>
      </w:r>
      <w:r>
        <w:rPr>
          <w:rFonts w:ascii="Times New Roman" w:hAnsi="Times New Roman" w:eastAsia="Times New Roman" w:cs="Times New Roman"/>
          <w:color w:val="auto"/>
          <w:spacing w:val="26"/>
          <w:w w:val="101"/>
          <w:sz w:val="21"/>
          <w:szCs w:val="21"/>
          <w:highlight w:val="none"/>
        </w:rPr>
        <w:t xml:space="preserve"> </w:t>
      </w:r>
      <w:r>
        <w:rPr>
          <w:rFonts w:ascii="宋体" w:hAnsi="宋体" w:eastAsia="宋体" w:cs="宋体"/>
          <w:color w:val="auto"/>
          <w:spacing w:val="-2"/>
          <w:sz w:val="21"/>
          <w:szCs w:val="21"/>
          <w:highlight w:val="none"/>
        </w:rPr>
        <w:t>紧急情况下的暂停施工</w:t>
      </w:r>
    </w:p>
    <w:p w14:paraId="57C43DB4">
      <w:pPr>
        <w:spacing w:before="151" w:line="352" w:lineRule="auto"/>
        <w:ind w:left="23" w:right="17" w:firstLine="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因紧急情况需暂停施工，且监理人未及时下达暂停施工</w:t>
      </w:r>
      <w:r>
        <w:rPr>
          <w:rFonts w:ascii="宋体" w:hAnsi="宋体" w:eastAsia="宋体" w:cs="宋体"/>
          <w:color w:val="auto"/>
          <w:spacing w:val="-2"/>
          <w:sz w:val="21"/>
          <w:szCs w:val="21"/>
          <w:highlight w:val="none"/>
        </w:rPr>
        <w:t>指示的， 承包人可先暂停施工，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并及时通知监理人。监理人应在接到通知后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小时内发出指示</w:t>
      </w:r>
      <w:r>
        <w:rPr>
          <w:rFonts w:ascii="宋体" w:hAnsi="宋体" w:eastAsia="宋体" w:cs="宋体"/>
          <w:color w:val="auto"/>
          <w:spacing w:val="-2"/>
          <w:sz w:val="21"/>
          <w:szCs w:val="21"/>
          <w:highlight w:val="none"/>
        </w:rPr>
        <w:t xml:space="preserve">，逾期未发出指示，视为同  </w:t>
      </w:r>
      <w:r>
        <w:rPr>
          <w:rFonts w:ascii="宋体" w:hAnsi="宋体" w:eastAsia="宋体" w:cs="宋体"/>
          <w:color w:val="auto"/>
          <w:sz w:val="21"/>
          <w:szCs w:val="21"/>
          <w:highlight w:val="none"/>
        </w:rPr>
        <w:t>意承包人暂停施工。监理人不同意承包人暂停施工的， 应说明理由，承包人对监理人的答</w:t>
      </w:r>
    </w:p>
    <w:p w14:paraId="44FBC7CC">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复有异议， 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6"/>
          <w:sz w:val="21"/>
          <w:szCs w:val="21"/>
          <w:highlight w:val="none"/>
        </w:rPr>
        <w:t xml:space="preserve">20 </w:t>
      </w:r>
      <w:r>
        <w:rPr>
          <w:rFonts w:ascii="宋体" w:hAnsi="宋体" w:eastAsia="宋体" w:cs="宋体"/>
          <w:color w:val="auto"/>
          <w:spacing w:val="-6"/>
          <w:sz w:val="21"/>
          <w:szCs w:val="21"/>
          <w:highlight w:val="none"/>
        </w:rPr>
        <w:t>条〔争议解决〕约定处理。</w:t>
      </w:r>
    </w:p>
    <w:p w14:paraId="72CA90BB">
      <w:pPr>
        <w:spacing w:before="14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7.8.5</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2"/>
          <w:sz w:val="21"/>
          <w:szCs w:val="21"/>
          <w:highlight w:val="none"/>
        </w:rPr>
        <w:t>暂停施工后的复工</w:t>
      </w:r>
    </w:p>
    <w:p w14:paraId="6A2831D1">
      <w:pPr>
        <w:spacing w:line="221" w:lineRule="auto"/>
        <w:rPr>
          <w:rFonts w:ascii="宋体" w:hAnsi="宋体" w:eastAsia="宋体" w:cs="宋体"/>
          <w:color w:val="auto"/>
          <w:sz w:val="21"/>
          <w:szCs w:val="21"/>
          <w:highlight w:val="none"/>
        </w:rPr>
        <w:sectPr>
          <w:footerReference r:id="rId64" w:type="default"/>
          <w:pgSz w:w="11905" w:h="16839"/>
          <w:pgMar w:top="1431" w:right="1611" w:bottom="1004" w:left="1785" w:header="0" w:footer="829" w:gutter="0"/>
          <w:pgNumType w:fmt="decimal"/>
          <w:cols w:space="720" w:num="1"/>
        </w:sectPr>
      </w:pPr>
    </w:p>
    <w:p w14:paraId="3BD8F7BC">
      <w:pPr>
        <w:spacing w:before="148" w:line="352" w:lineRule="auto"/>
        <w:ind w:left="17" w:right="161" w:firstLine="4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暂停施工后，发包人和承包人应采取有效措施积极消除暂停施工的影响。在</w:t>
      </w:r>
      <w:r>
        <w:rPr>
          <w:rFonts w:ascii="宋体" w:hAnsi="宋体" w:eastAsia="宋体" w:cs="宋体"/>
          <w:color w:val="auto"/>
          <w:spacing w:val="2"/>
          <w:sz w:val="21"/>
          <w:szCs w:val="21"/>
          <w:highlight w:val="none"/>
        </w:rPr>
        <w:t>工程复工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前，监理人会同发包人和承包人确定因暂停施工造成的损失，并确定工程复工</w:t>
      </w:r>
      <w:r>
        <w:rPr>
          <w:rFonts w:ascii="宋体" w:hAnsi="宋体" w:eastAsia="宋体" w:cs="宋体"/>
          <w:color w:val="auto"/>
          <w:spacing w:val="2"/>
          <w:sz w:val="21"/>
          <w:szCs w:val="21"/>
          <w:highlight w:val="none"/>
        </w:rPr>
        <w:t>条件。当工</w:t>
      </w:r>
      <w:r>
        <w:rPr>
          <w:rFonts w:ascii="宋体" w:hAnsi="宋体" w:eastAsia="宋体" w:cs="宋体"/>
          <w:color w:val="auto"/>
          <w:sz w:val="21"/>
          <w:szCs w:val="21"/>
          <w:highlight w:val="none"/>
        </w:rPr>
        <w:t xml:space="preserve"> 程具备复工条件时，监理人应经发包人批准后向承包人发出复工通知， 承包人应按照复工</w:t>
      </w:r>
    </w:p>
    <w:p w14:paraId="21ECD5CF">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通知要求复工。</w:t>
      </w:r>
    </w:p>
    <w:p w14:paraId="7B316014">
      <w:pPr>
        <w:spacing w:before="146" w:line="403" w:lineRule="exact"/>
        <w:ind w:left="44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承包人无故拖延和拒绝复工的， 承包人承担由此增加的费用和（或） 延误的工期；因</w:t>
      </w:r>
    </w:p>
    <w:p w14:paraId="248F50EB">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发包人原因无法按时复工的， 按照第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3"/>
          <w:sz w:val="21"/>
          <w:szCs w:val="21"/>
          <w:highlight w:val="none"/>
        </w:rPr>
        <w:t>7.5</w:t>
      </w:r>
      <w:r>
        <w:rPr>
          <w:rFonts w:ascii="Times New Roman" w:hAnsi="Times New Roman" w:eastAsia="Times New Roman" w:cs="Times New Roman"/>
          <w:color w:val="auto"/>
          <w:spacing w:val="-4"/>
          <w:sz w:val="21"/>
          <w:szCs w:val="21"/>
          <w:highlight w:val="none"/>
        </w:rPr>
        <w:t xml:space="preserve">.1 </w:t>
      </w:r>
      <w:r>
        <w:rPr>
          <w:rFonts w:ascii="宋体" w:hAnsi="宋体" w:eastAsia="宋体" w:cs="宋体"/>
          <w:color w:val="auto"/>
          <w:spacing w:val="-4"/>
          <w:sz w:val="21"/>
          <w:szCs w:val="21"/>
          <w:highlight w:val="none"/>
        </w:rPr>
        <w:t>项〔因发包人原因导致工期延误〕约定办理。</w:t>
      </w:r>
    </w:p>
    <w:p w14:paraId="246D6B6D">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7.8.6</w:t>
      </w:r>
      <w:r>
        <w:rPr>
          <w:rFonts w:ascii="Times New Roman" w:hAnsi="Times New Roman" w:eastAsia="Times New Roman" w:cs="Times New Roman"/>
          <w:color w:val="auto"/>
          <w:spacing w:val="30"/>
          <w:w w:val="101"/>
          <w:sz w:val="21"/>
          <w:szCs w:val="21"/>
          <w:highlight w:val="none"/>
        </w:rPr>
        <w:t xml:space="preserve"> </w:t>
      </w:r>
      <w:r>
        <w:rPr>
          <w:rFonts w:ascii="宋体" w:hAnsi="宋体" w:eastAsia="宋体" w:cs="宋体"/>
          <w:color w:val="auto"/>
          <w:spacing w:val="-3"/>
          <w:sz w:val="21"/>
          <w:szCs w:val="21"/>
          <w:highlight w:val="none"/>
        </w:rPr>
        <w:t>暂停施工持续</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56 </w:t>
      </w:r>
      <w:r>
        <w:rPr>
          <w:rFonts w:ascii="宋体" w:hAnsi="宋体" w:eastAsia="宋体" w:cs="宋体"/>
          <w:color w:val="auto"/>
          <w:spacing w:val="-3"/>
          <w:sz w:val="21"/>
          <w:szCs w:val="21"/>
          <w:highlight w:val="none"/>
        </w:rPr>
        <w:t>天以上</w:t>
      </w:r>
    </w:p>
    <w:p w14:paraId="4316CCB4">
      <w:pPr>
        <w:spacing w:before="150" w:line="352" w:lineRule="auto"/>
        <w:ind w:left="20" w:right="157"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监理人发出暂停施工指示后</w:t>
      </w:r>
      <w:r>
        <w:rPr>
          <w:rFonts w:ascii="宋体" w:hAnsi="宋体" w:eastAsia="宋体" w:cs="宋体"/>
          <w:color w:val="auto"/>
          <w:spacing w:val="-5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宋体" w:hAnsi="宋体" w:eastAsia="宋体" w:cs="宋体"/>
          <w:color w:val="auto"/>
          <w:spacing w:val="-1"/>
          <w:sz w:val="21"/>
          <w:szCs w:val="21"/>
          <w:highlight w:val="none"/>
        </w:rPr>
        <w:t>天内未向承包人发出复工通知，除该项停工属于第</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2"/>
          <w:sz w:val="21"/>
          <w:szCs w:val="21"/>
          <w:highlight w:val="none"/>
        </w:rPr>
        <w:t>7.8.2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1"/>
          <w:sz w:val="21"/>
          <w:szCs w:val="21"/>
          <w:highlight w:val="none"/>
        </w:rPr>
        <w:t xml:space="preserve">项〔承包人原因引起的暂停施工〕及第 </w:t>
      </w:r>
      <w:r>
        <w:rPr>
          <w:rFonts w:ascii="Times New Roman" w:hAnsi="Times New Roman" w:eastAsia="Times New Roman" w:cs="Times New Roman"/>
          <w:color w:val="auto"/>
          <w:spacing w:val="-1"/>
          <w:sz w:val="21"/>
          <w:szCs w:val="21"/>
          <w:highlight w:val="none"/>
        </w:rPr>
        <w:t xml:space="preserve">17 </w:t>
      </w:r>
      <w:r>
        <w:rPr>
          <w:rFonts w:ascii="宋体" w:hAnsi="宋体" w:eastAsia="宋体" w:cs="宋体"/>
          <w:color w:val="auto"/>
          <w:spacing w:val="-1"/>
          <w:sz w:val="21"/>
          <w:szCs w:val="21"/>
          <w:highlight w:val="none"/>
        </w:rPr>
        <w:t>条〔不可抗力〕约定的情形外，承包人可向发包</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人提交书面通知，要求发包人在收到书面通知后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天内准许已暂停施工</w:t>
      </w:r>
      <w:r>
        <w:rPr>
          <w:rFonts w:ascii="宋体" w:hAnsi="宋体" w:eastAsia="宋体" w:cs="宋体"/>
          <w:color w:val="auto"/>
          <w:spacing w:val="-1"/>
          <w:sz w:val="21"/>
          <w:szCs w:val="21"/>
          <w:highlight w:val="none"/>
        </w:rPr>
        <w:t>的部分或全部工程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继续施工。发包人逾期不予批准的，则承包人可以通知发包人，将工程受</w:t>
      </w:r>
      <w:r>
        <w:rPr>
          <w:rFonts w:ascii="宋体" w:hAnsi="宋体" w:eastAsia="宋体" w:cs="宋体"/>
          <w:color w:val="auto"/>
          <w:spacing w:val="2"/>
          <w:sz w:val="21"/>
          <w:szCs w:val="21"/>
          <w:highlight w:val="none"/>
        </w:rPr>
        <w:t>影响的部分视为</w:t>
      </w:r>
    </w:p>
    <w:p w14:paraId="299A0D7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按第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 </w:t>
      </w:r>
      <w:r>
        <w:rPr>
          <w:rFonts w:ascii="宋体" w:hAnsi="宋体" w:eastAsia="宋体" w:cs="宋体"/>
          <w:color w:val="auto"/>
          <w:spacing w:val="-2"/>
          <w:sz w:val="21"/>
          <w:szCs w:val="21"/>
          <w:highlight w:val="none"/>
        </w:rPr>
        <w:t>款〔变更的范围〕第（</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）项的可取消工作。</w:t>
      </w:r>
    </w:p>
    <w:p w14:paraId="04B15645">
      <w:pPr>
        <w:spacing w:before="147" w:line="352" w:lineRule="auto"/>
        <w:ind w:left="17" w:right="158"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暂停施工持续</w:t>
      </w:r>
      <w:r>
        <w:rPr>
          <w:rFonts w:ascii="宋体" w:hAnsi="宋体" w:eastAsia="宋体" w:cs="宋体"/>
          <w:color w:val="auto"/>
          <w:spacing w:val="-63"/>
          <w:sz w:val="21"/>
          <w:szCs w:val="21"/>
          <w:highlight w:val="none"/>
        </w:rPr>
        <w:t xml:space="preserve"> </w:t>
      </w:r>
      <w:r>
        <w:rPr>
          <w:rFonts w:ascii="Times New Roman" w:hAnsi="Times New Roman" w:eastAsia="Times New Roman" w:cs="Times New Roman"/>
          <w:color w:val="auto"/>
          <w:sz w:val="21"/>
          <w:szCs w:val="21"/>
          <w:highlight w:val="none"/>
        </w:rPr>
        <w:t>84</w:t>
      </w:r>
      <w:r>
        <w:rPr>
          <w:rFonts w:ascii="Times New Roman" w:hAnsi="Times New Roman" w:eastAsia="Times New Roman" w:cs="Times New Roman"/>
          <w:color w:val="auto"/>
          <w:spacing w:val="-11"/>
          <w:sz w:val="21"/>
          <w:szCs w:val="21"/>
          <w:highlight w:val="none"/>
        </w:rPr>
        <w:t xml:space="preserve"> </w:t>
      </w:r>
      <w:r>
        <w:rPr>
          <w:rFonts w:ascii="宋体" w:hAnsi="宋体" w:eastAsia="宋体" w:cs="宋体"/>
          <w:color w:val="auto"/>
          <w:sz w:val="21"/>
          <w:szCs w:val="21"/>
          <w:highlight w:val="none"/>
        </w:rPr>
        <w:t>天以上不复工的，且不属于第</w:t>
      </w:r>
      <w:r>
        <w:rPr>
          <w:rFonts w:ascii="Times New Roman" w:hAnsi="Times New Roman" w:eastAsia="Times New Roman" w:cs="Times New Roman"/>
          <w:color w:val="auto"/>
          <w:sz w:val="21"/>
          <w:szCs w:val="21"/>
          <w:highlight w:val="none"/>
        </w:rPr>
        <w:t>7.8.2</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z w:val="21"/>
          <w:szCs w:val="21"/>
          <w:highlight w:val="none"/>
        </w:rPr>
        <w:t>项〔承包人</w:t>
      </w:r>
      <w:r>
        <w:rPr>
          <w:rFonts w:ascii="宋体" w:hAnsi="宋体" w:eastAsia="宋体" w:cs="宋体"/>
          <w:color w:val="auto"/>
          <w:spacing w:val="-1"/>
          <w:sz w:val="21"/>
          <w:szCs w:val="21"/>
          <w:highlight w:val="none"/>
        </w:rPr>
        <w:t>原因引起的暂停施工〕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及第 </w:t>
      </w:r>
      <w:r>
        <w:rPr>
          <w:rFonts w:ascii="Times New Roman" w:hAnsi="Times New Roman" w:eastAsia="Times New Roman" w:cs="Times New Roman"/>
          <w:color w:val="auto"/>
          <w:spacing w:val="-1"/>
          <w:sz w:val="21"/>
          <w:szCs w:val="21"/>
          <w:highlight w:val="none"/>
        </w:rPr>
        <w:t xml:space="preserve">17 </w:t>
      </w:r>
      <w:r>
        <w:rPr>
          <w:rFonts w:ascii="宋体" w:hAnsi="宋体" w:eastAsia="宋体" w:cs="宋体"/>
          <w:color w:val="auto"/>
          <w:spacing w:val="-1"/>
          <w:sz w:val="21"/>
          <w:szCs w:val="21"/>
          <w:highlight w:val="none"/>
        </w:rPr>
        <w:t>条〔不可抗力〕约定的情形，并影响到整个工程以及合同目的实现的，承包人有权</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提出价格调整要求，或者解除合同。解除合同的，按照第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16.1.3</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z w:val="21"/>
          <w:szCs w:val="21"/>
          <w:highlight w:val="none"/>
        </w:rPr>
        <w:t>项〔因</w:t>
      </w:r>
      <w:r>
        <w:rPr>
          <w:rFonts w:ascii="宋体" w:hAnsi="宋体" w:eastAsia="宋体" w:cs="宋体"/>
          <w:color w:val="auto"/>
          <w:spacing w:val="-1"/>
          <w:sz w:val="21"/>
          <w:szCs w:val="21"/>
          <w:highlight w:val="none"/>
        </w:rPr>
        <w:t>发包人违约解除合</w:t>
      </w:r>
    </w:p>
    <w:p w14:paraId="2AF4D306">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同〕执行。</w:t>
      </w:r>
    </w:p>
    <w:p w14:paraId="36797FD7">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7.8.7</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2"/>
          <w:sz w:val="21"/>
          <w:szCs w:val="21"/>
          <w:highlight w:val="none"/>
        </w:rPr>
        <w:t>暂停施工期间的工程照管</w:t>
      </w:r>
    </w:p>
    <w:p w14:paraId="02181867">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暂停施工期间， 承包人应负责妥善照管工程并提供安全保障，由此增加的费用由责任</w:t>
      </w:r>
    </w:p>
    <w:p w14:paraId="6194A215">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方承担。</w:t>
      </w:r>
    </w:p>
    <w:p w14:paraId="1772DA21">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7.8.8</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2"/>
          <w:sz w:val="21"/>
          <w:szCs w:val="21"/>
          <w:highlight w:val="none"/>
        </w:rPr>
        <w:t>暂停施工的措施</w:t>
      </w:r>
    </w:p>
    <w:p w14:paraId="2D28FD22">
      <w:pPr>
        <w:spacing w:before="152"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暂停施工期间， 发包人和承包人均应采取必要的措</w:t>
      </w:r>
      <w:r>
        <w:rPr>
          <w:rFonts w:ascii="宋体" w:hAnsi="宋体" w:eastAsia="宋体" w:cs="宋体"/>
          <w:color w:val="auto"/>
          <w:spacing w:val="-4"/>
          <w:sz w:val="21"/>
          <w:szCs w:val="21"/>
          <w:highlight w:val="none"/>
        </w:rPr>
        <w:t>施确保工程质量及安全，</w:t>
      </w:r>
      <w:r>
        <w:rPr>
          <w:rFonts w:ascii="宋体" w:hAnsi="宋体" w:eastAsia="宋体" w:cs="宋体"/>
          <w:color w:val="auto"/>
          <w:spacing w:val="26"/>
          <w:sz w:val="21"/>
          <w:szCs w:val="21"/>
          <w:highlight w:val="none"/>
        </w:rPr>
        <w:t xml:space="preserve"> </w:t>
      </w:r>
      <w:r>
        <w:rPr>
          <w:rFonts w:ascii="宋体" w:hAnsi="宋体" w:eastAsia="宋体" w:cs="宋体"/>
          <w:color w:val="auto"/>
          <w:spacing w:val="-4"/>
          <w:sz w:val="21"/>
          <w:szCs w:val="21"/>
          <w:highlight w:val="none"/>
        </w:rPr>
        <w:t>防止因暂</w:t>
      </w:r>
    </w:p>
    <w:p w14:paraId="5CFECB45">
      <w:pPr>
        <w:spacing w:before="149" w:line="221"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停施工扩大损失。</w:t>
      </w:r>
    </w:p>
    <w:p w14:paraId="21B2C038">
      <w:pPr>
        <w:spacing w:before="45" w:line="218" w:lineRule="auto"/>
        <w:ind w:left="2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7.9</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提前竣工</w:t>
      </w:r>
    </w:p>
    <w:p w14:paraId="4A88E80A">
      <w:pPr>
        <w:spacing w:before="130" w:line="352" w:lineRule="auto"/>
        <w:ind w:left="18"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7.9.1</w:t>
      </w:r>
      <w:r>
        <w:rPr>
          <w:rFonts w:ascii="Times New Roman" w:hAnsi="Times New Roman" w:eastAsia="Times New Roman" w:cs="Times New Roman"/>
          <w:color w:val="auto"/>
          <w:spacing w:val="54"/>
          <w:sz w:val="21"/>
          <w:szCs w:val="21"/>
          <w:highlight w:val="none"/>
        </w:rPr>
        <w:t xml:space="preserve"> </w:t>
      </w:r>
      <w:r>
        <w:rPr>
          <w:rFonts w:ascii="宋体" w:hAnsi="宋体" w:eastAsia="宋体" w:cs="宋体"/>
          <w:color w:val="auto"/>
          <w:spacing w:val="-1"/>
          <w:sz w:val="21"/>
          <w:szCs w:val="21"/>
          <w:highlight w:val="none"/>
        </w:rPr>
        <w:t>发包人要求承包人提前竣工的，发包人应通过监理人向承包人下达提前竣工指示，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承包人应向发包人和监理人提交提前竣工建议书，提前竣工建议书应包括实施的方案、缩  </w:t>
      </w:r>
      <w:r>
        <w:rPr>
          <w:rFonts w:ascii="宋体" w:hAnsi="宋体" w:eastAsia="宋体" w:cs="宋体"/>
          <w:color w:val="auto"/>
          <w:sz w:val="21"/>
          <w:szCs w:val="21"/>
          <w:highlight w:val="none"/>
        </w:rPr>
        <w:t>短的时间、增加的合同价格等内容。发包人接受该提前竣</w:t>
      </w:r>
      <w:r>
        <w:rPr>
          <w:rFonts w:ascii="宋体" w:hAnsi="宋体" w:eastAsia="宋体" w:cs="宋体"/>
          <w:color w:val="auto"/>
          <w:spacing w:val="-1"/>
          <w:sz w:val="21"/>
          <w:szCs w:val="21"/>
          <w:highlight w:val="none"/>
        </w:rPr>
        <w:t xml:space="preserve">工建议书的， 监理人应与发包人  </w:t>
      </w:r>
      <w:r>
        <w:rPr>
          <w:rFonts w:ascii="宋体" w:hAnsi="宋体" w:eastAsia="宋体" w:cs="宋体"/>
          <w:color w:val="auto"/>
          <w:sz w:val="21"/>
          <w:szCs w:val="21"/>
          <w:highlight w:val="none"/>
        </w:rPr>
        <w:t>和承包人协商采取加快工程进度的措施， 并修订施工进</w:t>
      </w:r>
      <w:r>
        <w:rPr>
          <w:rFonts w:ascii="宋体" w:hAnsi="宋体" w:eastAsia="宋体" w:cs="宋体"/>
          <w:color w:val="auto"/>
          <w:spacing w:val="-1"/>
          <w:sz w:val="21"/>
          <w:szCs w:val="21"/>
          <w:highlight w:val="none"/>
        </w:rPr>
        <w:t xml:space="preserve">度计划，由此增加的费用由发包人  </w:t>
      </w:r>
      <w:r>
        <w:rPr>
          <w:rFonts w:ascii="宋体" w:hAnsi="宋体" w:eastAsia="宋体" w:cs="宋体"/>
          <w:color w:val="auto"/>
          <w:spacing w:val="-5"/>
          <w:sz w:val="21"/>
          <w:szCs w:val="21"/>
          <w:highlight w:val="none"/>
        </w:rPr>
        <w:t>承担。 承包人认为提前竣工指示无法执行的， 应向监理人和发包人提出书面异议， 发包人</w:t>
      </w:r>
    </w:p>
    <w:p w14:paraId="39CB7F52">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和监理人应在收到异议后</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天内予以答复。任何情况下，发包人不得压缩合理工期。</w:t>
      </w:r>
    </w:p>
    <w:p w14:paraId="235CEE90">
      <w:pPr>
        <w:spacing w:before="149" w:line="403" w:lineRule="exact"/>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7.9.2</w:t>
      </w:r>
      <w:r>
        <w:rPr>
          <w:rFonts w:ascii="Times New Roman" w:hAnsi="Times New Roman" w:eastAsia="Times New Roman" w:cs="Times New Roman"/>
          <w:color w:val="auto"/>
          <w:spacing w:val="36"/>
          <w:w w:val="101"/>
          <w:position w:val="14"/>
          <w:sz w:val="21"/>
          <w:szCs w:val="21"/>
          <w:highlight w:val="none"/>
        </w:rPr>
        <w:t xml:space="preserve"> </w:t>
      </w:r>
      <w:r>
        <w:rPr>
          <w:rFonts w:ascii="宋体" w:hAnsi="宋体" w:eastAsia="宋体" w:cs="宋体"/>
          <w:color w:val="auto"/>
          <w:spacing w:val="1"/>
          <w:position w:val="14"/>
          <w:sz w:val="21"/>
          <w:szCs w:val="21"/>
          <w:highlight w:val="none"/>
        </w:rPr>
        <w:t>发包人要求承包人提前竣工，或承包人提</w:t>
      </w:r>
      <w:r>
        <w:rPr>
          <w:rFonts w:ascii="宋体" w:hAnsi="宋体" w:eastAsia="宋体" w:cs="宋体"/>
          <w:color w:val="auto"/>
          <w:position w:val="14"/>
          <w:sz w:val="21"/>
          <w:szCs w:val="21"/>
          <w:highlight w:val="none"/>
        </w:rPr>
        <w:t>出提前竣工的建议能够给发包人带来效</w:t>
      </w:r>
    </w:p>
    <w:p w14:paraId="0AA2EBD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益的，合同当事人可以在专用合同条款中约定提前竣工</w:t>
      </w:r>
      <w:r>
        <w:rPr>
          <w:rFonts w:ascii="宋体" w:hAnsi="宋体" w:eastAsia="宋体" w:cs="宋体"/>
          <w:color w:val="auto"/>
          <w:spacing w:val="-2"/>
          <w:sz w:val="21"/>
          <w:szCs w:val="21"/>
          <w:highlight w:val="none"/>
        </w:rPr>
        <w:t>的奖励。</w:t>
      </w:r>
    </w:p>
    <w:p w14:paraId="2DD1CC6F">
      <w:pPr>
        <w:spacing w:before="172" w:line="220" w:lineRule="auto"/>
        <w:ind w:left="18"/>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8.材料与设备</w:t>
      </w:r>
    </w:p>
    <w:p w14:paraId="1F61C126">
      <w:pPr>
        <w:spacing w:before="145" w:line="218"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8.1</w:t>
      </w:r>
      <w:r>
        <w:rPr>
          <w:rFonts w:ascii="黑体" w:hAnsi="黑体" w:eastAsia="黑体" w:cs="黑体"/>
          <w:color w:val="auto"/>
          <w:spacing w:val="-39"/>
          <w:sz w:val="24"/>
          <w:szCs w:val="24"/>
          <w:highlight w:val="none"/>
        </w:rPr>
        <w:t xml:space="preserve"> </w:t>
      </w:r>
      <w:r>
        <w:rPr>
          <w:rFonts w:ascii="黑体" w:hAnsi="黑体" w:eastAsia="黑体" w:cs="黑体"/>
          <w:color w:val="auto"/>
          <w:spacing w:val="-2"/>
          <w:sz w:val="24"/>
          <w:szCs w:val="24"/>
          <w:highlight w:val="none"/>
        </w:rPr>
        <w:t>发包人供应材料与工程设备</w:t>
      </w:r>
    </w:p>
    <w:p w14:paraId="74820142">
      <w:pPr>
        <w:spacing w:before="130" w:line="220"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发包人自行供应材料、工程设备的， 应在签订合同时在专用合同条款的附件《发包人</w:t>
      </w:r>
    </w:p>
    <w:p w14:paraId="1DB9CC36">
      <w:pPr>
        <w:spacing w:line="220" w:lineRule="auto"/>
        <w:rPr>
          <w:rFonts w:ascii="宋体" w:hAnsi="宋体" w:eastAsia="宋体" w:cs="宋体"/>
          <w:color w:val="auto"/>
          <w:sz w:val="21"/>
          <w:szCs w:val="21"/>
          <w:highlight w:val="none"/>
        </w:rPr>
        <w:sectPr>
          <w:footerReference r:id="rId65" w:type="default"/>
          <w:pgSz w:w="11905" w:h="16839"/>
          <w:pgMar w:top="1431" w:right="1630" w:bottom="1004" w:left="1785" w:header="0" w:footer="828" w:gutter="0"/>
          <w:pgNumType w:fmt="decimal"/>
          <w:cols w:space="720" w:num="1"/>
        </w:sectPr>
      </w:pPr>
    </w:p>
    <w:p w14:paraId="48767621">
      <w:pPr>
        <w:spacing w:before="149" w:line="398" w:lineRule="exact"/>
        <w:ind w:left="18"/>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供应材料设备一览表》中明确材料、工程设备的品种、规格、型号、数量、</w:t>
      </w:r>
      <w:r>
        <w:rPr>
          <w:rFonts w:ascii="宋体" w:hAnsi="宋体" w:eastAsia="宋体" w:cs="宋体"/>
          <w:color w:val="auto"/>
          <w:spacing w:val="2"/>
          <w:position w:val="14"/>
          <w:sz w:val="21"/>
          <w:szCs w:val="21"/>
          <w:highlight w:val="none"/>
        </w:rPr>
        <w:t>单价、质量等</w:t>
      </w:r>
    </w:p>
    <w:p w14:paraId="3BBB3B00">
      <w:pPr>
        <w:spacing w:line="222"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级和送达地点。</w:t>
      </w:r>
    </w:p>
    <w:p w14:paraId="3DB97D63">
      <w:pPr>
        <w:spacing w:before="149"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承包人应提前</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30 </w:t>
      </w:r>
      <w:r>
        <w:rPr>
          <w:rFonts w:ascii="宋体" w:hAnsi="宋体" w:eastAsia="宋体" w:cs="宋体"/>
          <w:color w:val="auto"/>
          <w:position w:val="14"/>
          <w:sz w:val="21"/>
          <w:szCs w:val="21"/>
          <w:highlight w:val="none"/>
        </w:rPr>
        <w:t>天通过监理人以书面形式通知发包人供应材料与工</w:t>
      </w:r>
      <w:r>
        <w:rPr>
          <w:rFonts w:ascii="宋体" w:hAnsi="宋体" w:eastAsia="宋体" w:cs="宋体"/>
          <w:color w:val="auto"/>
          <w:spacing w:val="-1"/>
          <w:position w:val="14"/>
          <w:sz w:val="21"/>
          <w:szCs w:val="21"/>
          <w:highlight w:val="none"/>
        </w:rPr>
        <w:t>程设备进场。承包</w:t>
      </w:r>
    </w:p>
    <w:p w14:paraId="20DB973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人按照第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7.2.2 </w:t>
      </w:r>
      <w:r>
        <w:rPr>
          <w:rFonts w:ascii="宋体" w:hAnsi="宋体" w:eastAsia="宋体" w:cs="宋体"/>
          <w:color w:val="auto"/>
          <w:sz w:val="21"/>
          <w:szCs w:val="21"/>
          <w:highlight w:val="none"/>
        </w:rPr>
        <w:t>项〔施工进度计划的修订〕约定修订施工进度计划时，</w:t>
      </w:r>
      <w:r>
        <w:rPr>
          <w:rFonts w:ascii="宋体" w:hAnsi="宋体" w:eastAsia="宋体" w:cs="宋体"/>
          <w:color w:val="auto"/>
          <w:spacing w:val="-1"/>
          <w:sz w:val="21"/>
          <w:szCs w:val="21"/>
          <w:highlight w:val="none"/>
        </w:rPr>
        <w:t>需同时提交经修订后</w:t>
      </w:r>
    </w:p>
    <w:p w14:paraId="57D4346E">
      <w:pPr>
        <w:spacing w:before="147"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的发包人供应材料与工程设备的进场计划。</w:t>
      </w:r>
    </w:p>
    <w:p w14:paraId="5F0DF80E">
      <w:pPr>
        <w:spacing w:before="51"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8.2</w:t>
      </w:r>
      <w:r>
        <w:rPr>
          <w:rFonts w:ascii="黑体" w:hAnsi="黑体" w:eastAsia="黑体" w:cs="黑体"/>
          <w:color w:val="auto"/>
          <w:spacing w:val="-54"/>
          <w:sz w:val="24"/>
          <w:szCs w:val="24"/>
          <w:highlight w:val="none"/>
        </w:rPr>
        <w:t xml:space="preserve"> </w:t>
      </w:r>
      <w:r>
        <w:rPr>
          <w:rFonts w:ascii="黑体" w:hAnsi="黑体" w:eastAsia="黑体" w:cs="黑体"/>
          <w:color w:val="auto"/>
          <w:spacing w:val="-1"/>
          <w:sz w:val="24"/>
          <w:szCs w:val="24"/>
          <w:highlight w:val="none"/>
        </w:rPr>
        <w:t>承包人采购材料与工程设备</w:t>
      </w:r>
    </w:p>
    <w:p w14:paraId="1284F8D1">
      <w:pPr>
        <w:spacing w:before="130" w:line="350" w:lineRule="auto"/>
        <w:ind w:left="18" w:right="158"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承包人负责采购材料、工程设备的， 应按照设计和有关标准要求采购，并提供产品合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格证明及出厂证明，对材料、工程设备质量负责。合同约定由承包人采购的</w:t>
      </w:r>
      <w:r>
        <w:rPr>
          <w:rFonts w:ascii="宋体" w:hAnsi="宋体" w:eastAsia="宋体" w:cs="宋体"/>
          <w:color w:val="auto"/>
          <w:spacing w:val="2"/>
          <w:sz w:val="21"/>
          <w:szCs w:val="21"/>
          <w:highlight w:val="none"/>
        </w:rPr>
        <w:t>材料、工程设</w:t>
      </w:r>
    </w:p>
    <w:p w14:paraId="74036CB3">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备，发包人不得指定生产厂家或供应商， 发包人违反本款约定指定生产厂家或供应商</w:t>
      </w:r>
      <w:r>
        <w:rPr>
          <w:rFonts w:ascii="宋体" w:hAnsi="宋体" w:eastAsia="宋体" w:cs="宋体"/>
          <w:color w:val="auto"/>
          <w:spacing w:val="-1"/>
          <w:sz w:val="21"/>
          <w:szCs w:val="21"/>
          <w:highlight w:val="none"/>
        </w:rPr>
        <w:t>的，</w:t>
      </w:r>
    </w:p>
    <w:p w14:paraId="37FE7A41">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承包人有权拒绝，并由发包人承担相应责任。</w:t>
      </w:r>
    </w:p>
    <w:p w14:paraId="37AD170E">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8.3</w:t>
      </w:r>
      <w:r>
        <w:rPr>
          <w:rFonts w:ascii="黑体" w:hAnsi="黑体" w:eastAsia="黑体" w:cs="黑体"/>
          <w:color w:val="auto"/>
          <w:spacing w:val="-53"/>
          <w:sz w:val="24"/>
          <w:szCs w:val="24"/>
          <w:highlight w:val="none"/>
        </w:rPr>
        <w:t xml:space="preserve"> </w:t>
      </w:r>
      <w:r>
        <w:rPr>
          <w:rFonts w:ascii="黑体" w:hAnsi="黑体" w:eastAsia="黑体" w:cs="黑体"/>
          <w:color w:val="auto"/>
          <w:spacing w:val="-1"/>
          <w:sz w:val="24"/>
          <w:szCs w:val="24"/>
          <w:highlight w:val="none"/>
        </w:rPr>
        <w:t>材料与工程设备的接收与拒收</w:t>
      </w:r>
    </w:p>
    <w:p w14:paraId="25FE2B08">
      <w:pPr>
        <w:spacing w:before="128" w:line="352" w:lineRule="auto"/>
        <w:ind w:left="18" w:right="158" w:firstLine="42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8.3.1</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z w:val="21"/>
          <w:szCs w:val="21"/>
          <w:highlight w:val="none"/>
        </w:rPr>
        <w:t xml:space="preserve">发包人应按《发包人供应材料设备一览表》约定的内容提供材料和工程设备，并 </w:t>
      </w:r>
      <w:r>
        <w:rPr>
          <w:rFonts w:ascii="宋体" w:hAnsi="宋体" w:eastAsia="宋体" w:cs="宋体"/>
          <w:color w:val="auto"/>
          <w:spacing w:val="-1"/>
          <w:sz w:val="21"/>
          <w:szCs w:val="21"/>
          <w:highlight w:val="none"/>
        </w:rPr>
        <w:t>向承包人提供产品合格证明及出厂证明，对其质量负责。发包人应提前</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小时以书面形式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通知承包人、监理人材料和工程设备到货时间，承包人负责材料和工程设备</w:t>
      </w:r>
      <w:r>
        <w:rPr>
          <w:rFonts w:ascii="宋体" w:hAnsi="宋体" w:eastAsia="宋体" w:cs="宋体"/>
          <w:color w:val="auto"/>
          <w:spacing w:val="2"/>
          <w:sz w:val="21"/>
          <w:szCs w:val="21"/>
          <w:highlight w:val="none"/>
        </w:rPr>
        <w:t>的清点、检验</w:t>
      </w:r>
    </w:p>
    <w:p w14:paraId="5F203024">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和接收。</w:t>
      </w:r>
    </w:p>
    <w:p w14:paraId="2D4D73A2">
      <w:pPr>
        <w:spacing w:before="147"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发包人提供的材料和工程设备的规格、数量或质量不符合合同约定的，或因发包人原</w:t>
      </w:r>
    </w:p>
    <w:p w14:paraId="63CCA45A">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因导致交货日期延误或交货地点变更等情况的， 按照第</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16.1 </w:t>
      </w:r>
      <w:r>
        <w:rPr>
          <w:rFonts w:ascii="宋体" w:hAnsi="宋体" w:eastAsia="宋体" w:cs="宋体"/>
          <w:color w:val="auto"/>
          <w:spacing w:val="-5"/>
          <w:sz w:val="21"/>
          <w:szCs w:val="21"/>
          <w:highlight w:val="none"/>
        </w:rPr>
        <w:t>款〔发包人违约〕约定办理。</w:t>
      </w:r>
    </w:p>
    <w:p w14:paraId="67331E04">
      <w:pPr>
        <w:spacing w:before="152" w:line="352" w:lineRule="auto"/>
        <w:ind w:left="20" w:right="156"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8.3.2</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1"/>
          <w:sz w:val="21"/>
          <w:szCs w:val="21"/>
          <w:highlight w:val="none"/>
        </w:rPr>
        <w:t>承包人采购的材料和工程设备，应保证</w:t>
      </w:r>
      <w:r>
        <w:rPr>
          <w:rFonts w:ascii="宋体" w:hAnsi="宋体" w:eastAsia="宋体" w:cs="宋体"/>
          <w:color w:val="auto"/>
          <w:sz w:val="21"/>
          <w:szCs w:val="21"/>
          <w:highlight w:val="none"/>
        </w:rPr>
        <w:t xml:space="preserve">产品质量合格，承包人应在材料和工程设 </w:t>
      </w:r>
      <w:r>
        <w:rPr>
          <w:rFonts w:ascii="宋体" w:hAnsi="宋体" w:eastAsia="宋体" w:cs="宋体"/>
          <w:color w:val="auto"/>
          <w:spacing w:val="-3"/>
          <w:sz w:val="21"/>
          <w:szCs w:val="21"/>
          <w:highlight w:val="none"/>
        </w:rPr>
        <w:t>备到货前</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小时通知监理人检验。承包人进行永久设备、材料的制造和生产的，</w:t>
      </w:r>
      <w:r>
        <w:rPr>
          <w:rFonts w:ascii="宋体" w:hAnsi="宋体" w:eastAsia="宋体" w:cs="宋体"/>
          <w:color w:val="auto"/>
          <w:spacing w:val="-4"/>
          <w:sz w:val="21"/>
          <w:szCs w:val="21"/>
          <w:highlight w:val="none"/>
        </w:rPr>
        <w:t xml:space="preserve"> 应符合相</w:t>
      </w:r>
      <w:r>
        <w:rPr>
          <w:rFonts w:ascii="宋体" w:hAnsi="宋体" w:eastAsia="宋体" w:cs="宋体"/>
          <w:color w:val="auto"/>
          <w:sz w:val="21"/>
          <w:szCs w:val="21"/>
          <w:highlight w:val="none"/>
        </w:rPr>
        <w:t xml:space="preserve"> 关质量标准， 并向监理人提交材料的样本以及有关资料，并应在使用该材料或工程设备之</w:t>
      </w:r>
    </w:p>
    <w:p w14:paraId="47E1EC8A">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前获得监理人同意。</w:t>
      </w:r>
    </w:p>
    <w:p w14:paraId="46A25676">
      <w:pPr>
        <w:spacing w:before="147" w:line="399" w:lineRule="exact"/>
        <w:ind w:left="49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承包人采购的材料和工程设备不符合设计或有关标准要求时，承包人应在监理人要求</w:t>
      </w:r>
    </w:p>
    <w:p w14:paraId="1DB91815">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的合理期限内将不符合设计或有关标准要求的材料、工程设备运出施工现场，并重新采购</w:t>
      </w:r>
    </w:p>
    <w:p w14:paraId="4D3C4EEC">
      <w:pPr>
        <w:spacing w:before="153"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符合要求的材料、工程设备，</w:t>
      </w:r>
      <w:r>
        <w:rPr>
          <w:rFonts w:ascii="宋体" w:hAnsi="宋体" w:eastAsia="宋体" w:cs="宋体"/>
          <w:color w:val="auto"/>
          <w:spacing w:val="39"/>
          <w:sz w:val="21"/>
          <w:szCs w:val="21"/>
          <w:highlight w:val="none"/>
        </w:rPr>
        <w:t xml:space="preserve"> </w:t>
      </w:r>
      <w:r>
        <w:rPr>
          <w:rFonts w:ascii="宋体" w:hAnsi="宋体" w:eastAsia="宋体" w:cs="宋体"/>
          <w:color w:val="auto"/>
          <w:spacing w:val="-4"/>
          <w:sz w:val="21"/>
          <w:szCs w:val="21"/>
          <w:highlight w:val="none"/>
        </w:rPr>
        <w:t>由此增加的费用和（或）延误的工期，由承包人</w:t>
      </w:r>
      <w:r>
        <w:rPr>
          <w:rFonts w:ascii="宋体" w:hAnsi="宋体" w:eastAsia="宋体" w:cs="宋体"/>
          <w:color w:val="auto"/>
          <w:spacing w:val="-5"/>
          <w:sz w:val="21"/>
          <w:szCs w:val="21"/>
          <w:highlight w:val="none"/>
        </w:rPr>
        <w:t>承担。</w:t>
      </w:r>
    </w:p>
    <w:p w14:paraId="346DAF59">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8.4</w:t>
      </w:r>
      <w:r>
        <w:rPr>
          <w:rFonts w:ascii="黑体" w:hAnsi="黑体" w:eastAsia="黑体" w:cs="黑体"/>
          <w:color w:val="auto"/>
          <w:spacing w:val="-53"/>
          <w:sz w:val="24"/>
          <w:szCs w:val="24"/>
          <w:highlight w:val="none"/>
        </w:rPr>
        <w:t xml:space="preserve"> </w:t>
      </w:r>
      <w:r>
        <w:rPr>
          <w:rFonts w:ascii="黑体" w:hAnsi="黑体" w:eastAsia="黑体" w:cs="黑体"/>
          <w:color w:val="auto"/>
          <w:spacing w:val="-1"/>
          <w:sz w:val="24"/>
          <w:szCs w:val="24"/>
          <w:highlight w:val="none"/>
        </w:rPr>
        <w:t>材料与工程设备的保管与使用</w:t>
      </w:r>
    </w:p>
    <w:p w14:paraId="50F3DD96">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8.4.1 </w:t>
      </w:r>
      <w:r>
        <w:rPr>
          <w:rFonts w:ascii="宋体" w:hAnsi="宋体" w:eastAsia="宋体" w:cs="宋体"/>
          <w:color w:val="auto"/>
          <w:spacing w:val="-1"/>
          <w:sz w:val="21"/>
          <w:szCs w:val="21"/>
          <w:highlight w:val="none"/>
        </w:rPr>
        <w:t>发包人供应材料与工程设备的保管与使用</w:t>
      </w:r>
    </w:p>
    <w:p w14:paraId="35FF057B">
      <w:pPr>
        <w:spacing w:before="148" w:line="352" w:lineRule="auto"/>
        <w:ind w:left="18" w:right="158"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发包人供应的材料和工程设备， 承包人清点后由承包人妥善保管，保管费用由发包人</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承担， 但已标价工程量清单或预算书已经列支或专用合同条款另有约定除外。因承包人原</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因发生丢失毁损的，由承包人负责赔偿； 监理人未通</w:t>
      </w:r>
      <w:r>
        <w:rPr>
          <w:rFonts w:ascii="宋体" w:hAnsi="宋体" w:eastAsia="宋体" w:cs="宋体"/>
          <w:color w:val="auto"/>
          <w:spacing w:val="-3"/>
          <w:sz w:val="21"/>
          <w:szCs w:val="21"/>
          <w:highlight w:val="none"/>
        </w:rPr>
        <w:t>知承包人清点的， 承包人不负责材料</w:t>
      </w:r>
    </w:p>
    <w:p w14:paraId="3B6BD230">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和工程设备的保管，</w:t>
      </w:r>
      <w:r>
        <w:rPr>
          <w:rFonts w:ascii="宋体" w:hAnsi="宋体" w:eastAsia="宋体" w:cs="宋体"/>
          <w:color w:val="auto"/>
          <w:spacing w:val="46"/>
          <w:sz w:val="21"/>
          <w:szCs w:val="21"/>
          <w:highlight w:val="none"/>
        </w:rPr>
        <w:t xml:space="preserve"> </w:t>
      </w:r>
      <w:r>
        <w:rPr>
          <w:rFonts w:ascii="宋体" w:hAnsi="宋体" w:eastAsia="宋体" w:cs="宋体"/>
          <w:color w:val="auto"/>
          <w:spacing w:val="-7"/>
          <w:sz w:val="21"/>
          <w:szCs w:val="21"/>
          <w:highlight w:val="none"/>
        </w:rPr>
        <w:t>由此导致丢失毁损的由发包人负责。</w:t>
      </w:r>
    </w:p>
    <w:p w14:paraId="2781B24E">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发包人供应的材料和工程设备使用前，由承包人负责检验， 检验费用由发包人承担，</w:t>
      </w:r>
    </w:p>
    <w:p w14:paraId="38870449">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不合格的不得使用。</w:t>
      </w:r>
    </w:p>
    <w:p w14:paraId="084607D8">
      <w:pPr>
        <w:spacing w:before="148"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8.4.2 </w:t>
      </w:r>
      <w:r>
        <w:rPr>
          <w:rFonts w:ascii="宋体" w:hAnsi="宋体" w:eastAsia="宋体" w:cs="宋体"/>
          <w:color w:val="auto"/>
          <w:spacing w:val="-1"/>
          <w:sz w:val="21"/>
          <w:szCs w:val="21"/>
          <w:highlight w:val="none"/>
        </w:rPr>
        <w:t>承包人采购材料与工程设备的保管与使用</w:t>
      </w:r>
    </w:p>
    <w:p w14:paraId="7A40B1E4">
      <w:pPr>
        <w:spacing w:before="153" w:line="399"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承包人采购的材料和工程设备由承包人妥善保管，保管费用由承包人承担。法律规定</w:t>
      </w:r>
    </w:p>
    <w:p w14:paraId="1EE4EFC1">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材料和工程设备使用前必须进行检验或试验的， 承包人应按监理人的要求进行检验或试验，</w:t>
      </w:r>
    </w:p>
    <w:p w14:paraId="38D1F71D">
      <w:pPr>
        <w:spacing w:line="219" w:lineRule="auto"/>
        <w:rPr>
          <w:rFonts w:ascii="宋体" w:hAnsi="宋体" w:eastAsia="宋体" w:cs="宋体"/>
          <w:color w:val="auto"/>
          <w:sz w:val="21"/>
          <w:szCs w:val="21"/>
          <w:highlight w:val="none"/>
        </w:rPr>
        <w:sectPr>
          <w:footerReference r:id="rId66" w:type="default"/>
          <w:pgSz w:w="11905" w:h="16839"/>
          <w:pgMar w:top="1431" w:right="1633" w:bottom="1004" w:left="1785" w:header="0" w:footer="828" w:gutter="0"/>
          <w:pgNumType w:fmt="decimal"/>
          <w:cols w:space="720" w:num="1"/>
        </w:sectPr>
      </w:pPr>
    </w:p>
    <w:p w14:paraId="189FBC6C">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检验或试验费用由承包人承担，不合格的不得使用。</w:t>
      </w:r>
    </w:p>
    <w:p w14:paraId="4CD75BB7">
      <w:pPr>
        <w:spacing w:before="147" w:line="403"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发包人或监理人发现承包人使用不符合设计或有关标准要求的材料和工程设备时，有</w:t>
      </w:r>
    </w:p>
    <w:p w14:paraId="77C7150D">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权要求承包人进行修复、拆除或重新采购，由此增加的费用和（或）延误的工期，</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由承包</w:t>
      </w:r>
    </w:p>
    <w:p w14:paraId="30F9C29F">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人承担。</w:t>
      </w:r>
    </w:p>
    <w:p w14:paraId="4676DB84">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8.5</w:t>
      </w:r>
      <w:r>
        <w:rPr>
          <w:rFonts w:ascii="黑体" w:hAnsi="黑体" w:eastAsia="黑体" w:cs="黑体"/>
          <w:color w:val="auto"/>
          <w:spacing w:val="-50"/>
          <w:sz w:val="24"/>
          <w:szCs w:val="24"/>
          <w:highlight w:val="none"/>
        </w:rPr>
        <w:t xml:space="preserve"> </w:t>
      </w:r>
      <w:r>
        <w:rPr>
          <w:rFonts w:ascii="黑体" w:hAnsi="黑体" w:eastAsia="黑体" w:cs="黑体"/>
          <w:color w:val="auto"/>
          <w:spacing w:val="-1"/>
          <w:sz w:val="24"/>
          <w:szCs w:val="24"/>
          <w:highlight w:val="none"/>
        </w:rPr>
        <w:t>禁止使用不合格的材料和工程设备</w:t>
      </w:r>
    </w:p>
    <w:p w14:paraId="551592F0">
      <w:pPr>
        <w:spacing w:before="128" w:line="353" w:lineRule="auto"/>
        <w:ind w:left="20" w:right="182"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8.5.1</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监理人有权拒绝承包人提供的不合格</w:t>
      </w:r>
      <w:r>
        <w:rPr>
          <w:rFonts w:ascii="宋体" w:hAnsi="宋体" w:eastAsia="宋体" w:cs="宋体"/>
          <w:color w:val="auto"/>
          <w:sz w:val="21"/>
          <w:szCs w:val="21"/>
          <w:highlight w:val="none"/>
        </w:rPr>
        <w:t xml:space="preserve">材料或工程设备，并要求承包人立即进行更 </w:t>
      </w:r>
      <w:r>
        <w:rPr>
          <w:rFonts w:ascii="宋体" w:hAnsi="宋体" w:eastAsia="宋体" w:cs="宋体"/>
          <w:color w:val="auto"/>
          <w:spacing w:val="-2"/>
          <w:sz w:val="21"/>
          <w:szCs w:val="21"/>
          <w:highlight w:val="none"/>
        </w:rPr>
        <w:t>换。监理人应在更换后再次进行检查和检验， 由此</w:t>
      </w:r>
      <w:r>
        <w:rPr>
          <w:rFonts w:ascii="宋体" w:hAnsi="宋体" w:eastAsia="宋体" w:cs="宋体"/>
          <w:color w:val="auto"/>
          <w:spacing w:val="-3"/>
          <w:sz w:val="21"/>
          <w:szCs w:val="21"/>
          <w:highlight w:val="none"/>
        </w:rPr>
        <w:t>增加的费用和（或） 延误的工期由承包</w:t>
      </w:r>
    </w:p>
    <w:p w14:paraId="17A36CB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人承担。</w:t>
      </w:r>
    </w:p>
    <w:p w14:paraId="0FA01089">
      <w:pPr>
        <w:spacing w:before="147" w:line="404" w:lineRule="exact"/>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8.5.2</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监理人发现承包人使用了不合格的材</w:t>
      </w:r>
      <w:r>
        <w:rPr>
          <w:rFonts w:ascii="宋体" w:hAnsi="宋体" w:eastAsia="宋体" w:cs="宋体"/>
          <w:color w:val="auto"/>
          <w:position w:val="14"/>
          <w:sz w:val="21"/>
          <w:szCs w:val="21"/>
          <w:highlight w:val="none"/>
        </w:rPr>
        <w:t>料和工程设备，承包人应按照监理人的指示</w:t>
      </w:r>
    </w:p>
    <w:p w14:paraId="7FD7F6F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立即改正，</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并禁止在工程中继续使用不合格的材料和工程设备。</w:t>
      </w:r>
    </w:p>
    <w:p w14:paraId="6BF5CE0D">
      <w:pPr>
        <w:spacing w:before="149" w:line="275" w:lineRule="auto"/>
        <w:ind w:left="16" w:firstLine="429"/>
        <w:rPr>
          <w:rFonts w:ascii="黑体" w:hAnsi="黑体" w:eastAsia="黑体" w:cs="黑体"/>
          <w:color w:val="auto"/>
          <w:sz w:val="24"/>
          <w:szCs w:val="24"/>
          <w:highlight w:val="none"/>
        </w:rPr>
      </w:pPr>
      <w:r>
        <w:rPr>
          <w:rFonts w:ascii="Times New Roman" w:hAnsi="Times New Roman" w:eastAsia="Times New Roman" w:cs="Times New Roman"/>
          <w:color w:val="auto"/>
          <w:sz w:val="21"/>
          <w:szCs w:val="21"/>
          <w:highlight w:val="none"/>
        </w:rPr>
        <w:t>8.5.3</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z w:val="21"/>
          <w:szCs w:val="21"/>
          <w:highlight w:val="none"/>
        </w:rPr>
        <w:t>发包人提供的材料或工程设备不符合合同要求的，承包人有权拒绝，并可要求发  包人更换，由此增加的费用和（或） 延误的工期由发包</w:t>
      </w:r>
      <w:r>
        <w:rPr>
          <w:rFonts w:ascii="宋体" w:hAnsi="宋体" w:eastAsia="宋体" w:cs="宋体"/>
          <w:color w:val="auto"/>
          <w:spacing w:val="-1"/>
          <w:sz w:val="21"/>
          <w:szCs w:val="21"/>
          <w:highlight w:val="none"/>
        </w:rPr>
        <w:t>人承担，并支付承包人合理的利润。</w:t>
      </w:r>
      <w:r>
        <w:rPr>
          <w:rFonts w:ascii="宋体" w:hAnsi="宋体" w:eastAsia="宋体" w:cs="宋体"/>
          <w:color w:val="auto"/>
          <w:sz w:val="21"/>
          <w:szCs w:val="21"/>
          <w:highlight w:val="none"/>
        </w:rPr>
        <w:t xml:space="preserve"> </w:t>
      </w:r>
      <w:r>
        <w:rPr>
          <w:rFonts w:ascii="黑体" w:hAnsi="黑体" w:eastAsia="黑体" w:cs="黑体"/>
          <w:color w:val="auto"/>
          <w:spacing w:val="-3"/>
          <w:sz w:val="24"/>
          <w:szCs w:val="24"/>
          <w:highlight w:val="none"/>
        </w:rPr>
        <w:t>8.6</w:t>
      </w:r>
      <w:r>
        <w:rPr>
          <w:rFonts w:ascii="黑体" w:hAnsi="黑体" w:eastAsia="黑体" w:cs="黑体"/>
          <w:color w:val="auto"/>
          <w:spacing w:val="12"/>
          <w:sz w:val="24"/>
          <w:szCs w:val="24"/>
          <w:highlight w:val="none"/>
        </w:rPr>
        <w:t xml:space="preserve"> </w:t>
      </w:r>
      <w:r>
        <w:rPr>
          <w:rFonts w:ascii="黑体" w:hAnsi="黑体" w:eastAsia="黑体" w:cs="黑体"/>
          <w:color w:val="auto"/>
          <w:spacing w:val="-3"/>
          <w:sz w:val="24"/>
          <w:szCs w:val="24"/>
          <w:highlight w:val="none"/>
        </w:rPr>
        <w:t>样品</w:t>
      </w:r>
    </w:p>
    <w:p w14:paraId="38E4B417">
      <w:pPr>
        <w:spacing w:before="126"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8.6.1 </w:t>
      </w:r>
      <w:r>
        <w:rPr>
          <w:rFonts w:ascii="宋体" w:hAnsi="宋体" w:eastAsia="宋体" w:cs="宋体"/>
          <w:color w:val="auto"/>
          <w:spacing w:val="-2"/>
          <w:sz w:val="21"/>
          <w:szCs w:val="21"/>
          <w:highlight w:val="none"/>
        </w:rPr>
        <w:t>样品的报送与封存</w:t>
      </w:r>
    </w:p>
    <w:p w14:paraId="3FEDFB7B">
      <w:pPr>
        <w:spacing w:before="152" w:line="398" w:lineRule="exact"/>
        <w:ind w:left="45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需要承包人报送样品的材料或工程设备， 样品的种类、名称、规格、数量等要</w:t>
      </w:r>
      <w:r>
        <w:rPr>
          <w:rFonts w:ascii="宋体" w:hAnsi="宋体" w:eastAsia="宋体" w:cs="宋体"/>
          <w:color w:val="auto"/>
          <w:spacing w:val="-1"/>
          <w:position w:val="14"/>
          <w:sz w:val="21"/>
          <w:szCs w:val="21"/>
          <w:highlight w:val="none"/>
        </w:rPr>
        <w:t>求均应</w:t>
      </w:r>
    </w:p>
    <w:p w14:paraId="1B734B6D">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在专用合同条款中约定。样品的报送程序如下：</w:t>
      </w:r>
    </w:p>
    <w:p w14:paraId="3CC8BD47">
      <w:pPr>
        <w:spacing w:before="149" w:line="352" w:lineRule="auto"/>
        <w:ind w:left="18" w:right="5"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）承包人应在计划采购前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天向监理人报送样品。承包</w:t>
      </w:r>
      <w:r>
        <w:rPr>
          <w:rFonts w:ascii="宋体" w:hAnsi="宋体" w:eastAsia="宋体" w:cs="宋体"/>
          <w:color w:val="auto"/>
          <w:spacing w:val="-1"/>
          <w:sz w:val="21"/>
          <w:szCs w:val="21"/>
          <w:highlight w:val="none"/>
        </w:rPr>
        <w:t xml:space="preserve">人报送的样品均应来自供  </w:t>
      </w:r>
      <w:r>
        <w:rPr>
          <w:rFonts w:ascii="宋体" w:hAnsi="宋体" w:eastAsia="宋体" w:cs="宋体"/>
          <w:color w:val="auto"/>
          <w:spacing w:val="2"/>
          <w:sz w:val="21"/>
          <w:szCs w:val="21"/>
          <w:highlight w:val="none"/>
        </w:rPr>
        <w:t>应材料的实际生产地，且提供的样品的规格、数量足以表明材料或工程设备的质量、型号、</w:t>
      </w:r>
    </w:p>
    <w:p w14:paraId="1713E6B7">
      <w:pPr>
        <w:spacing w:line="220"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rPr>
        <w:t>颜色、表面处理、质地、误差和其他要求的</w:t>
      </w:r>
      <w:r>
        <w:rPr>
          <w:rFonts w:ascii="宋体" w:hAnsi="宋体" w:eastAsia="宋体" w:cs="宋体"/>
          <w:color w:val="auto"/>
          <w:spacing w:val="-1"/>
          <w:sz w:val="21"/>
          <w:szCs w:val="21"/>
          <w:highlight w:val="none"/>
        </w:rPr>
        <w:t>特征。</w:t>
      </w:r>
    </w:p>
    <w:p w14:paraId="39826C01">
      <w:pPr>
        <w:spacing w:before="147" w:line="353" w:lineRule="auto"/>
        <w:ind w:left="23" w:right="19" w:firstLine="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）承包人每次报送样品时应随附申报单，申报单应载明报送样品的</w:t>
      </w:r>
      <w:r>
        <w:rPr>
          <w:rFonts w:ascii="宋体" w:hAnsi="宋体" w:eastAsia="宋体" w:cs="宋体"/>
          <w:color w:val="auto"/>
          <w:spacing w:val="-2"/>
          <w:sz w:val="21"/>
          <w:szCs w:val="21"/>
          <w:highlight w:val="none"/>
        </w:rPr>
        <w:t>相关数据和资料，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并标明每件样品对应的图纸号，预留监理人批复意见栏。监理人</w:t>
      </w:r>
      <w:r>
        <w:rPr>
          <w:rFonts w:ascii="宋体" w:hAnsi="宋体" w:eastAsia="宋体" w:cs="宋体"/>
          <w:color w:val="auto"/>
          <w:spacing w:val="2"/>
          <w:sz w:val="21"/>
          <w:szCs w:val="21"/>
          <w:highlight w:val="none"/>
        </w:rPr>
        <w:t>应在收到承包人报送的样</w:t>
      </w:r>
    </w:p>
    <w:p w14:paraId="467B31BC">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品后</w:t>
      </w:r>
      <w:r>
        <w:rPr>
          <w:rFonts w:ascii="宋体" w:hAnsi="宋体" w:eastAsia="宋体" w:cs="宋体"/>
          <w:color w:val="auto"/>
          <w:spacing w:val="-3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天向承包人回复经发包人签认的样品审批意见。</w:t>
      </w:r>
    </w:p>
    <w:p w14:paraId="52857895">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）经发包人和监理人审批确认的样品应按约定的方法封样，封存的样品作为检验工</w:t>
      </w:r>
    </w:p>
    <w:p w14:paraId="1F6496C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程相关部分的标准之一。承包人在施工过程中不得使用与样品不符的材料或工程设备。</w:t>
      </w:r>
    </w:p>
    <w:p w14:paraId="381DFF89">
      <w:pPr>
        <w:spacing w:before="147" w:line="353" w:lineRule="auto"/>
        <w:ind w:left="21" w:right="180"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）发包人和监理人对样品的审批确认仅为确认相关材料或工程设备的特</w:t>
      </w:r>
      <w:r>
        <w:rPr>
          <w:rFonts w:ascii="宋体" w:hAnsi="宋体" w:eastAsia="宋体" w:cs="宋体"/>
          <w:color w:val="auto"/>
          <w:spacing w:val="-2"/>
          <w:sz w:val="21"/>
          <w:szCs w:val="21"/>
          <w:highlight w:val="none"/>
        </w:rPr>
        <w:t>征或用途，</w:t>
      </w:r>
      <w:r>
        <w:rPr>
          <w:rFonts w:ascii="宋体" w:hAnsi="宋体" w:eastAsia="宋体" w:cs="宋体"/>
          <w:color w:val="auto"/>
          <w:sz w:val="21"/>
          <w:szCs w:val="21"/>
          <w:highlight w:val="none"/>
        </w:rPr>
        <w:t xml:space="preserve"> 不得被理解为对合同的修改或改变，也并不减轻或免除承包人任何的责任和义务。 如果封</w:t>
      </w:r>
    </w:p>
    <w:p w14:paraId="06C2F56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存的样品修改或改变了合同约定，合同当事人应当以书面协议予以确认。</w:t>
      </w:r>
    </w:p>
    <w:p w14:paraId="6159CD42">
      <w:pPr>
        <w:spacing w:before="148"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8.6.2 </w:t>
      </w:r>
      <w:r>
        <w:rPr>
          <w:rFonts w:ascii="宋体" w:hAnsi="宋体" w:eastAsia="宋体" w:cs="宋体"/>
          <w:color w:val="auto"/>
          <w:spacing w:val="-1"/>
          <w:sz w:val="21"/>
          <w:szCs w:val="21"/>
          <w:highlight w:val="none"/>
        </w:rPr>
        <w:t>样品的保管</w:t>
      </w:r>
    </w:p>
    <w:p w14:paraId="5A67AA47">
      <w:pPr>
        <w:spacing w:before="148"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经批准的样品应由监理人负责封存于现场，承包人应在现场为保存样品提供适当和固</w:t>
      </w:r>
    </w:p>
    <w:p w14:paraId="51F74AD7">
      <w:pPr>
        <w:spacing w:before="152" w:line="221"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定的场所并保持适当和良好的存储环境条件。</w:t>
      </w:r>
    </w:p>
    <w:p w14:paraId="0EB02352">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8.7</w:t>
      </w:r>
      <w:r>
        <w:rPr>
          <w:rFonts w:ascii="黑体" w:hAnsi="黑体" w:eastAsia="黑体" w:cs="黑体"/>
          <w:color w:val="auto"/>
          <w:spacing w:val="-43"/>
          <w:sz w:val="24"/>
          <w:szCs w:val="24"/>
          <w:highlight w:val="none"/>
        </w:rPr>
        <w:t xml:space="preserve"> </w:t>
      </w:r>
      <w:r>
        <w:rPr>
          <w:rFonts w:ascii="黑体" w:hAnsi="黑体" w:eastAsia="黑体" w:cs="黑体"/>
          <w:color w:val="auto"/>
          <w:spacing w:val="-2"/>
          <w:sz w:val="24"/>
          <w:szCs w:val="24"/>
          <w:highlight w:val="none"/>
        </w:rPr>
        <w:t>材料与工程设备的替代</w:t>
      </w:r>
    </w:p>
    <w:p w14:paraId="429A55D4">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8.7.1 </w:t>
      </w:r>
      <w:r>
        <w:rPr>
          <w:rFonts w:ascii="宋体" w:hAnsi="宋体" w:eastAsia="宋体" w:cs="宋体"/>
          <w:color w:val="auto"/>
          <w:spacing w:val="-1"/>
          <w:sz w:val="21"/>
          <w:szCs w:val="21"/>
          <w:highlight w:val="none"/>
        </w:rPr>
        <w:t>出现下列情况需要使用替代材料和工程设备的，承包人应按照第</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8</w:t>
      </w:r>
      <w:r>
        <w:rPr>
          <w:rFonts w:ascii="Times New Roman" w:hAnsi="Times New Roman" w:eastAsia="Times New Roman" w:cs="Times New Roman"/>
          <w:color w:val="auto"/>
          <w:spacing w:val="-2"/>
          <w:sz w:val="21"/>
          <w:szCs w:val="21"/>
          <w:highlight w:val="none"/>
        </w:rPr>
        <w:t xml:space="preserve">.7.2 </w:t>
      </w:r>
      <w:r>
        <w:rPr>
          <w:rFonts w:ascii="宋体" w:hAnsi="宋体" w:eastAsia="宋体" w:cs="宋体"/>
          <w:color w:val="auto"/>
          <w:spacing w:val="-2"/>
          <w:sz w:val="21"/>
          <w:szCs w:val="21"/>
          <w:highlight w:val="none"/>
        </w:rPr>
        <w:t>项约定的程</w:t>
      </w:r>
    </w:p>
    <w:p w14:paraId="73D7C6BC">
      <w:pPr>
        <w:spacing w:before="148" w:line="221" w:lineRule="auto"/>
        <w:ind w:left="1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序执行：</w:t>
      </w:r>
    </w:p>
    <w:p w14:paraId="2C351E55">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）基准日期后生效的法律规定禁止使用的；</w:t>
      </w:r>
    </w:p>
    <w:p w14:paraId="37375E2D">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）发包人要求使用替代品的；</w:t>
      </w:r>
    </w:p>
    <w:p w14:paraId="630ED855">
      <w:pPr>
        <w:spacing w:line="220" w:lineRule="auto"/>
        <w:rPr>
          <w:rFonts w:ascii="宋体" w:hAnsi="宋体" w:eastAsia="宋体" w:cs="宋体"/>
          <w:color w:val="auto"/>
          <w:sz w:val="21"/>
          <w:szCs w:val="21"/>
          <w:highlight w:val="none"/>
        </w:rPr>
        <w:sectPr>
          <w:footerReference r:id="rId67" w:type="default"/>
          <w:pgSz w:w="11905" w:h="16839"/>
          <w:pgMar w:top="1431" w:right="1611" w:bottom="1004" w:left="1785" w:header="0" w:footer="828" w:gutter="0"/>
          <w:pgNumType w:fmt="decimal"/>
          <w:cols w:space="720" w:num="1"/>
        </w:sectPr>
      </w:pPr>
    </w:p>
    <w:p w14:paraId="57F484E3">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）因其他原因必须使用替代品的。</w:t>
      </w:r>
    </w:p>
    <w:p w14:paraId="345BE7E3">
      <w:pPr>
        <w:spacing w:before="147"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8.7.2 </w:t>
      </w:r>
      <w:r>
        <w:rPr>
          <w:rFonts w:ascii="宋体" w:hAnsi="宋体" w:eastAsia="宋体" w:cs="宋体"/>
          <w:color w:val="auto"/>
          <w:spacing w:val="-1"/>
          <w:sz w:val="21"/>
          <w:szCs w:val="21"/>
          <w:highlight w:val="none"/>
        </w:rPr>
        <w:t>承包人应在使用替代材料和工程设备</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天前书面通知监理人，并附下列文件：</w:t>
      </w:r>
    </w:p>
    <w:p w14:paraId="04E697C9">
      <w:pPr>
        <w:spacing w:before="153" w:line="219" w:lineRule="auto"/>
        <w:ind w:right="1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）被替代的材料和工程设备的名称、数量、规格、型号、品牌、性能、价</w:t>
      </w:r>
      <w:r>
        <w:rPr>
          <w:rFonts w:ascii="宋体" w:hAnsi="宋体" w:eastAsia="宋体" w:cs="宋体"/>
          <w:color w:val="auto"/>
          <w:spacing w:val="-1"/>
          <w:sz w:val="21"/>
          <w:szCs w:val="21"/>
          <w:highlight w:val="none"/>
        </w:rPr>
        <w:t>格及其他</w:t>
      </w:r>
    </w:p>
    <w:p w14:paraId="0AA38B8A">
      <w:pPr>
        <w:spacing w:before="150" w:line="221"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相关资料；</w:t>
      </w:r>
    </w:p>
    <w:p w14:paraId="61FC5957">
      <w:pPr>
        <w:spacing w:before="146"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）替代品的名称、数量、规格、型号、品牌、性能</w:t>
      </w:r>
      <w:r>
        <w:rPr>
          <w:rFonts w:ascii="宋体" w:hAnsi="宋体" w:eastAsia="宋体" w:cs="宋体"/>
          <w:color w:val="auto"/>
          <w:spacing w:val="-2"/>
          <w:position w:val="14"/>
          <w:sz w:val="21"/>
          <w:szCs w:val="21"/>
          <w:highlight w:val="none"/>
        </w:rPr>
        <w:t>、价格及其他相关资料；</w:t>
      </w:r>
    </w:p>
    <w:p w14:paraId="7D102984">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）替代品与被替代产品之间的差异以及使用替代品</w:t>
      </w:r>
      <w:r>
        <w:rPr>
          <w:rFonts w:ascii="宋体" w:hAnsi="宋体" w:eastAsia="宋体" w:cs="宋体"/>
          <w:color w:val="auto"/>
          <w:spacing w:val="-2"/>
          <w:sz w:val="21"/>
          <w:szCs w:val="21"/>
          <w:highlight w:val="none"/>
        </w:rPr>
        <w:t>可能对工程产生的影响；</w:t>
      </w:r>
    </w:p>
    <w:p w14:paraId="28950A41">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4</w:t>
      </w:r>
      <w:r>
        <w:rPr>
          <w:rFonts w:ascii="宋体" w:hAnsi="宋体" w:eastAsia="宋体" w:cs="宋体"/>
          <w:color w:val="auto"/>
          <w:spacing w:val="-3"/>
          <w:position w:val="14"/>
          <w:sz w:val="21"/>
          <w:szCs w:val="21"/>
          <w:highlight w:val="none"/>
        </w:rPr>
        <w:t>）替代品与被替代产品的价格差异；</w:t>
      </w:r>
    </w:p>
    <w:p w14:paraId="68C4C7A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）使用替代品的理由和原因说明；</w:t>
      </w:r>
    </w:p>
    <w:p w14:paraId="1A3886BD">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）监理人要求的其他文件。</w:t>
      </w:r>
    </w:p>
    <w:p w14:paraId="7562BBA7">
      <w:pPr>
        <w:spacing w:before="148" w:line="398" w:lineRule="exact"/>
        <w:ind w:right="1"/>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 xml:space="preserve">监理人应在收到通知后 </w:t>
      </w:r>
      <w:r>
        <w:rPr>
          <w:rFonts w:ascii="Times New Roman" w:hAnsi="Times New Roman" w:eastAsia="Times New Roman" w:cs="Times New Roman"/>
          <w:color w:val="auto"/>
          <w:spacing w:val="-4"/>
          <w:position w:val="14"/>
          <w:sz w:val="21"/>
          <w:szCs w:val="21"/>
          <w:highlight w:val="none"/>
        </w:rPr>
        <w:t>14</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4"/>
          <w:position w:val="14"/>
          <w:sz w:val="21"/>
          <w:szCs w:val="21"/>
          <w:highlight w:val="none"/>
        </w:rPr>
        <w:t>天内向承包人发出经发包人签认的书面指示； 监理人逾期发</w:t>
      </w:r>
    </w:p>
    <w:p w14:paraId="2FB2B626">
      <w:pPr>
        <w:spacing w:before="1" w:line="219" w:lineRule="auto"/>
        <w:ind w:left="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出书面指示的，视为发包人和监理人同意使用替代品。</w:t>
      </w:r>
    </w:p>
    <w:p w14:paraId="2D2F76A9">
      <w:pPr>
        <w:spacing w:before="152" w:line="351" w:lineRule="auto"/>
        <w:ind w:left="19" w:right="5" w:firstLine="42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8.7.3</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z w:val="21"/>
          <w:szCs w:val="21"/>
          <w:highlight w:val="none"/>
        </w:rPr>
        <w:t xml:space="preserve">发包人认可使用替代材料和工程设备的，替代材料和工程设备的价格，按照已标 </w:t>
      </w:r>
      <w:r>
        <w:rPr>
          <w:rFonts w:ascii="宋体" w:hAnsi="宋体" w:eastAsia="宋体" w:cs="宋体"/>
          <w:color w:val="auto"/>
          <w:spacing w:val="-2"/>
          <w:sz w:val="21"/>
          <w:szCs w:val="21"/>
          <w:highlight w:val="none"/>
        </w:rPr>
        <w:t>价工程量清单或预算书相同项目的价格认定； 无相同项目的，参</w:t>
      </w:r>
      <w:r>
        <w:rPr>
          <w:rFonts w:ascii="宋体" w:hAnsi="宋体" w:eastAsia="宋体" w:cs="宋体"/>
          <w:color w:val="auto"/>
          <w:spacing w:val="-3"/>
          <w:sz w:val="21"/>
          <w:szCs w:val="21"/>
          <w:highlight w:val="none"/>
        </w:rPr>
        <w:t>考相似项目价格认定； 既</w:t>
      </w:r>
    </w:p>
    <w:p w14:paraId="1380CA48">
      <w:pPr>
        <w:spacing w:before="1" w:line="219" w:lineRule="auto"/>
        <w:ind w:left="20"/>
        <w:rPr>
          <w:rFonts w:ascii="Times New Roman" w:hAnsi="Times New Roman" w:eastAsia="Times New Roman" w:cs="Times New Roman"/>
          <w:color w:val="auto"/>
          <w:sz w:val="21"/>
          <w:szCs w:val="21"/>
          <w:highlight w:val="none"/>
        </w:rPr>
      </w:pPr>
      <w:r>
        <w:rPr>
          <w:rFonts w:ascii="宋体" w:hAnsi="宋体" w:eastAsia="宋体" w:cs="宋体"/>
          <w:color w:val="auto"/>
          <w:spacing w:val="-3"/>
          <w:sz w:val="21"/>
          <w:szCs w:val="21"/>
          <w:highlight w:val="none"/>
        </w:rPr>
        <w:t>无相同项目也无相似项目的， 按照合理的成本与利润构成的原则，由合同当事人按照第</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pacing w:val="-3"/>
          <w:sz w:val="21"/>
          <w:szCs w:val="21"/>
          <w:highlight w:val="none"/>
        </w:rPr>
        <w:t>4.4</w:t>
      </w:r>
    </w:p>
    <w:p w14:paraId="20C704A3">
      <w:pPr>
        <w:spacing w:before="153"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款〔商定或确定〕确定价格。</w:t>
      </w:r>
    </w:p>
    <w:p w14:paraId="1D213601">
      <w:pPr>
        <w:spacing w:before="48"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8.8</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施工设备和临时设施</w:t>
      </w:r>
    </w:p>
    <w:p w14:paraId="1D0EB1A4">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8.8.1 </w:t>
      </w:r>
      <w:r>
        <w:rPr>
          <w:rFonts w:ascii="宋体" w:hAnsi="宋体" w:eastAsia="宋体" w:cs="宋体"/>
          <w:color w:val="auto"/>
          <w:spacing w:val="-1"/>
          <w:sz w:val="21"/>
          <w:szCs w:val="21"/>
          <w:highlight w:val="none"/>
        </w:rPr>
        <w:t>承包人提供的施工设备和临时设施</w:t>
      </w:r>
    </w:p>
    <w:p w14:paraId="6FAB61F0">
      <w:pPr>
        <w:spacing w:before="149" w:line="352" w:lineRule="auto"/>
        <w:ind w:left="35" w:right="6"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承包人应按合同进度计划的要求，及时配置施工设备和修建临时设施。进入施工场地 </w:t>
      </w:r>
      <w:r>
        <w:rPr>
          <w:rFonts w:ascii="宋体" w:hAnsi="宋体" w:eastAsia="宋体" w:cs="宋体"/>
          <w:color w:val="auto"/>
          <w:sz w:val="21"/>
          <w:szCs w:val="21"/>
          <w:highlight w:val="none"/>
        </w:rPr>
        <w:t>的承包人设备需经监理人核查后才能投入使用。承包人更换合同约</w:t>
      </w:r>
      <w:r>
        <w:rPr>
          <w:rFonts w:ascii="宋体" w:hAnsi="宋体" w:eastAsia="宋体" w:cs="宋体"/>
          <w:color w:val="auto"/>
          <w:spacing w:val="-1"/>
          <w:sz w:val="21"/>
          <w:szCs w:val="21"/>
          <w:highlight w:val="none"/>
        </w:rPr>
        <w:t>定的承包人设备的， 应</w:t>
      </w:r>
    </w:p>
    <w:p w14:paraId="5E757202">
      <w:pPr>
        <w:spacing w:before="1" w:line="220" w:lineRule="auto"/>
        <w:ind w:left="1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报监理人批准。</w:t>
      </w:r>
    </w:p>
    <w:p w14:paraId="095730C2">
      <w:pPr>
        <w:spacing w:before="147"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除专用合同条款另有约定外，承包人应自行承担修建临时设施</w:t>
      </w:r>
      <w:r>
        <w:rPr>
          <w:rFonts w:ascii="宋体" w:hAnsi="宋体" w:eastAsia="宋体" w:cs="宋体"/>
          <w:color w:val="auto"/>
          <w:spacing w:val="2"/>
          <w:position w:val="14"/>
          <w:sz w:val="21"/>
          <w:szCs w:val="21"/>
          <w:highlight w:val="none"/>
        </w:rPr>
        <w:t>的费用，需要临时占地</w:t>
      </w:r>
    </w:p>
    <w:p w14:paraId="61F9C0FC">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的，应由发包人办理申请手续并承担相应费用。</w:t>
      </w:r>
    </w:p>
    <w:p w14:paraId="5BF93E70">
      <w:pPr>
        <w:spacing w:before="147"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8.8.2 </w:t>
      </w:r>
      <w:r>
        <w:rPr>
          <w:rFonts w:ascii="宋体" w:hAnsi="宋体" w:eastAsia="宋体" w:cs="宋体"/>
          <w:color w:val="auto"/>
          <w:spacing w:val="-1"/>
          <w:sz w:val="21"/>
          <w:szCs w:val="21"/>
          <w:highlight w:val="none"/>
        </w:rPr>
        <w:t>发包人提供的施工设备和临时设施</w:t>
      </w:r>
    </w:p>
    <w:p w14:paraId="0201FF84">
      <w:pPr>
        <w:spacing w:before="148"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发包人提供的施工设备或临时设施在专用合同条</w:t>
      </w:r>
      <w:r>
        <w:rPr>
          <w:rFonts w:ascii="宋体" w:hAnsi="宋体" w:eastAsia="宋体" w:cs="宋体"/>
          <w:color w:val="auto"/>
          <w:spacing w:val="-2"/>
          <w:sz w:val="21"/>
          <w:szCs w:val="21"/>
          <w:highlight w:val="none"/>
        </w:rPr>
        <w:t>款中约定。</w:t>
      </w:r>
    </w:p>
    <w:p w14:paraId="735C37E3">
      <w:pPr>
        <w:spacing w:before="153"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8.8.3 </w:t>
      </w:r>
      <w:r>
        <w:rPr>
          <w:rFonts w:ascii="宋体" w:hAnsi="宋体" w:eastAsia="宋体" w:cs="宋体"/>
          <w:color w:val="auto"/>
          <w:spacing w:val="-1"/>
          <w:sz w:val="21"/>
          <w:szCs w:val="21"/>
          <w:highlight w:val="none"/>
        </w:rPr>
        <w:t>要求承包人增加或更换施工设备</w:t>
      </w:r>
    </w:p>
    <w:p w14:paraId="51092A4F">
      <w:pPr>
        <w:spacing w:before="148"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承包人使用的施工设备不能满足合同进度计划和</w:t>
      </w:r>
      <w:r>
        <w:rPr>
          <w:rFonts w:ascii="宋体" w:hAnsi="宋体" w:eastAsia="宋体" w:cs="宋体"/>
          <w:color w:val="auto"/>
          <w:spacing w:val="-3"/>
          <w:position w:val="14"/>
          <w:sz w:val="21"/>
          <w:szCs w:val="21"/>
          <w:highlight w:val="none"/>
        </w:rPr>
        <w:t>（或） 质量要求时， 监理人有权要求</w:t>
      </w:r>
    </w:p>
    <w:p w14:paraId="4EB4F3B8">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承包人增加或更换施工设备， 承包人应及时增加或更</w:t>
      </w:r>
      <w:r>
        <w:rPr>
          <w:rFonts w:ascii="宋体" w:hAnsi="宋体" w:eastAsia="宋体" w:cs="宋体"/>
          <w:color w:val="auto"/>
          <w:spacing w:val="-3"/>
          <w:sz w:val="21"/>
          <w:szCs w:val="21"/>
          <w:highlight w:val="none"/>
        </w:rPr>
        <w:t>换，由此增加的费用和（或） 延误的</w:t>
      </w:r>
    </w:p>
    <w:p w14:paraId="1C5AF7B2">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工期由承包人承担。</w:t>
      </w:r>
    </w:p>
    <w:p w14:paraId="495E018A">
      <w:pPr>
        <w:spacing w:before="45"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8.9</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材料与设备专用要求</w:t>
      </w:r>
    </w:p>
    <w:p w14:paraId="1FF2AF77">
      <w:pPr>
        <w:spacing w:before="129" w:line="352" w:lineRule="auto"/>
        <w:ind w:left="18" w:right="11"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承包人运入施工现场的材料、工程设备、施工设备以及在施工场地建设的临时</w:t>
      </w:r>
      <w:r>
        <w:rPr>
          <w:rFonts w:ascii="宋体" w:hAnsi="宋体" w:eastAsia="宋体" w:cs="宋体"/>
          <w:color w:val="auto"/>
          <w:spacing w:val="2"/>
          <w:sz w:val="21"/>
          <w:szCs w:val="21"/>
          <w:highlight w:val="none"/>
        </w:rPr>
        <w:t>设施，</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包括备品备件、安装工具与资料， 必须专用于工程。</w:t>
      </w:r>
      <w:r>
        <w:rPr>
          <w:rFonts w:ascii="宋体" w:hAnsi="宋体" w:eastAsia="宋体" w:cs="宋体"/>
          <w:color w:val="auto"/>
          <w:spacing w:val="-3"/>
          <w:sz w:val="21"/>
          <w:szCs w:val="21"/>
          <w:highlight w:val="none"/>
        </w:rPr>
        <w:t>未经发包人批准， 承包人不得运出施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工现场或挪作他用；经发包人批准，承包人可以根据施工进度计划撤走闲置</w:t>
      </w:r>
      <w:r>
        <w:rPr>
          <w:rFonts w:ascii="宋体" w:hAnsi="宋体" w:eastAsia="宋体" w:cs="宋体"/>
          <w:color w:val="auto"/>
          <w:spacing w:val="2"/>
          <w:sz w:val="21"/>
          <w:szCs w:val="21"/>
          <w:highlight w:val="none"/>
        </w:rPr>
        <w:t>的施工设备和</w:t>
      </w:r>
    </w:p>
    <w:p w14:paraId="709EDBDF">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其他物品。</w:t>
      </w:r>
    </w:p>
    <w:p w14:paraId="7974CEA3">
      <w:pPr>
        <w:spacing w:before="172" w:line="219" w:lineRule="auto"/>
        <w:ind w:left="13"/>
        <w:rPr>
          <w:rFonts w:ascii="黑体" w:hAnsi="黑体" w:eastAsia="黑体" w:cs="黑体"/>
          <w:color w:val="auto"/>
          <w:sz w:val="32"/>
          <w:szCs w:val="32"/>
          <w:highlight w:val="none"/>
        </w:rPr>
      </w:pPr>
      <w:r>
        <w:rPr>
          <w:rFonts w:ascii="黑体" w:hAnsi="黑体" w:eastAsia="黑体" w:cs="黑体"/>
          <w:color w:val="auto"/>
          <w:sz w:val="32"/>
          <w:szCs w:val="32"/>
          <w:highlight w:val="none"/>
        </w:rPr>
        <w:t>9.试验与检验</w:t>
      </w:r>
    </w:p>
    <w:p w14:paraId="0500A922">
      <w:pPr>
        <w:spacing w:line="219" w:lineRule="auto"/>
        <w:rPr>
          <w:rFonts w:ascii="黑体" w:hAnsi="黑体" w:eastAsia="黑体" w:cs="黑体"/>
          <w:color w:val="auto"/>
          <w:sz w:val="32"/>
          <w:szCs w:val="32"/>
          <w:highlight w:val="none"/>
        </w:rPr>
        <w:sectPr>
          <w:footerReference r:id="rId68" w:type="default"/>
          <w:pgSz w:w="11905" w:h="16839"/>
          <w:pgMar w:top="1431" w:right="1785" w:bottom="1004" w:left="1785" w:header="0" w:footer="828" w:gutter="0"/>
          <w:pgNumType w:fmt="decimal"/>
          <w:cols w:space="720" w:num="1"/>
        </w:sectPr>
      </w:pPr>
    </w:p>
    <w:p w14:paraId="4AB79D37">
      <w:pPr>
        <w:spacing w:before="48"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9.1</w:t>
      </w:r>
      <w:r>
        <w:rPr>
          <w:rFonts w:ascii="黑体" w:hAnsi="黑体" w:eastAsia="黑体" w:cs="黑体"/>
          <w:color w:val="auto"/>
          <w:spacing w:val="-41"/>
          <w:sz w:val="24"/>
          <w:szCs w:val="24"/>
          <w:highlight w:val="none"/>
        </w:rPr>
        <w:t xml:space="preserve"> </w:t>
      </w:r>
      <w:r>
        <w:rPr>
          <w:rFonts w:ascii="黑体" w:hAnsi="黑体" w:eastAsia="黑体" w:cs="黑体"/>
          <w:color w:val="auto"/>
          <w:spacing w:val="-2"/>
          <w:sz w:val="24"/>
          <w:szCs w:val="24"/>
          <w:highlight w:val="none"/>
        </w:rPr>
        <w:t>试验设备与试验人员</w:t>
      </w:r>
    </w:p>
    <w:p w14:paraId="10A2A3E2">
      <w:pPr>
        <w:spacing w:before="129" w:line="352" w:lineRule="auto"/>
        <w:ind w:left="18" w:right="176"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9.1.1</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承包人根据合同约定或监理人指示进行的现场材</w:t>
      </w:r>
      <w:r>
        <w:rPr>
          <w:rFonts w:ascii="宋体" w:hAnsi="宋体" w:eastAsia="宋体" w:cs="宋体"/>
          <w:color w:val="auto"/>
          <w:sz w:val="21"/>
          <w:szCs w:val="21"/>
          <w:highlight w:val="none"/>
        </w:rPr>
        <w:t xml:space="preserve">料试验，应由承包人提供试验场 </w:t>
      </w:r>
      <w:r>
        <w:rPr>
          <w:rFonts w:ascii="宋体" w:hAnsi="宋体" w:eastAsia="宋体" w:cs="宋体"/>
          <w:color w:val="auto"/>
          <w:spacing w:val="3"/>
          <w:sz w:val="21"/>
          <w:szCs w:val="21"/>
          <w:highlight w:val="none"/>
        </w:rPr>
        <w:t>所、试验人员、试验设备以及其他必要的试验条件。监理人在必要时可以使</w:t>
      </w:r>
      <w:r>
        <w:rPr>
          <w:rFonts w:ascii="宋体" w:hAnsi="宋体" w:eastAsia="宋体" w:cs="宋体"/>
          <w:color w:val="auto"/>
          <w:spacing w:val="2"/>
          <w:sz w:val="21"/>
          <w:szCs w:val="21"/>
          <w:highlight w:val="none"/>
        </w:rPr>
        <w:t>用承包人提供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的试验场所、试验设备以及其他试验条件，进行以工程质量检查</w:t>
      </w:r>
      <w:r>
        <w:rPr>
          <w:rFonts w:ascii="宋体" w:hAnsi="宋体" w:eastAsia="宋体" w:cs="宋体"/>
          <w:color w:val="auto"/>
          <w:spacing w:val="2"/>
          <w:sz w:val="21"/>
          <w:szCs w:val="21"/>
          <w:highlight w:val="none"/>
        </w:rPr>
        <w:t>为目的的材料复核试验，</w:t>
      </w:r>
    </w:p>
    <w:p w14:paraId="6333326D">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承包人应予以协助。</w:t>
      </w:r>
    </w:p>
    <w:p w14:paraId="2EC215FC">
      <w:pPr>
        <w:spacing w:before="147" w:line="403" w:lineRule="exact"/>
        <w:ind w:right="13"/>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9.1.2</w:t>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position w:val="14"/>
          <w:sz w:val="21"/>
          <w:szCs w:val="21"/>
          <w:highlight w:val="none"/>
        </w:rPr>
        <w:t>承包人应按专用合同条款的约定提供</w:t>
      </w:r>
      <w:r>
        <w:rPr>
          <w:rFonts w:ascii="宋体" w:hAnsi="宋体" w:eastAsia="宋体" w:cs="宋体"/>
          <w:color w:val="auto"/>
          <w:spacing w:val="-1"/>
          <w:position w:val="14"/>
          <w:sz w:val="21"/>
          <w:szCs w:val="21"/>
          <w:highlight w:val="none"/>
        </w:rPr>
        <w:t>试验设备、取样装置、试验场所和试验条件，</w:t>
      </w:r>
    </w:p>
    <w:p w14:paraId="32EE166C">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并向监理人提交相应进场计划表。</w:t>
      </w:r>
    </w:p>
    <w:p w14:paraId="71BC5036">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承包人配置的试验设备要符合相应试验规程的要求并经过具有资质的检测单位</w:t>
      </w:r>
      <w:r>
        <w:rPr>
          <w:rFonts w:ascii="宋体" w:hAnsi="宋体" w:eastAsia="宋体" w:cs="宋体"/>
          <w:color w:val="auto"/>
          <w:spacing w:val="2"/>
          <w:position w:val="14"/>
          <w:sz w:val="21"/>
          <w:szCs w:val="21"/>
          <w:highlight w:val="none"/>
        </w:rPr>
        <w:t>检测，</w:t>
      </w:r>
    </w:p>
    <w:p w14:paraId="626E238D">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且在正式使用该试验设备前，</w:t>
      </w:r>
      <w:r>
        <w:rPr>
          <w:rFonts w:ascii="宋体" w:hAnsi="宋体" w:eastAsia="宋体" w:cs="宋体"/>
          <w:color w:val="auto"/>
          <w:spacing w:val="35"/>
          <w:sz w:val="21"/>
          <w:szCs w:val="21"/>
          <w:highlight w:val="none"/>
        </w:rPr>
        <w:t xml:space="preserve"> </w:t>
      </w:r>
      <w:r>
        <w:rPr>
          <w:rFonts w:ascii="宋体" w:hAnsi="宋体" w:eastAsia="宋体" w:cs="宋体"/>
          <w:color w:val="auto"/>
          <w:spacing w:val="-5"/>
          <w:sz w:val="21"/>
          <w:szCs w:val="21"/>
          <w:highlight w:val="none"/>
        </w:rPr>
        <w:t>需要经过监理人与承包人共同校定。</w:t>
      </w:r>
    </w:p>
    <w:p w14:paraId="066008D0">
      <w:pPr>
        <w:spacing w:before="151" w:line="274" w:lineRule="auto"/>
        <w:ind w:left="12" w:firstLine="428"/>
        <w:rPr>
          <w:rFonts w:ascii="黑体" w:hAnsi="黑体" w:eastAsia="黑体" w:cs="黑体"/>
          <w:color w:val="auto"/>
          <w:sz w:val="24"/>
          <w:szCs w:val="24"/>
          <w:highlight w:val="none"/>
        </w:rPr>
      </w:pPr>
      <w:r>
        <w:rPr>
          <w:rFonts w:ascii="Times New Roman" w:hAnsi="Times New Roman" w:eastAsia="Times New Roman" w:cs="Times New Roman"/>
          <w:color w:val="auto"/>
          <w:sz w:val="21"/>
          <w:szCs w:val="21"/>
          <w:highlight w:val="none"/>
        </w:rPr>
        <w:t>9.1.3</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z w:val="21"/>
          <w:szCs w:val="21"/>
          <w:highlight w:val="none"/>
        </w:rPr>
        <w:t xml:space="preserve">承包人应向监理人提交试验人员的名单及其岗位、资格等证明资料，试验人员必  </w:t>
      </w:r>
      <w:r>
        <w:rPr>
          <w:rFonts w:ascii="宋体" w:hAnsi="宋体" w:eastAsia="宋体" w:cs="宋体"/>
          <w:color w:val="auto"/>
          <w:spacing w:val="2"/>
          <w:sz w:val="21"/>
          <w:szCs w:val="21"/>
          <w:highlight w:val="none"/>
        </w:rPr>
        <w:t>须能够熟练进行相应的检测试验，承包人对试验人员的试验程序和试验结果的正确性负责。</w:t>
      </w:r>
      <w:r>
        <w:rPr>
          <w:rFonts w:ascii="宋体" w:hAnsi="宋体" w:eastAsia="宋体" w:cs="宋体"/>
          <w:color w:val="auto"/>
          <w:spacing w:val="7"/>
          <w:sz w:val="21"/>
          <w:szCs w:val="21"/>
          <w:highlight w:val="none"/>
        </w:rPr>
        <w:t xml:space="preserve"> </w:t>
      </w:r>
      <w:r>
        <w:rPr>
          <w:rFonts w:ascii="黑体" w:hAnsi="黑体" w:eastAsia="黑体" w:cs="黑体"/>
          <w:color w:val="auto"/>
          <w:spacing w:val="-2"/>
          <w:sz w:val="24"/>
          <w:szCs w:val="24"/>
          <w:highlight w:val="none"/>
        </w:rPr>
        <w:t>9.2</w:t>
      </w:r>
      <w:r>
        <w:rPr>
          <w:rFonts w:ascii="黑体" w:hAnsi="黑体" w:eastAsia="黑体" w:cs="黑体"/>
          <w:color w:val="auto"/>
          <w:spacing w:val="-48"/>
          <w:sz w:val="24"/>
          <w:szCs w:val="24"/>
          <w:highlight w:val="none"/>
        </w:rPr>
        <w:t xml:space="preserve"> </w:t>
      </w:r>
      <w:r>
        <w:rPr>
          <w:rFonts w:ascii="黑体" w:hAnsi="黑体" w:eastAsia="黑体" w:cs="黑体"/>
          <w:color w:val="auto"/>
          <w:spacing w:val="-2"/>
          <w:sz w:val="24"/>
          <w:szCs w:val="24"/>
          <w:highlight w:val="none"/>
        </w:rPr>
        <w:t>取样</w:t>
      </w:r>
    </w:p>
    <w:p w14:paraId="3F5D417B">
      <w:pPr>
        <w:spacing w:before="131" w:line="221"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试验属于自检性质的， 承包人可以单独取样。</w:t>
      </w:r>
      <w:r>
        <w:rPr>
          <w:rFonts w:ascii="宋体" w:hAnsi="宋体" w:eastAsia="宋体" w:cs="宋体"/>
          <w:color w:val="auto"/>
          <w:spacing w:val="-3"/>
          <w:sz w:val="21"/>
          <w:szCs w:val="21"/>
          <w:highlight w:val="none"/>
        </w:rPr>
        <w:t>试验属于监理人抽检性质的， 可由监理</w:t>
      </w:r>
    </w:p>
    <w:p w14:paraId="5CF7EF4B">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人取样，也可由承包人的试验人员在监理人的监督</w:t>
      </w:r>
      <w:r>
        <w:rPr>
          <w:rFonts w:ascii="宋体" w:hAnsi="宋体" w:eastAsia="宋体" w:cs="宋体"/>
          <w:color w:val="auto"/>
          <w:spacing w:val="-2"/>
          <w:sz w:val="21"/>
          <w:szCs w:val="21"/>
          <w:highlight w:val="none"/>
        </w:rPr>
        <w:t>下取样。</w:t>
      </w:r>
    </w:p>
    <w:p w14:paraId="285A3977">
      <w:pPr>
        <w:spacing w:before="51" w:line="218" w:lineRule="auto"/>
        <w:ind w:left="1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9.3</w:t>
      </w:r>
      <w:r>
        <w:rPr>
          <w:rFonts w:ascii="黑体" w:hAnsi="黑体" w:eastAsia="黑体" w:cs="黑体"/>
          <w:color w:val="auto"/>
          <w:spacing w:val="-47"/>
          <w:sz w:val="24"/>
          <w:szCs w:val="24"/>
          <w:highlight w:val="none"/>
        </w:rPr>
        <w:t xml:space="preserve"> </w:t>
      </w:r>
      <w:r>
        <w:rPr>
          <w:rFonts w:ascii="黑体" w:hAnsi="黑体" w:eastAsia="黑体" w:cs="黑体"/>
          <w:color w:val="auto"/>
          <w:spacing w:val="-1"/>
          <w:sz w:val="24"/>
          <w:szCs w:val="24"/>
          <w:highlight w:val="none"/>
        </w:rPr>
        <w:t>材料、工程设备和工程的试验和检验</w:t>
      </w:r>
    </w:p>
    <w:p w14:paraId="11095AD8">
      <w:pPr>
        <w:spacing w:before="131" w:line="350" w:lineRule="auto"/>
        <w:ind w:left="18" w:right="172"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9.3.1</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pacing w:val="1"/>
          <w:sz w:val="21"/>
          <w:szCs w:val="21"/>
          <w:highlight w:val="none"/>
        </w:rPr>
        <w:t>承包人应按合同约定进行材料、工程</w:t>
      </w:r>
      <w:r>
        <w:rPr>
          <w:rFonts w:ascii="宋体" w:hAnsi="宋体" w:eastAsia="宋体" w:cs="宋体"/>
          <w:color w:val="auto"/>
          <w:sz w:val="21"/>
          <w:szCs w:val="21"/>
          <w:highlight w:val="none"/>
        </w:rPr>
        <w:t xml:space="preserve">设备和工程的试验和检验，并为监理人对上 </w:t>
      </w:r>
      <w:r>
        <w:rPr>
          <w:rFonts w:ascii="宋体" w:hAnsi="宋体" w:eastAsia="宋体" w:cs="宋体"/>
          <w:color w:val="auto"/>
          <w:spacing w:val="3"/>
          <w:sz w:val="21"/>
          <w:szCs w:val="21"/>
          <w:highlight w:val="none"/>
        </w:rPr>
        <w:t>述材料、工程设备和工程的质量检查提供必要的试验资料和原始记录。按合</w:t>
      </w:r>
      <w:r>
        <w:rPr>
          <w:rFonts w:ascii="宋体" w:hAnsi="宋体" w:eastAsia="宋体" w:cs="宋体"/>
          <w:color w:val="auto"/>
          <w:spacing w:val="2"/>
          <w:sz w:val="21"/>
          <w:szCs w:val="21"/>
          <w:highlight w:val="none"/>
        </w:rPr>
        <w:t>同约定应由监</w:t>
      </w:r>
    </w:p>
    <w:p w14:paraId="7A98FFD5">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理人与承包人共同进行试验和检验的，</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由承包人负</w:t>
      </w:r>
      <w:r>
        <w:rPr>
          <w:rFonts w:ascii="宋体" w:hAnsi="宋体" w:eastAsia="宋体" w:cs="宋体"/>
          <w:color w:val="auto"/>
          <w:spacing w:val="-5"/>
          <w:sz w:val="21"/>
          <w:szCs w:val="21"/>
          <w:highlight w:val="none"/>
        </w:rPr>
        <w:t>责提供必要的试验资料和原始记录。</w:t>
      </w:r>
    </w:p>
    <w:p w14:paraId="5B2D8AB2">
      <w:pPr>
        <w:spacing w:before="155" w:line="351" w:lineRule="auto"/>
        <w:ind w:left="19" w:right="17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9.3.2</w:t>
      </w:r>
      <w:r>
        <w:rPr>
          <w:rFonts w:ascii="Times New Roman" w:hAnsi="Times New Roman" w:eastAsia="Times New Roman" w:cs="Times New Roman"/>
          <w:color w:val="auto"/>
          <w:spacing w:val="56"/>
          <w:sz w:val="21"/>
          <w:szCs w:val="21"/>
          <w:highlight w:val="none"/>
        </w:rPr>
        <w:t xml:space="preserve"> </w:t>
      </w:r>
      <w:r>
        <w:rPr>
          <w:rFonts w:ascii="宋体" w:hAnsi="宋体" w:eastAsia="宋体" w:cs="宋体"/>
          <w:color w:val="auto"/>
          <w:spacing w:val="-1"/>
          <w:sz w:val="21"/>
          <w:szCs w:val="21"/>
          <w:highlight w:val="none"/>
        </w:rPr>
        <w:t>试验属于自检性质的，承包人可以单独进行试验。试验属于监理人抽检性质的，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监理人可以单独进行试验，也可由承包人与监理人共同进行。承包人对由监</w:t>
      </w:r>
      <w:r>
        <w:rPr>
          <w:rFonts w:ascii="宋体" w:hAnsi="宋体" w:eastAsia="宋体" w:cs="宋体"/>
          <w:color w:val="auto"/>
          <w:spacing w:val="2"/>
          <w:sz w:val="21"/>
          <w:szCs w:val="21"/>
          <w:highlight w:val="none"/>
        </w:rPr>
        <w:t>理人单独进行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的试验结果有异议的， 可以申请重新共同进行试验。</w:t>
      </w:r>
      <w:r>
        <w:rPr>
          <w:rFonts w:ascii="宋体" w:hAnsi="宋体" w:eastAsia="宋体" w:cs="宋体"/>
          <w:color w:val="auto"/>
          <w:spacing w:val="-3"/>
          <w:sz w:val="21"/>
          <w:szCs w:val="21"/>
          <w:highlight w:val="none"/>
        </w:rPr>
        <w:t>约定共同进行试验的， 监理人未按照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约定参加试验的， 承包人可自行试验，并将试验结果</w:t>
      </w:r>
      <w:r>
        <w:rPr>
          <w:rFonts w:ascii="宋体" w:hAnsi="宋体" w:eastAsia="宋体" w:cs="宋体"/>
          <w:color w:val="auto"/>
          <w:spacing w:val="-3"/>
          <w:sz w:val="21"/>
          <w:szCs w:val="21"/>
          <w:highlight w:val="none"/>
        </w:rPr>
        <w:t>报送监理人， 监理人应承认该试验结</w:t>
      </w:r>
    </w:p>
    <w:p w14:paraId="053F40D7">
      <w:pPr>
        <w:spacing w:before="1" w:line="221"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果。</w:t>
      </w:r>
    </w:p>
    <w:p w14:paraId="6A44BB05">
      <w:pPr>
        <w:spacing w:before="146" w:line="352" w:lineRule="auto"/>
        <w:ind w:left="20" w:right="172"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9.3.3</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3"/>
          <w:sz w:val="21"/>
          <w:szCs w:val="21"/>
          <w:highlight w:val="none"/>
        </w:rPr>
        <w:t>监理人对承包人的试验和检验结果有异</w:t>
      </w:r>
      <w:r>
        <w:rPr>
          <w:rFonts w:ascii="宋体" w:hAnsi="宋体" w:eastAsia="宋体" w:cs="宋体"/>
          <w:color w:val="auto"/>
          <w:spacing w:val="-4"/>
          <w:sz w:val="21"/>
          <w:szCs w:val="21"/>
          <w:highlight w:val="none"/>
        </w:rPr>
        <w:t>议的，</w:t>
      </w:r>
      <w:r>
        <w:rPr>
          <w:rFonts w:ascii="宋体" w:hAnsi="宋体" w:eastAsia="宋体" w:cs="宋体"/>
          <w:color w:val="auto"/>
          <w:spacing w:val="53"/>
          <w:sz w:val="21"/>
          <w:szCs w:val="21"/>
          <w:highlight w:val="none"/>
        </w:rPr>
        <w:t xml:space="preserve"> </w:t>
      </w:r>
      <w:r>
        <w:rPr>
          <w:rFonts w:ascii="宋体" w:hAnsi="宋体" w:eastAsia="宋体" w:cs="宋体"/>
          <w:color w:val="auto"/>
          <w:spacing w:val="-4"/>
          <w:sz w:val="21"/>
          <w:szCs w:val="21"/>
          <w:highlight w:val="none"/>
        </w:rPr>
        <w:t>或为查清承包人试验和检验成果的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可靠性要求承包人重新试验和检验的，可由监理人与承包人共同进行。重</w:t>
      </w:r>
      <w:r>
        <w:rPr>
          <w:rFonts w:ascii="宋体" w:hAnsi="宋体" w:eastAsia="宋体" w:cs="宋体"/>
          <w:color w:val="auto"/>
          <w:spacing w:val="2"/>
          <w:sz w:val="21"/>
          <w:szCs w:val="21"/>
          <w:highlight w:val="none"/>
        </w:rPr>
        <w:t>新试验和检验的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结果证明该项材料、工程设备或工程的质量不符合合同要求的，由此增加的费用和（或）</w:t>
      </w:r>
    </w:p>
    <w:p w14:paraId="1CF738BB">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延误的工期由承包人承担；重新试验和检验结果证明该项材料、工程设备和</w:t>
      </w:r>
      <w:r>
        <w:rPr>
          <w:rFonts w:ascii="宋体" w:hAnsi="宋体" w:eastAsia="宋体" w:cs="宋体"/>
          <w:color w:val="auto"/>
          <w:spacing w:val="2"/>
          <w:sz w:val="21"/>
          <w:szCs w:val="21"/>
          <w:highlight w:val="none"/>
        </w:rPr>
        <w:t>工程符合合同</w:t>
      </w:r>
    </w:p>
    <w:p w14:paraId="2830A7AD">
      <w:pPr>
        <w:spacing w:before="152"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要求的，由此增加的费用和（或）延误的工期由发包</w:t>
      </w:r>
      <w:r>
        <w:rPr>
          <w:rFonts w:ascii="宋体" w:hAnsi="宋体" w:eastAsia="宋体" w:cs="宋体"/>
          <w:color w:val="auto"/>
          <w:spacing w:val="-2"/>
          <w:sz w:val="21"/>
          <w:szCs w:val="21"/>
          <w:highlight w:val="none"/>
        </w:rPr>
        <w:t>人承担。</w:t>
      </w:r>
    </w:p>
    <w:p w14:paraId="3FFF6F41">
      <w:pPr>
        <w:spacing w:before="46"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9.4</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现场工艺试验</w:t>
      </w:r>
    </w:p>
    <w:p w14:paraId="3156248E">
      <w:pPr>
        <w:spacing w:before="131" w:line="350" w:lineRule="auto"/>
        <w:ind w:left="20" w:right="174" w:firstLine="42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承包人应按合同约定或监理人指示进行现场工艺试验。对大型的现场工艺试验， 监理</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人认为必要时，承包人应根据监理人提出的工艺试验要求， 编制工艺试验措施计划，报送</w:t>
      </w:r>
    </w:p>
    <w:p w14:paraId="6D13DC7F">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监理人审查。</w:t>
      </w:r>
    </w:p>
    <w:p w14:paraId="5FA4B5B4">
      <w:pPr>
        <w:spacing w:before="176"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10.变更</w:t>
      </w:r>
    </w:p>
    <w:p w14:paraId="02D4965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10.1</w:t>
      </w:r>
      <w:r>
        <w:rPr>
          <w:rFonts w:ascii="黑体" w:hAnsi="黑体" w:eastAsia="黑体" w:cs="黑体"/>
          <w:color w:val="auto"/>
          <w:spacing w:val="-46"/>
          <w:sz w:val="24"/>
          <w:szCs w:val="24"/>
          <w:highlight w:val="none"/>
        </w:rPr>
        <w:t xml:space="preserve"> </w:t>
      </w:r>
      <w:r>
        <w:rPr>
          <w:rFonts w:ascii="黑体" w:hAnsi="黑体" w:eastAsia="黑体" w:cs="黑体"/>
          <w:color w:val="auto"/>
          <w:spacing w:val="-4"/>
          <w:sz w:val="24"/>
          <w:szCs w:val="24"/>
          <w:highlight w:val="none"/>
        </w:rPr>
        <w:t>变更的范围</w:t>
      </w:r>
    </w:p>
    <w:p w14:paraId="1AE746C6">
      <w:pPr>
        <w:spacing w:before="129"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除专用合同条款另有约定外，合同履行过程中发生以下情形的， 应按照本条</w:t>
      </w:r>
      <w:r>
        <w:rPr>
          <w:rFonts w:ascii="宋体" w:hAnsi="宋体" w:eastAsia="宋体" w:cs="宋体"/>
          <w:color w:val="auto"/>
          <w:spacing w:val="-1"/>
          <w:sz w:val="21"/>
          <w:szCs w:val="21"/>
          <w:highlight w:val="none"/>
        </w:rPr>
        <w:t>约定进行</w:t>
      </w:r>
    </w:p>
    <w:p w14:paraId="082AE376">
      <w:pPr>
        <w:spacing w:line="220" w:lineRule="auto"/>
        <w:rPr>
          <w:rFonts w:ascii="宋体" w:hAnsi="宋体" w:eastAsia="宋体" w:cs="宋体"/>
          <w:color w:val="auto"/>
          <w:sz w:val="21"/>
          <w:szCs w:val="21"/>
          <w:highlight w:val="none"/>
        </w:rPr>
        <w:sectPr>
          <w:footerReference r:id="rId69" w:type="default"/>
          <w:pgSz w:w="11905" w:h="16839"/>
          <w:pgMar w:top="1431" w:right="1617" w:bottom="1004" w:left="1785" w:header="0" w:footer="828" w:gutter="0"/>
          <w:pgNumType w:fmt="decimal"/>
          <w:cols w:space="720" w:num="1"/>
        </w:sectPr>
      </w:pPr>
    </w:p>
    <w:p w14:paraId="10F1A920">
      <w:pPr>
        <w:spacing w:before="149" w:line="222"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变更：</w:t>
      </w:r>
    </w:p>
    <w:p w14:paraId="7D7E48A8">
      <w:pPr>
        <w:spacing w:before="145"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）增加或减少合同中任何工作，或追加额外的工作；</w:t>
      </w:r>
    </w:p>
    <w:p w14:paraId="4F4CBD6E">
      <w:pPr>
        <w:spacing w:before="15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）取消合同中任何工作，但转由他人实施的工作除外；</w:t>
      </w:r>
    </w:p>
    <w:p w14:paraId="1F1026B1">
      <w:pPr>
        <w:spacing w:before="148"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）改变合同中任何工作的质量标准或其他特性；</w:t>
      </w:r>
    </w:p>
    <w:p w14:paraId="6D146B26">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）改变工程的基线、标高、位置和尺寸；</w:t>
      </w:r>
    </w:p>
    <w:p w14:paraId="0557D211">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）改变工程的时间安排或实施顺序。</w:t>
      </w:r>
    </w:p>
    <w:p w14:paraId="33D33E59">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10.2</w:t>
      </w:r>
      <w:r>
        <w:rPr>
          <w:rFonts w:ascii="黑体" w:hAnsi="黑体" w:eastAsia="黑体" w:cs="黑体"/>
          <w:color w:val="auto"/>
          <w:spacing w:val="-45"/>
          <w:sz w:val="24"/>
          <w:szCs w:val="24"/>
          <w:highlight w:val="none"/>
        </w:rPr>
        <w:t xml:space="preserve"> </w:t>
      </w:r>
      <w:r>
        <w:rPr>
          <w:rFonts w:ascii="黑体" w:hAnsi="黑体" w:eastAsia="黑体" w:cs="黑体"/>
          <w:color w:val="auto"/>
          <w:spacing w:val="-5"/>
          <w:sz w:val="24"/>
          <w:szCs w:val="24"/>
          <w:highlight w:val="none"/>
        </w:rPr>
        <w:t>变更权</w:t>
      </w:r>
    </w:p>
    <w:p w14:paraId="0466483C">
      <w:pPr>
        <w:spacing w:before="130" w:line="352" w:lineRule="auto"/>
        <w:ind w:left="21" w:firstLine="42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发包人和监理人均可以提出变更。变更指示均通过监理人发出， 监理人发出变更指示  </w:t>
      </w:r>
      <w:r>
        <w:rPr>
          <w:rFonts w:ascii="宋体" w:hAnsi="宋体" w:eastAsia="宋体" w:cs="宋体"/>
          <w:color w:val="auto"/>
          <w:spacing w:val="2"/>
          <w:sz w:val="21"/>
          <w:szCs w:val="21"/>
          <w:highlight w:val="none"/>
        </w:rPr>
        <w:t>前应征得发包人同意。承包人收到经发包人签认的</w:t>
      </w:r>
      <w:r>
        <w:rPr>
          <w:rFonts w:ascii="宋体" w:hAnsi="宋体" w:eastAsia="宋体" w:cs="宋体"/>
          <w:color w:val="auto"/>
          <w:spacing w:val="1"/>
          <w:sz w:val="21"/>
          <w:szCs w:val="21"/>
          <w:highlight w:val="none"/>
        </w:rPr>
        <w:t>变更指示后，方可实施变更。未经许可，</w:t>
      </w:r>
    </w:p>
    <w:p w14:paraId="3809BABD">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承包人不得擅自对工程的任何部分进行变更。</w:t>
      </w:r>
    </w:p>
    <w:p w14:paraId="5F63B5C1">
      <w:pPr>
        <w:spacing w:before="147"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涉及设计变更的，应由设计人提供变更后的图纸和说明。如变更超过原设计标准或批</w:t>
      </w:r>
    </w:p>
    <w:p w14:paraId="58124FD7">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准的建设规模时，发包人应及时办理规划、设计变更等审</w:t>
      </w:r>
      <w:r>
        <w:rPr>
          <w:rFonts w:ascii="宋体" w:hAnsi="宋体" w:eastAsia="宋体" w:cs="宋体"/>
          <w:color w:val="auto"/>
          <w:spacing w:val="-1"/>
          <w:sz w:val="21"/>
          <w:szCs w:val="21"/>
          <w:highlight w:val="none"/>
        </w:rPr>
        <w:t>批手续。</w:t>
      </w:r>
    </w:p>
    <w:p w14:paraId="0335FBF4">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10.3</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变更程序</w:t>
      </w:r>
    </w:p>
    <w:p w14:paraId="11DD3CE7">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10.3.1 </w:t>
      </w:r>
      <w:r>
        <w:rPr>
          <w:rFonts w:ascii="宋体" w:hAnsi="宋体" w:eastAsia="宋体" w:cs="宋体"/>
          <w:color w:val="auto"/>
          <w:spacing w:val="-2"/>
          <w:sz w:val="21"/>
          <w:szCs w:val="21"/>
          <w:highlight w:val="none"/>
        </w:rPr>
        <w:t>发包人提出变更</w:t>
      </w:r>
    </w:p>
    <w:p w14:paraId="3E8BDB13">
      <w:pPr>
        <w:spacing w:before="151" w:line="399"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发包人提出变更的，应通过监理人向承包人发出变更指示， 变更指示应说明计划变更</w:t>
      </w:r>
    </w:p>
    <w:p w14:paraId="59FFD6FB">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的工程范围和变更的内容。</w:t>
      </w:r>
    </w:p>
    <w:p w14:paraId="790BF1FC">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10.3.2 </w:t>
      </w:r>
      <w:r>
        <w:rPr>
          <w:rFonts w:ascii="宋体" w:hAnsi="宋体" w:eastAsia="宋体" w:cs="宋体"/>
          <w:color w:val="auto"/>
          <w:spacing w:val="-2"/>
          <w:sz w:val="21"/>
          <w:szCs w:val="21"/>
          <w:highlight w:val="none"/>
        </w:rPr>
        <w:t>监理人提出变更建议</w:t>
      </w:r>
    </w:p>
    <w:p w14:paraId="5A2641CF">
      <w:pPr>
        <w:spacing w:before="152" w:line="350" w:lineRule="auto"/>
        <w:ind w:left="23"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监理人提出变更建议的，需要向发包人以书面形式提出变更计划，说明计划变更工程  范围和变更的内容、理由，以及实施该变更对</w:t>
      </w:r>
      <w:r>
        <w:rPr>
          <w:rFonts w:ascii="宋体" w:hAnsi="宋体" w:eastAsia="宋体" w:cs="宋体"/>
          <w:color w:val="auto"/>
          <w:spacing w:val="1"/>
          <w:sz w:val="21"/>
          <w:szCs w:val="21"/>
          <w:highlight w:val="none"/>
        </w:rPr>
        <w:t>合同价格和工期的影响。发包人同意变更的，</w:t>
      </w:r>
    </w:p>
    <w:p w14:paraId="5E594177">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由监理人向承包人发出变更指示。发包人不同意变更的，</w:t>
      </w:r>
      <w:r>
        <w:rPr>
          <w:rFonts w:ascii="宋体" w:hAnsi="宋体" w:eastAsia="宋体" w:cs="宋体"/>
          <w:color w:val="auto"/>
          <w:spacing w:val="-2"/>
          <w:sz w:val="21"/>
          <w:szCs w:val="21"/>
          <w:highlight w:val="none"/>
        </w:rPr>
        <w:t>监理人无权擅自发出变更指示。</w:t>
      </w:r>
    </w:p>
    <w:p w14:paraId="65828CFB">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10.3.3 </w:t>
      </w:r>
      <w:r>
        <w:rPr>
          <w:rFonts w:ascii="宋体" w:hAnsi="宋体" w:eastAsia="宋体" w:cs="宋体"/>
          <w:color w:val="auto"/>
          <w:spacing w:val="-2"/>
          <w:sz w:val="21"/>
          <w:szCs w:val="21"/>
          <w:highlight w:val="none"/>
        </w:rPr>
        <w:t>变更执行</w:t>
      </w:r>
    </w:p>
    <w:p w14:paraId="3BC73892">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承包人收到监理人下达的变更指示后，认为不能执行， 应立即提出不能执行该变更指</w:t>
      </w:r>
    </w:p>
    <w:p w14:paraId="1299060C">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示的理由。承包人认为可以执行变更的， 应当书面说明实施该变更指示对合同价格和工期</w:t>
      </w:r>
    </w:p>
    <w:p w14:paraId="610E3C94">
      <w:pPr>
        <w:spacing w:before="154"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的影响，且合同当事人应当按照第</w:t>
      </w:r>
      <w:r>
        <w:rPr>
          <w:rFonts w:ascii="宋体" w:hAnsi="宋体" w:eastAsia="宋体" w:cs="宋体"/>
          <w:color w:val="auto"/>
          <w:spacing w:val="-11"/>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10.4 </w:t>
      </w:r>
      <w:r>
        <w:rPr>
          <w:rFonts w:ascii="宋体" w:hAnsi="宋体" w:eastAsia="宋体" w:cs="宋体"/>
          <w:color w:val="auto"/>
          <w:spacing w:val="-2"/>
          <w:sz w:val="21"/>
          <w:szCs w:val="21"/>
          <w:highlight w:val="none"/>
        </w:rPr>
        <w:t>款〔变更估价〕约定确定变更估价。</w:t>
      </w:r>
    </w:p>
    <w:p w14:paraId="650D0722">
      <w:pPr>
        <w:spacing w:before="48"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10.4</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变更估价</w:t>
      </w:r>
    </w:p>
    <w:p w14:paraId="33744377">
      <w:pPr>
        <w:spacing w:before="12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10.4.1 </w:t>
      </w:r>
      <w:r>
        <w:rPr>
          <w:rFonts w:ascii="宋体" w:hAnsi="宋体" w:eastAsia="宋体" w:cs="宋体"/>
          <w:color w:val="auto"/>
          <w:spacing w:val="-2"/>
          <w:sz w:val="21"/>
          <w:szCs w:val="21"/>
          <w:highlight w:val="none"/>
        </w:rPr>
        <w:t>变更估价原则</w:t>
      </w:r>
    </w:p>
    <w:p w14:paraId="453ABFE5">
      <w:pPr>
        <w:spacing w:before="150" w:line="219" w:lineRule="auto"/>
        <w:ind w:left="45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除专用合同条款另有约定外， 变更估价按照本款约定处理：</w:t>
      </w:r>
    </w:p>
    <w:p w14:paraId="0A1D5842">
      <w:pPr>
        <w:spacing w:before="154" w:line="219"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）已标价工程量清单或预算书有相同项目的</w:t>
      </w:r>
      <w:r>
        <w:rPr>
          <w:rFonts w:ascii="宋体" w:hAnsi="宋体" w:eastAsia="宋体" w:cs="宋体"/>
          <w:color w:val="auto"/>
          <w:spacing w:val="-1"/>
          <w:sz w:val="21"/>
          <w:szCs w:val="21"/>
          <w:highlight w:val="none"/>
        </w:rPr>
        <w:t>，按照相同项目单价认定；</w:t>
      </w:r>
    </w:p>
    <w:p w14:paraId="2DC5FF1C">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）已标价工程量清单或预算书中无相同项目，</w:t>
      </w:r>
      <w:r>
        <w:rPr>
          <w:rFonts w:ascii="宋体" w:hAnsi="宋体" w:eastAsia="宋体" w:cs="宋体"/>
          <w:color w:val="auto"/>
          <w:spacing w:val="50"/>
          <w:position w:val="14"/>
          <w:sz w:val="21"/>
          <w:szCs w:val="21"/>
          <w:highlight w:val="none"/>
        </w:rPr>
        <w:t xml:space="preserve"> </w:t>
      </w:r>
      <w:r>
        <w:rPr>
          <w:rFonts w:ascii="宋体" w:hAnsi="宋体" w:eastAsia="宋体" w:cs="宋体"/>
          <w:color w:val="auto"/>
          <w:spacing w:val="-4"/>
          <w:position w:val="14"/>
          <w:sz w:val="21"/>
          <w:szCs w:val="21"/>
          <w:highlight w:val="none"/>
        </w:rPr>
        <w:t>但有类似项目的，参照</w:t>
      </w:r>
      <w:r>
        <w:rPr>
          <w:rFonts w:ascii="宋体" w:hAnsi="宋体" w:eastAsia="宋体" w:cs="宋体"/>
          <w:color w:val="auto"/>
          <w:spacing w:val="-5"/>
          <w:position w:val="14"/>
          <w:sz w:val="21"/>
          <w:szCs w:val="21"/>
          <w:highlight w:val="none"/>
        </w:rPr>
        <w:t>类似项目的单</w:t>
      </w:r>
    </w:p>
    <w:p w14:paraId="3AE2C9C1">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价认定；</w:t>
      </w:r>
    </w:p>
    <w:p w14:paraId="5ECE9EDE">
      <w:pPr>
        <w:spacing w:before="153" w:line="352" w:lineRule="auto"/>
        <w:ind w:left="17" w:right="157"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）变更导致实际完成的变更工程量与已标价工程量清单或预算书中列明的该项目工</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 xml:space="preserve">程量的变化幅度超过 </w:t>
      </w:r>
      <w:r>
        <w:rPr>
          <w:rFonts w:ascii="Times New Roman" w:hAnsi="Times New Roman" w:eastAsia="Times New Roman" w:cs="Times New Roman"/>
          <w:color w:val="auto"/>
          <w:spacing w:val="1"/>
          <w:sz w:val="21"/>
          <w:szCs w:val="21"/>
          <w:highlight w:val="none"/>
        </w:rPr>
        <w:t>15%</w:t>
      </w:r>
      <w:r>
        <w:rPr>
          <w:rFonts w:ascii="宋体" w:hAnsi="宋体" w:eastAsia="宋体" w:cs="宋体"/>
          <w:color w:val="auto"/>
          <w:spacing w:val="1"/>
          <w:sz w:val="21"/>
          <w:szCs w:val="21"/>
          <w:highlight w:val="none"/>
        </w:rPr>
        <w:t>的，或已标价工程量清单或预算书中无相同项目及类似项目单价</w:t>
      </w:r>
      <w:r>
        <w:rPr>
          <w:rFonts w:ascii="宋体" w:hAnsi="宋体" w:eastAsia="宋体" w:cs="宋体"/>
          <w:color w:val="auto"/>
          <w:sz w:val="21"/>
          <w:szCs w:val="21"/>
          <w:highlight w:val="none"/>
        </w:rPr>
        <w:t xml:space="preserve"> 的，按照合理的成本与利润构成的原则，由合同当事人</w:t>
      </w:r>
      <w:r>
        <w:rPr>
          <w:rFonts w:ascii="宋体" w:hAnsi="宋体" w:eastAsia="宋体" w:cs="宋体"/>
          <w:color w:val="auto"/>
          <w:spacing w:val="-1"/>
          <w:sz w:val="21"/>
          <w:szCs w:val="21"/>
          <w:highlight w:val="none"/>
        </w:rPr>
        <w:t>按照第</w:t>
      </w:r>
      <w:r>
        <w:rPr>
          <w:rFonts w:ascii="宋体" w:hAnsi="宋体" w:eastAsia="宋体" w:cs="宋体"/>
          <w:color w:val="auto"/>
          <w:spacing w:val="-6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款〔商定或确定〕确定变</w:t>
      </w:r>
    </w:p>
    <w:p w14:paraId="3FC2BB48">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更工作的单价。</w:t>
      </w:r>
    </w:p>
    <w:p w14:paraId="6B99630B">
      <w:pPr>
        <w:spacing w:before="15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10.4.2 </w:t>
      </w:r>
      <w:r>
        <w:rPr>
          <w:rFonts w:ascii="宋体" w:hAnsi="宋体" w:eastAsia="宋体" w:cs="宋体"/>
          <w:color w:val="auto"/>
          <w:spacing w:val="-2"/>
          <w:sz w:val="21"/>
          <w:szCs w:val="21"/>
          <w:highlight w:val="none"/>
        </w:rPr>
        <w:t>变更估价程序</w:t>
      </w:r>
    </w:p>
    <w:p w14:paraId="1509E816">
      <w:pPr>
        <w:spacing w:line="219" w:lineRule="auto"/>
        <w:rPr>
          <w:rFonts w:ascii="宋体" w:hAnsi="宋体" w:eastAsia="宋体" w:cs="宋体"/>
          <w:color w:val="auto"/>
          <w:sz w:val="21"/>
          <w:szCs w:val="21"/>
          <w:highlight w:val="none"/>
        </w:rPr>
        <w:sectPr>
          <w:footerReference r:id="rId70" w:type="default"/>
          <w:pgSz w:w="11905" w:h="16839"/>
          <w:pgMar w:top="1431" w:right="1633" w:bottom="1004" w:left="1785" w:header="0" w:footer="828" w:gutter="0"/>
          <w:pgNumType w:fmt="decimal"/>
          <w:cols w:space="720" w:num="1"/>
        </w:sectPr>
      </w:pPr>
    </w:p>
    <w:p w14:paraId="322336A0">
      <w:pPr>
        <w:spacing w:before="148" w:line="352" w:lineRule="auto"/>
        <w:ind w:left="18" w:right="15" w:firstLine="42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承包人应在收到变更指示后 </w:t>
      </w:r>
      <w:r>
        <w:rPr>
          <w:rFonts w:ascii="Times New Roman" w:hAnsi="Times New Roman" w:eastAsia="Times New Roman" w:cs="Times New Roman"/>
          <w:color w:val="auto"/>
          <w:spacing w:val="-2"/>
          <w:sz w:val="21"/>
          <w:szCs w:val="21"/>
          <w:highlight w:val="none"/>
        </w:rPr>
        <w:t xml:space="preserve">14 </w:t>
      </w:r>
      <w:r>
        <w:rPr>
          <w:rFonts w:ascii="宋体" w:hAnsi="宋体" w:eastAsia="宋体" w:cs="宋体"/>
          <w:color w:val="auto"/>
          <w:spacing w:val="-2"/>
          <w:sz w:val="21"/>
          <w:szCs w:val="21"/>
          <w:highlight w:val="none"/>
        </w:rPr>
        <w:t xml:space="preserve">天内，向监理人提交变更估价申请。监理人应在收到承  </w:t>
      </w:r>
      <w:r>
        <w:rPr>
          <w:rFonts w:ascii="宋体" w:hAnsi="宋体" w:eastAsia="宋体" w:cs="宋体"/>
          <w:color w:val="auto"/>
          <w:spacing w:val="-1"/>
          <w:sz w:val="21"/>
          <w:szCs w:val="21"/>
          <w:highlight w:val="none"/>
        </w:rPr>
        <w:t xml:space="preserve">包人提交的变更估价申请后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宋体" w:hAnsi="宋体" w:eastAsia="宋体" w:cs="宋体"/>
          <w:color w:val="auto"/>
          <w:spacing w:val="-1"/>
          <w:sz w:val="21"/>
          <w:szCs w:val="21"/>
          <w:highlight w:val="none"/>
        </w:rPr>
        <w:t>天内审查完毕并报送发包人，监理人对变更估价申请有异议，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通知承包人修改后重新提交。发包人应在承包</w:t>
      </w:r>
      <w:r>
        <w:rPr>
          <w:rFonts w:ascii="宋体" w:hAnsi="宋体" w:eastAsia="宋体" w:cs="宋体"/>
          <w:color w:val="auto"/>
          <w:spacing w:val="-4"/>
          <w:sz w:val="21"/>
          <w:szCs w:val="21"/>
          <w:highlight w:val="none"/>
        </w:rPr>
        <w:t xml:space="preserve">人提交变更估价申请后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4"/>
          <w:sz w:val="21"/>
          <w:szCs w:val="21"/>
          <w:highlight w:val="none"/>
        </w:rPr>
        <w:t>天内审批完毕。 发</w:t>
      </w:r>
    </w:p>
    <w:p w14:paraId="56E1CD4E">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包人逾期未完成审批或未提出异议的， 视为认可承包人提交的变更估价申请。</w:t>
      </w:r>
    </w:p>
    <w:p w14:paraId="663D7D77">
      <w:pPr>
        <w:spacing w:before="149" w:line="219"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因变更引起的价格调整应计入最近一期的进度款中支付。</w:t>
      </w:r>
    </w:p>
    <w:p w14:paraId="62FF3708">
      <w:pPr>
        <w:spacing w:before="52"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10.5</w:t>
      </w:r>
      <w:r>
        <w:rPr>
          <w:rFonts w:ascii="黑体" w:hAnsi="黑体" w:eastAsia="黑体" w:cs="黑体"/>
          <w:color w:val="auto"/>
          <w:spacing w:val="-45"/>
          <w:sz w:val="24"/>
          <w:szCs w:val="24"/>
          <w:highlight w:val="none"/>
        </w:rPr>
        <w:t xml:space="preserve"> </w:t>
      </w:r>
      <w:r>
        <w:rPr>
          <w:rFonts w:ascii="黑体" w:hAnsi="黑体" w:eastAsia="黑体" w:cs="黑体"/>
          <w:color w:val="auto"/>
          <w:spacing w:val="-3"/>
          <w:sz w:val="24"/>
          <w:szCs w:val="24"/>
          <w:highlight w:val="none"/>
        </w:rPr>
        <w:t>承包人的合理化建议</w:t>
      </w:r>
    </w:p>
    <w:p w14:paraId="67D5892A">
      <w:pPr>
        <w:spacing w:before="12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承包人提出合理化建议的， 应向监理人提交合理化建议说明，说明建议的内容和理由，</w:t>
      </w:r>
    </w:p>
    <w:p w14:paraId="77608D63">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以及实施该建议对合同价格和工期的影响。</w:t>
      </w:r>
    </w:p>
    <w:p w14:paraId="193E9390">
      <w:pPr>
        <w:spacing w:before="151" w:line="352" w:lineRule="auto"/>
        <w:ind w:left="20" w:right="174"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除专用合同条款另有约定外，监理人应在收到承包人提交的合理化建议后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1"/>
          <w:sz w:val="21"/>
          <w:szCs w:val="21"/>
          <w:highlight w:val="none"/>
        </w:rPr>
        <w:t>内审查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完毕并报送发包人，发现其中存在技术上的缺陷，应通知承包人修改。发</w:t>
      </w:r>
      <w:r>
        <w:rPr>
          <w:rFonts w:ascii="宋体" w:hAnsi="宋体" w:eastAsia="宋体" w:cs="宋体"/>
          <w:color w:val="auto"/>
          <w:spacing w:val="2"/>
          <w:sz w:val="21"/>
          <w:szCs w:val="21"/>
          <w:highlight w:val="none"/>
        </w:rPr>
        <w:t>包人应在收到监</w:t>
      </w:r>
      <w:r>
        <w:rPr>
          <w:rFonts w:ascii="宋体" w:hAnsi="宋体" w:eastAsia="宋体" w:cs="宋体"/>
          <w:color w:val="auto"/>
          <w:sz w:val="21"/>
          <w:szCs w:val="21"/>
          <w:highlight w:val="none"/>
        </w:rPr>
        <w:t xml:space="preserve"> 理人报送的合理化建议后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天内审批完毕。合理化建议经发包人批准的，监理人应及时发</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 xml:space="preserve">出变更指示，由此引起的合同价格调整按照第 </w:t>
      </w:r>
      <w:r>
        <w:rPr>
          <w:rFonts w:ascii="Times New Roman" w:hAnsi="Times New Roman" w:eastAsia="Times New Roman" w:cs="Times New Roman"/>
          <w:color w:val="auto"/>
          <w:sz w:val="21"/>
          <w:szCs w:val="21"/>
          <w:highlight w:val="none"/>
        </w:rPr>
        <w:t>10.4</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z w:val="21"/>
          <w:szCs w:val="21"/>
          <w:highlight w:val="none"/>
        </w:rPr>
        <w:t>款〔变</w:t>
      </w:r>
      <w:r>
        <w:rPr>
          <w:rFonts w:ascii="宋体" w:hAnsi="宋体" w:eastAsia="宋体" w:cs="宋体"/>
          <w:color w:val="auto"/>
          <w:spacing w:val="-1"/>
          <w:sz w:val="21"/>
          <w:szCs w:val="21"/>
          <w:highlight w:val="none"/>
        </w:rPr>
        <w:t>更估价〕约定执行。发包人不同</w:t>
      </w:r>
    </w:p>
    <w:p w14:paraId="30B8A853">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意变更的， 监理人应书面通知承包人。</w:t>
      </w:r>
    </w:p>
    <w:p w14:paraId="7CF0AEC6">
      <w:pPr>
        <w:spacing w:before="149" w:line="219"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合理化建议降低了合同价格或者提高了工程经济效益的，发包人</w:t>
      </w:r>
      <w:r>
        <w:rPr>
          <w:rFonts w:ascii="宋体" w:hAnsi="宋体" w:eastAsia="宋体" w:cs="宋体"/>
          <w:color w:val="auto"/>
          <w:spacing w:val="1"/>
          <w:sz w:val="21"/>
          <w:szCs w:val="21"/>
          <w:highlight w:val="none"/>
        </w:rPr>
        <w:t>可对承包人给予奖励，</w:t>
      </w:r>
    </w:p>
    <w:p w14:paraId="7BFF1D76">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奖励的方法和金额在专用合同条款中约定。</w:t>
      </w:r>
    </w:p>
    <w:p w14:paraId="3B7CCCB5">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10.6</w:t>
      </w:r>
      <w:r>
        <w:rPr>
          <w:rFonts w:ascii="黑体" w:hAnsi="黑体" w:eastAsia="黑体" w:cs="黑体"/>
          <w:color w:val="auto"/>
          <w:spacing w:val="-44"/>
          <w:sz w:val="24"/>
          <w:szCs w:val="24"/>
          <w:highlight w:val="none"/>
        </w:rPr>
        <w:t xml:space="preserve"> </w:t>
      </w:r>
      <w:r>
        <w:rPr>
          <w:rFonts w:ascii="黑体" w:hAnsi="黑体" w:eastAsia="黑体" w:cs="黑体"/>
          <w:color w:val="auto"/>
          <w:spacing w:val="-3"/>
          <w:sz w:val="24"/>
          <w:szCs w:val="24"/>
          <w:highlight w:val="none"/>
        </w:rPr>
        <w:t>变更引起的工期调整</w:t>
      </w:r>
    </w:p>
    <w:p w14:paraId="236D1B37">
      <w:pPr>
        <w:spacing w:before="129" w:line="221" w:lineRule="auto"/>
        <w:ind w:left="457"/>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因变更引起工期变化的，合同当事人均可要求调整合同工期，由合同当事人按照第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4.4</w:t>
      </w:r>
    </w:p>
    <w:p w14:paraId="54A061CB">
      <w:pPr>
        <w:spacing w:before="152"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款〔商定或确定〕并参考工程所在地的工期定额标准确定增减工期天数。</w:t>
      </w:r>
    </w:p>
    <w:p w14:paraId="4731CB96">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10.7</w:t>
      </w:r>
      <w:r>
        <w:rPr>
          <w:rFonts w:ascii="黑体" w:hAnsi="黑体" w:eastAsia="黑体" w:cs="黑体"/>
          <w:color w:val="auto"/>
          <w:spacing w:val="-44"/>
          <w:sz w:val="24"/>
          <w:szCs w:val="24"/>
          <w:highlight w:val="none"/>
        </w:rPr>
        <w:t xml:space="preserve"> </w:t>
      </w:r>
      <w:r>
        <w:rPr>
          <w:rFonts w:ascii="黑体" w:hAnsi="黑体" w:eastAsia="黑体" w:cs="黑体"/>
          <w:color w:val="auto"/>
          <w:spacing w:val="-5"/>
          <w:sz w:val="24"/>
          <w:szCs w:val="24"/>
          <w:highlight w:val="none"/>
        </w:rPr>
        <w:t>暂估价</w:t>
      </w:r>
    </w:p>
    <w:p w14:paraId="726016BA">
      <w:pPr>
        <w:spacing w:before="130"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暂估价专业分包工程、 服务、材料和工程设备的明细由合同当事人在专用合同条款中</w:t>
      </w:r>
    </w:p>
    <w:p w14:paraId="772E8E43">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约定。</w:t>
      </w:r>
    </w:p>
    <w:p w14:paraId="6A570A70">
      <w:pPr>
        <w:spacing w:before="152"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10.7.1 </w:t>
      </w:r>
      <w:r>
        <w:rPr>
          <w:rFonts w:ascii="宋体" w:hAnsi="宋体" w:eastAsia="宋体" w:cs="宋体"/>
          <w:color w:val="auto"/>
          <w:spacing w:val="-2"/>
          <w:sz w:val="21"/>
          <w:szCs w:val="21"/>
          <w:highlight w:val="none"/>
        </w:rPr>
        <w:t>依法必须招标的暂估价项目</w:t>
      </w:r>
    </w:p>
    <w:p w14:paraId="01531097">
      <w:pPr>
        <w:spacing w:before="149" w:line="399" w:lineRule="exact"/>
        <w:ind w:left="44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对于依法必须招标的暂估价项目，采取以下第</w:t>
      </w:r>
      <w:r>
        <w:rPr>
          <w:rFonts w:ascii="宋体" w:hAnsi="宋体" w:eastAsia="宋体" w:cs="宋体"/>
          <w:color w:val="auto"/>
          <w:spacing w:val="26"/>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1</w:t>
      </w:r>
      <w:r>
        <w:rPr>
          <w:rFonts w:ascii="Times New Roman" w:hAnsi="Times New Roman" w:eastAsia="Times New Roman" w:cs="Times New Roman"/>
          <w:color w:val="auto"/>
          <w:spacing w:val="42"/>
          <w:position w:val="14"/>
          <w:sz w:val="21"/>
          <w:szCs w:val="21"/>
          <w:highlight w:val="none"/>
        </w:rPr>
        <w:t xml:space="preserve"> </w:t>
      </w:r>
      <w:r>
        <w:rPr>
          <w:rFonts w:ascii="宋体" w:hAnsi="宋体" w:eastAsia="宋体" w:cs="宋体"/>
          <w:color w:val="auto"/>
          <w:position w:val="14"/>
          <w:sz w:val="21"/>
          <w:szCs w:val="21"/>
          <w:highlight w:val="none"/>
        </w:rPr>
        <w:t>种方式确定。合同当事人也可以在专</w:t>
      </w:r>
    </w:p>
    <w:p w14:paraId="0FFE6CD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用合同条款中选择其他招标方式。</w:t>
      </w:r>
    </w:p>
    <w:p w14:paraId="2DA496F4">
      <w:pPr>
        <w:spacing w:before="152"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 xml:space="preserve">第 </w:t>
      </w:r>
      <w:r>
        <w:rPr>
          <w:rFonts w:ascii="Times New Roman" w:hAnsi="Times New Roman" w:eastAsia="Times New Roman" w:cs="Times New Roman"/>
          <w:color w:val="auto"/>
          <w:position w:val="14"/>
          <w:sz w:val="21"/>
          <w:szCs w:val="21"/>
          <w:highlight w:val="none"/>
        </w:rPr>
        <w:t xml:space="preserve">1  </w:t>
      </w:r>
      <w:r>
        <w:rPr>
          <w:rFonts w:ascii="宋体" w:hAnsi="宋体" w:eastAsia="宋体" w:cs="宋体"/>
          <w:color w:val="auto"/>
          <w:position w:val="14"/>
          <w:sz w:val="21"/>
          <w:szCs w:val="21"/>
          <w:highlight w:val="none"/>
        </w:rPr>
        <w:t>种方式：对于依法必须招标的暂估价项目，由承包人招标，对该暂估价项目的确</w:t>
      </w:r>
    </w:p>
    <w:p w14:paraId="4D4A533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认和批准按照以下约定执行：</w:t>
      </w:r>
    </w:p>
    <w:p w14:paraId="5F9F5B92">
      <w:pPr>
        <w:spacing w:before="149" w:line="352" w:lineRule="auto"/>
        <w:ind w:left="16" w:firstLine="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）承包人应当根据施工进度计划，在招标工作启动前</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宋体" w:hAnsi="宋体" w:eastAsia="宋体" w:cs="宋体"/>
          <w:color w:val="auto"/>
          <w:spacing w:val="-1"/>
          <w:sz w:val="21"/>
          <w:szCs w:val="21"/>
          <w:highlight w:val="none"/>
        </w:rPr>
        <w:t xml:space="preserve">天将招标方案通过监理人  </w:t>
      </w:r>
      <w:r>
        <w:rPr>
          <w:rFonts w:ascii="宋体" w:hAnsi="宋体" w:eastAsia="宋体" w:cs="宋体"/>
          <w:color w:val="auto"/>
          <w:sz w:val="21"/>
          <w:szCs w:val="21"/>
          <w:highlight w:val="none"/>
        </w:rPr>
        <w:t>报送发包人审查，发包人应当在收到承包人报送的招标方案</w:t>
      </w:r>
      <w:r>
        <w:rPr>
          <w:rFonts w:ascii="宋体" w:hAnsi="宋体" w:eastAsia="宋体" w:cs="宋体"/>
          <w:color w:val="auto"/>
          <w:spacing w:val="-1"/>
          <w:sz w:val="21"/>
          <w:szCs w:val="21"/>
          <w:highlight w:val="none"/>
        </w:rPr>
        <w:t xml:space="preserve">后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天内批准或提出修改意见。</w:t>
      </w:r>
    </w:p>
    <w:p w14:paraId="5AB4793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承包人应当按照经过发包人批准的招标方案开展招标工作；</w:t>
      </w:r>
    </w:p>
    <w:p w14:paraId="41F6410C">
      <w:pPr>
        <w:spacing w:before="147" w:line="353" w:lineRule="auto"/>
        <w:ind w:left="17" w:right="180" w:firstLine="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）承包人应当根据施工进度计划，提前</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pacing w:val="-1"/>
          <w:sz w:val="21"/>
          <w:szCs w:val="21"/>
          <w:highlight w:val="none"/>
        </w:rPr>
        <w:t>天将招标文件通过监理人报送发包人审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批，发包人应当在收到承包人报送的相关文件后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z w:val="21"/>
          <w:szCs w:val="21"/>
          <w:highlight w:val="none"/>
        </w:rPr>
        <w:t>天内完成审批或提出修改意见；发包人</w:t>
      </w:r>
    </w:p>
    <w:p w14:paraId="60ABC3EA">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有权确定招标控制价并按照法律规定参加评标；</w:t>
      </w:r>
    </w:p>
    <w:p w14:paraId="2AEDA560">
      <w:pPr>
        <w:spacing w:before="148" w:line="353" w:lineRule="auto"/>
        <w:ind w:left="18" w:right="174"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 xml:space="preserve">）承包人与供应商、分包人在签订暂估价合同前，应当提前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天将确定</w:t>
      </w:r>
      <w:r>
        <w:rPr>
          <w:rFonts w:ascii="宋体" w:hAnsi="宋体" w:eastAsia="宋体" w:cs="宋体"/>
          <w:color w:val="auto"/>
          <w:spacing w:val="-2"/>
          <w:sz w:val="21"/>
          <w:szCs w:val="21"/>
          <w:highlight w:val="none"/>
        </w:rPr>
        <w:t>的中标候选</w:t>
      </w:r>
      <w:r>
        <w:rPr>
          <w:rFonts w:ascii="宋体" w:hAnsi="宋体" w:eastAsia="宋体" w:cs="宋体"/>
          <w:color w:val="auto"/>
          <w:sz w:val="21"/>
          <w:szCs w:val="21"/>
          <w:highlight w:val="none"/>
        </w:rPr>
        <w:t xml:space="preserve"> 供应商或中标候选分包人的资料报送发包人，发包人应在收到资料后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天内与承包人共同</w:t>
      </w:r>
    </w:p>
    <w:p w14:paraId="786D3705">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确定中标人；承包人应当在签订合同后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1"/>
          <w:sz w:val="21"/>
          <w:szCs w:val="21"/>
          <w:highlight w:val="none"/>
        </w:rPr>
        <w:t>内，将暂估价合同副本报送发包人留存。</w:t>
      </w:r>
    </w:p>
    <w:p w14:paraId="1E148B70">
      <w:pPr>
        <w:spacing w:line="219" w:lineRule="auto"/>
        <w:rPr>
          <w:rFonts w:ascii="宋体" w:hAnsi="宋体" w:eastAsia="宋体" w:cs="宋体"/>
          <w:color w:val="auto"/>
          <w:sz w:val="21"/>
          <w:szCs w:val="21"/>
          <w:highlight w:val="none"/>
        </w:rPr>
        <w:sectPr>
          <w:footerReference r:id="rId71" w:type="default"/>
          <w:pgSz w:w="11905" w:h="16839"/>
          <w:pgMar w:top="1431" w:right="1612" w:bottom="1004" w:left="1785" w:header="0" w:footer="828" w:gutter="0"/>
          <w:pgNumType w:fmt="decimal"/>
          <w:cols w:space="720" w:num="1"/>
        </w:sectPr>
      </w:pPr>
    </w:p>
    <w:p w14:paraId="35546B38">
      <w:pPr>
        <w:spacing w:before="148" w:line="352" w:lineRule="auto"/>
        <w:ind w:left="19" w:right="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第 </w:t>
      </w: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1"/>
          <w:sz w:val="21"/>
          <w:szCs w:val="21"/>
          <w:highlight w:val="none"/>
        </w:rPr>
        <w:t>种方式：对于依法必须招标的暂估价项目，</w:t>
      </w:r>
      <w:r>
        <w:rPr>
          <w:rFonts w:ascii="宋体" w:hAnsi="宋体" w:eastAsia="宋体" w:cs="宋体"/>
          <w:color w:val="auto"/>
          <w:sz w:val="21"/>
          <w:szCs w:val="21"/>
          <w:highlight w:val="none"/>
        </w:rPr>
        <w:t xml:space="preserve">由发包人和承包人共同招标确定暂估 </w:t>
      </w:r>
      <w:r>
        <w:rPr>
          <w:rFonts w:ascii="宋体" w:hAnsi="宋体" w:eastAsia="宋体" w:cs="宋体"/>
          <w:color w:val="auto"/>
          <w:spacing w:val="-3"/>
          <w:sz w:val="21"/>
          <w:szCs w:val="21"/>
          <w:highlight w:val="none"/>
        </w:rPr>
        <w:t>价供应商或分包人的，承包人应按照施工进度计划，</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 xml:space="preserve">在招标工作启动前 </w:t>
      </w:r>
      <w:r>
        <w:rPr>
          <w:rFonts w:ascii="Times New Roman" w:hAnsi="Times New Roman" w:eastAsia="Times New Roman" w:cs="Times New Roman"/>
          <w:color w:val="auto"/>
          <w:spacing w:val="-3"/>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4"/>
          <w:sz w:val="21"/>
          <w:szCs w:val="21"/>
          <w:highlight w:val="none"/>
        </w:rPr>
        <w:t>天通知发包人，</w:t>
      </w:r>
      <w:r>
        <w:rPr>
          <w:rFonts w:ascii="宋体" w:hAnsi="宋体" w:eastAsia="宋体" w:cs="宋体"/>
          <w:color w:val="auto"/>
          <w:sz w:val="21"/>
          <w:szCs w:val="21"/>
          <w:highlight w:val="none"/>
        </w:rPr>
        <w:t xml:space="preserve"> 并提交暂估价招标方案和工作分工。发包人应在收到后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天内确认。确定中标人后，由发</w:t>
      </w:r>
    </w:p>
    <w:p w14:paraId="23CF8D70">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包人、承包人与中标人共同签订暂估价合同。</w:t>
      </w:r>
    </w:p>
    <w:p w14:paraId="74B3AF93">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10.7.2 </w:t>
      </w:r>
      <w:r>
        <w:rPr>
          <w:rFonts w:ascii="宋体" w:hAnsi="宋体" w:eastAsia="宋体" w:cs="宋体"/>
          <w:color w:val="auto"/>
          <w:spacing w:val="-2"/>
          <w:sz w:val="21"/>
          <w:szCs w:val="21"/>
          <w:highlight w:val="none"/>
        </w:rPr>
        <w:t>不属于依法必须招标的暂估价项目</w:t>
      </w:r>
    </w:p>
    <w:p w14:paraId="687CB79D">
      <w:pPr>
        <w:spacing w:before="153" w:line="399" w:lineRule="exact"/>
        <w:jc w:val="right"/>
        <w:rPr>
          <w:rFonts w:ascii="Times New Roman" w:hAnsi="Times New Roman" w:eastAsia="Times New Roman" w:cs="Times New Roman"/>
          <w:color w:val="auto"/>
          <w:sz w:val="21"/>
          <w:szCs w:val="21"/>
          <w:highlight w:val="none"/>
        </w:rPr>
      </w:pPr>
      <w:r>
        <w:rPr>
          <w:rFonts w:ascii="宋体" w:hAnsi="宋体" w:eastAsia="宋体" w:cs="宋体"/>
          <w:color w:val="auto"/>
          <w:spacing w:val="-1"/>
          <w:position w:val="14"/>
          <w:sz w:val="21"/>
          <w:szCs w:val="21"/>
          <w:highlight w:val="none"/>
        </w:rPr>
        <w:t>除专用合同条款另有约定外， 对于不属于依法必须招标的暂估价项目，采取以下第</w:t>
      </w:r>
      <w:r>
        <w:rPr>
          <w:rFonts w:ascii="宋体" w:hAnsi="宋体" w:eastAsia="宋体" w:cs="宋体"/>
          <w:color w:val="auto"/>
          <w:spacing w:val="40"/>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w:t>
      </w:r>
    </w:p>
    <w:p w14:paraId="3439BED9">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种方式确定：</w:t>
      </w:r>
    </w:p>
    <w:p w14:paraId="0DF31A26">
      <w:pPr>
        <w:spacing w:before="147"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 </w:t>
      </w:r>
      <w:r>
        <w:rPr>
          <w:rFonts w:ascii="宋体" w:hAnsi="宋体" w:eastAsia="宋体" w:cs="宋体"/>
          <w:color w:val="auto"/>
          <w:spacing w:val="-2"/>
          <w:sz w:val="21"/>
          <w:szCs w:val="21"/>
          <w:highlight w:val="none"/>
        </w:rPr>
        <w:t>种方式：对于不属于依法必须招标的暂估价项目，按本项约定确认和批</w:t>
      </w:r>
      <w:r>
        <w:rPr>
          <w:rFonts w:ascii="宋体" w:hAnsi="宋体" w:eastAsia="宋体" w:cs="宋体"/>
          <w:color w:val="auto"/>
          <w:spacing w:val="-3"/>
          <w:sz w:val="21"/>
          <w:szCs w:val="21"/>
          <w:highlight w:val="none"/>
        </w:rPr>
        <w:t>准：</w:t>
      </w:r>
    </w:p>
    <w:p w14:paraId="1D2EDD89">
      <w:pPr>
        <w:spacing w:before="152" w:line="352" w:lineRule="auto"/>
        <w:ind w:left="39" w:right="1" w:firstLine="40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）承包人应根据施工进度计划，在签订暂估价项目的采购合同、分包合同前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 xml:space="preserve">向监理人提出书面申请。监理人应当在收到申请后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天内报送发包人，发包</w:t>
      </w:r>
      <w:r>
        <w:rPr>
          <w:rFonts w:ascii="宋体" w:hAnsi="宋体" w:eastAsia="宋体" w:cs="宋体"/>
          <w:color w:val="auto"/>
          <w:spacing w:val="-1"/>
          <w:sz w:val="21"/>
          <w:szCs w:val="21"/>
          <w:highlight w:val="none"/>
        </w:rPr>
        <w:t>人应当在收到</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申请后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天内给予批准或提出修改意见，发包人逾期未予批准或提出修改意见的，视为该</w:t>
      </w:r>
    </w:p>
    <w:p w14:paraId="08ACF729">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书面申请已获得同意；</w:t>
      </w:r>
    </w:p>
    <w:p w14:paraId="6D7BE81B">
      <w:pPr>
        <w:spacing w:before="149"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）发包人认为承包人确定的供应商、分包人无法满足工程质量或合同要求</w:t>
      </w:r>
      <w:r>
        <w:rPr>
          <w:rFonts w:ascii="宋体" w:hAnsi="宋体" w:eastAsia="宋体" w:cs="宋体"/>
          <w:color w:val="auto"/>
          <w:spacing w:val="-1"/>
          <w:position w:val="14"/>
          <w:sz w:val="21"/>
          <w:szCs w:val="21"/>
          <w:highlight w:val="none"/>
        </w:rPr>
        <w:t>的，发包</w:t>
      </w:r>
    </w:p>
    <w:p w14:paraId="63C779A7">
      <w:pPr>
        <w:spacing w:line="222" w:lineRule="auto"/>
        <w:ind w:left="20"/>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人可以要求承包人重新确定暂估价项目的供应商、分包人</w:t>
      </w:r>
      <w:r>
        <w:rPr>
          <w:rFonts w:ascii="Times New Roman" w:hAnsi="Times New Roman" w:eastAsia="Times New Roman" w:cs="Times New Roman"/>
          <w:color w:val="auto"/>
          <w:spacing w:val="-1"/>
          <w:sz w:val="21"/>
          <w:szCs w:val="21"/>
          <w:highlight w:val="none"/>
        </w:rPr>
        <w:t>;</w:t>
      </w:r>
    </w:p>
    <w:p w14:paraId="2AA9020C">
      <w:pPr>
        <w:spacing w:before="150"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）承包人应当在签订暂估价合同后</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 </w:t>
      </w:r>
      <w:r>
        <w:rPr>
          <w:rFonts w:ascii="宋体" w:hAnsi="宋体" w:eastAsia="宋体" w:cs="宋体"/>
          <w:color w:val="auto"/>
          <w:spacing w:val="-3"/>
          <w:sz w:val="21"/>
          <w:szCs w:val="21"/>
          <w:highlight w:val="none"/>
        </w:rPr>
        <w:t>天内， 将暂估</w:t>
      </w:r>
      <w:r>
        <w:rPr>
          <w:rFonts w:ascii="宋体" w:hAnsi="宋体" w:eastAsia="宋体" w:cs="宋体"/>
          <w:color w:val="auto"/>
          <w:spacing w:val="-4"/>
          <w:sz w:val="21"/>
          <w:szCs w:val="21"/>
          <w:highlight w:val="none"/>
        </w:rPr>
        <w:t>价合同副本报送发包人留存。</w:t>
      </w:r>
    </w:p>
    <w:p w14:paraId="3141793E">
      <w:pPr>
        <w:spacing w:before="150"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第</w:t>
      </w:r>
      <w:r>
        <w:rPr>
          <w:rFonts w:ascii="宋体" w:hAnsi="宋体" w:eastAsia="宋体" w:cs="宋体"/>
          <w:color w:val="auto"/>
          <w:spacing w:val="-58"/>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Times New Roman" w:hAnsi="Times New Roman" w:eastAsia="Times New Roman" w:cs="Times New Roman"/>
          <w:color w:val="auto"/>
          <w:spacing w:val="-10"/>
          <w:position w:val="14"/>
          <w:sz w:val="21"/>
          <w:szCs w:val="21"/>
          <w:highlight w:val="none"/>
        </w:rPr>
        <w:t xml:space="preserve"> </w:t>
      </w:r>
      <w:r>
        <w:rPr>
          <w:rFonts w:ascii="宋体" w:hAnsi="宋体" w:eastAsia="宋体" w:cs="宋体"/>
          <w:color w:val="auto"/>
          <w:spacing w:val="-2"/>
          <w:position w:val="14"/>
          <w:sz w:val="21"/>
          <w:szCs w:val="21"/>
          <w:highlight w:val="none"/>
        </w:rPr>
        <w:t>种方式：承包人按照第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10.7.1 </w:t>
      </w:r>
      <w:r>
        <w:rPr>
          <w:rFonts w:ascii="宋体" w:hAnsi="宋体" w:eastAsia="宋体" w:cs="宋体"/>
          <w:color w:val="auto"/>
          <w:spacing w:val="-2"/>
          <w:position w:val="14"/>
          <w:sz w:val="21"/>
          <w:szCs w:val="21"/>
          <w:highlight w:val="none"/>
        </w:rPr>
        <w:t>项〔依法必须招标的暂估价项目〕</w:t>
      </w:r>
      <w:r>
        <w:rPr>
          <w:rFonts w:ascii="宋体" w:hAnsi="宋体" w:eastAsia="宋体" w:cs="宋体"/>
          <w:color w:val="auto"/>
          <w:spacing w:val="-3"/>
          <w:position w:val="14"/>
          <w:sz w:val="21"/>
          <w:szCs w:val="21"/>
          <w:highlight w:val="none"/>
        </w:rPr>
        <w:t>约定的第</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1</w:t>
      </w:r>
      <w:r>
        <w:rPr>
          <w:rFonts w:ascii="Times New Roman" w:hAnsi="Times New Roman" w:eastAsia="Times New Roman" w:cs="Times New Roman"/>
          <w:color w:val="auto"/>
          <w:spacing w:val="-10"/>
          <w:position w:val="14"/>
          <w:sz w:val="21"/>
          <w:szCs w:val="21"/>
          <w:highlight w:val="none"/>
        </w:rPr>
        <w:t xml:space="preserve"> </w:t>
      </w:r>
      <w:r>
        <w:rPr>
          <w:rFonts w:ascii="宋体" w:hAnsi="宋体" w:eastAsia="宋体" w:cs="宋体"/>
          <w:color w:val="auto"/>
          <w:spacing w:val="-3"/>
          <w:position w:val="14"/>
          <w:sz w:val="21"/>
          <w:szCs w:val="21"/>
          <w:highlight w:val="none"/>
        </w:rPr>
        <w:t>种方式</w:t>
      </w:r>
    </w:p>
    <w:p w14:paraId="3A3A9CCF">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确定暂估价项目。</w:t>
      </w:r>
    </w:p>
    <w:p w14:paraId="627C9891">
      <w:pPr>
        <w:spacing w:before="155"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种方式：承包人直接实施的暂估价项目</w:t>
      </w:r>
    </w:p>
    <w:p w14:paraId="05A76904">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承包人具备实施暂估价项目的资格和条件的，经发包人和承包人协商一致后，可由承</w:t>
      </w:r>
    </w:p>
    <w:p w14:paraId="2EEBC98D">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包人自行实施暂估价项目，合同当事人可以在专用合同条款约定</w:t>
      </w:r>
      <w:r>
        <w:rPr>
          <w:rFonts w:ascii="宋体" w:hAnsi="宋体" w:eastAsia="宋体" w:cs="宋体"/>
          <w:color w:val="auto"/>
          <w:spacing w:val="-1"/>
          <w:sz w:val="21"/>
          <w:szCs w:val="21"/>
          <w:highlight w:val="none"/>
        </w:rPr>
        <w:t>具体事项。</w:t>
      </w:r>
    </w:p>
    <w:p w14:paraId="78FF48CA">
      <w:pPr>
        <w:spacing w:before="155" w:line="398" w:lineRule="exact"/>
        <w:ind w:right="2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10.7.3  </w:t>
      </w:r>
      <w:r>
        <w:rPr>
          <w:rFonts w:ascii="宋体" w:hAnsi="宋体" w:eastAsia="宋体" w:cs="宋体"/>
          <w:color w:val="auto"/>
          <w:spacing w:val="1"/>
          <w:position w:val="14"/>
          <w:sz w:val="21"/>
          <w:szCs w:val="21"/>
          <w:highlight w:val="none"/>
        </w:rPr>
        <w:t>因发包人原因导致暂估价合同订立和履行迟延的，</w:t>
      </w:r>
      <w:r>
        <w:rPr>
          <w:rFonts w:ascii="宋体" w:hAnsi="宋体" w:eastAsia="宋体" w:cs="宋体"/>
          <w:color w:val="auto"/>
          <w:spacing w:val="-61"/>
          <w:position w:val="14"/>
          <w:sz w:val="21"/>
          <w:szCs w:val="21"/>
          <w:highlight w:val="none"/>
        </w:rPr>
        <w:t xml:space="preserve"> </w:t>
      </w:r>
      <w:r>
        <w:rPr>
          <w:rFonts w:ascii="宋体" w:hAnsi="宋体" w:eastAsia="宋体" w:cs="宋体"/>
          <w:color w:val="auto"/>
          <w:spacing w:val="1"/>
          <w:position w:val="14"/>
          <w:sz w:val="21"/>
          <w:szCs w:val="21"/>
          <w:highlight w:val="none"/>
        </w:rPr>
        <w:t>由此增加的费用和</w:t>
      </w:r>
      <w:r>
        <w:rPr>
          <w:rFonts w:ascii="宋体" w:hAnsi="宋体" w:eastAsia="宋体" w:cs="宋体"/>
          <w:color w:val="auto"/>
          <w:position w:val="14"/>
          <w:sz w:val="21"/>
          <w:szCs w:val="21"/>
          <w:highlight w:val="none"/>
        </w:rPr>
        <w:t>（或）延</w:t>
      </w:r>
    </w:p>
    <w:p w14:paraId="02E531FE">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误的工期由发包人承担，并支付承包人合理的利润。因承包人原因导致</w:t>
      </w:r>
      <w:r>
        <w:rPr>
          <w:rFonts w:ascii="宋体" w:hAnsi="宋体" w:eastAsia="宋体" w:cs="宋体"/>
          <w:color w:val="auto"/>
          <w:spacing w:val="2"/>
          <w:sz w:val="21"/>
          <w:szCs w:val="21"/>
          <w:highlight w:val="none"/>
        </w:rPr>
        <w:t>暂估价合同订立和</w:t>
      </w:r>
    </w:p>
    <w:p w14:paraId="295A7220">
      <w:pPr>
        <w:spacing w:before="149" w:line="221"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履行迟延的，由此增加的费用和（或） 延误的工期由承包人承担。</w:t>
      </w:r>
    </w:p>
    <w:p w14:paraId="060486B7">
      <w:pPr>
        <w:spacing w:before="50"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10.8</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暂列金额</w:t>
      </w:r>
    </w:p>
    <w:p w14:paraId="414A4389">
      <w:pPr>
        <w:spacing w:before="129" w:line="221" w:lineRule="auto"/>
        <w:ind w:right="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暂列金额应按照发包人的要求使用， 发包人的要求应通过监理人发出。合同当事人可</w:t>
      </w:r>
    </w:p>
    <w:p w14:paraId="35AC6CE9">
      <w:pPr>
        <w:spacing w:before="148" w:line="221"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以在专用合同条款中协商确定有关事项。</w:t>
      </w:r>
    </w:p>
    <w:p w14:paraId="3AD02AA0">
      <w:pPr>
        <w:spacing w:before="45" w:line="222"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10.9</w:t>
      </w:r>
      <w:r>
        <w:rPr>
          <w:rFonts w:ascii="黑体" w:hAnsi="黑体" w:eastAsia="黑体" w:cs="黑体"/>
          <w:color w:val="auto"/>
          <w:spacing w:val="-47"/>
          <w:sz w:val="24"/>
          <w:szCs w:val="24"/>
          <w:highlight w:val="none"/>
        </w:rPr>
        <w:t xml:space="preserve"> </w:t>
      </w:r>
      <w:r>
        <w:rPr>
          <w:rFonts w:ascii="黑体" w:hAnsi="黑体" w:eastAsia="黑体" w:cs="黑体"/>
          <w:color w:val="auto"/>
          <w:spacing w:val="-5"/>
          <w:sz w:val="24"/>
          <w:szCs w:val="24"/>
          <w:highlight w:val="none"/>
        </w:rPr>
        <w:t>计日工</w:t>
      </w:r>
    </w:p>
    <w:p w14:paraId="125D4CA7">
      <w:pPr>
        <w:spacing w:before="125" w:line="352" w:lineRule="auto"/>
        <w:ind w:left="17" w:right="10" w:firstLine="4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需要采用计日工方式的，经发包人同意后，由监理人通</w:t>
      </w:r>
      <w:r>
        <w:rPr>
          <w:rFonts w:ascii="宋体" w:hAnsi="宋体" w:eastAsia="宋体" w:cs="宋体"/>
          <w:color w:val="auto"/>
          <w:spacing w:val="2"/>
          <w:sz w:val="21"/>
          <w:szCs w:val="21"/>
          <w:highlight w:val="none"/>
        </w:rPr>
        <w:t>知承包人以计日工计价方式实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施相应的工作，其价款按列入已标价工程量清单或预算书中的计日工计价项目及</w:t>
      </w:r>
      <w:r>
        <w:rPr>
          <w:rFonts w:ascii="宋体" w:hAnsi="宋体" w:eastAsia="宋体" w:cs="宋体"/>
          <w:color w:val="auto"/>
          <w:spacing w:val="2"/>
          <w:sz w:val="21"/>
          <w:szCs w:val="21"/>
          <w:highlight w:val="none"/>
        </w:rPr>
        <w:t>其单价进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行计算；已标价工程量清单或预算书中无相应的计日工单价的，按照合理的成</w:t>
      </w:r>
      <w:r>
        <w:rPr>
          <w:rFonts w:ascii="宋体" w:hAnsi="宋体" w:eastAsia="宋体" w:cs="宋体"/>
          <w:color w:val="auto"/>
          <w:spacing w:val="2"/>
          <w:sz w:val="21"/>
          <w:szCs w:val="21"/>
          <w:highlight w:val="none"/>
        </w:rPr>
        <w:t>本与利润构</w:t>
      </w:r>
    </w:p>
    <w:p w14:paraId="505A9E90">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成的原则，</w:t>
      </w:r>
      <w:r>
        <w:rPr>
          <w:rFonts w:ascii="宋体" w:hAnsi="宋体" w:eastAsia="宋体" w:cs="宋体"/>
          <w:color w:val="auto"/>
          <w:spacing w:val="85"/>
          <w:sz w:val="21"/>
          <w:szCs w:val="21"/>
          <w:highlight w:val="none"/>
        </w:rPr>
        <w:t xml:space="preserve"> </w:t>
      </w:r>
      <w:r>
        <w:rPr>
          <w:rFonts w:ascii="宋体" w:hAnsi="宋体" w:eastAsia="宋体" w:cs="宋体"/>
          <w:color w:val="auto"/>
          <w:spacing w:val="-6"/>
          <w:sz w:val="21"/>
          <w:szCs w:val="21"/>
          <w:highlight w:val="none"/>
        </w:rPr>
        <w:t>由合同当事人按照第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6"/>
          <w:sz w:val="21"/>
          <w:szCs w:val="21"/>
          <w:highlight w:val="none"/>
        </w:rPr>
        <w:t xml:space="preserve">4.4 </w:t>
      </w:r>
      <w:r>
        <w:rPr>
          <w:rFonts w:ascii="宋体" w:hAnsi="宋体" w:eastAsia="宋体" w:cs="宋体"/>
          <w:color w:val="auto"/>
          <w:spacing w:val="-6"/>
          <w:sz w:val="21"/>
          <w:szCs w:val="21"/>
          <w:highlight w:val="none"/>
        </w:rPr>
        <w:t>款〔商定或确定〕确定计日工的单价。</w:t>
      </w:r>
    </w:p>
    <w:p w14:paraId="4BECCD8E">
      <w:pPr>
        <w:spacing w:before="149"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采用计日工计价的任何一项工作，承包人应在该项工作实施过程中， 每天提交以下报</w:t>
      </w:r>
    </w:p>
    <w:p w14:paraId="2938F430">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表和有关凭证报送监理人审查：</w:t>
      </w:r>
    </w:p>
    <w:p w14:paraId="661D32F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）工作名称、内容和数量；</w:t>
      </w:r>
    </w:p>
    <w:p w14:paraId="62D5DA41">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）投入该工作的所有人员的姓名、专业、工种、级别和耗用工时；</w:t>
      </w:r>
    </w:p>
    <w:p w14:paraId="6435131F">
      <w:pPr>
        <w:spacing w:line="221" w:lineRule="auto"/>
        <w:rPr>
          <w:rFonts w:ascii="宋体" w:hAnsi="宋体" w:eastAsia="宋体" w:cs="宋体"/>
          <w:color w:val="auto"/>
          <w:sz w:val="21"/>
          <w:szCs w:val="21"/>
          <w:highlight w:val="none"/>
        </w:rPr>
        <w:sectPr>
          <w:footerReference r:id="rId72" w:type="default"/>
          <w:pgSz w:w="11905" w:h="16839"/>
          <w:pgMar w:top="1431" w:right="1785" w:bottom="1004" w:left="1785" w:header="0" w:footer="828" w:gutter="0"/>
          <w:pgNumType w:fmt="decimal"/>
          <w:cols w:space="720" w:num="1"/>
        </w:sectPr>
      </w:pPr>
    </w:p>
    <w:p w14:paraId="5ADB7AC3">
      <w:pPr>
        <w:spacing w:before="149"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）投入该工作的材料类别和数量；</w:t>
      </w:r>
    </w:p>
    <w:p w14:paraId="1DC1D197">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宋体" w:hAnsi="宋体" w:eastAsia="宋体" w:cs="宋体"/>
          <w:color w:val="auto"/>
          <w:spacing w:val="-1"/>
          <w:position w:val="14"/>
          <w:sz w:val="21"/>
          <w:szCs w:val="21"/>
          <w:highlight w:val="none"/>
        </w:rPr>
        <w:t>）投入该工作的施工设备型号、台数和耗用台时；</w:t>
      </w:r>
    </w:p>
    <w:p w14:paraId="759FD1D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）其他有关资料和凭证。</w:t>
      </w:r>
    </w:p>
    <w:p w14:paraId="7D878EA9">
      <w:pPr>
        <w:spacing w:before="148" w:line="398" w:lineRule="exact"/>
        <w:ind w:right="14"/>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计日工由承包人汇总后，列入最近一期进度付款申请单，由监理人审查并经发包人批</w:t>
      </w:r>
    </w:p>
    <w:p w14:paraId="2348CFF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准后列入进度付款。</w:t>
      </w:r>
    </w:p>
    <w:p w14:paraId="646B816D">
      <w:pPr>
        <w:spacing w:before="177" w:line="220"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11.价格调整</w:t>
      </w:r>
    </w:p>
    <w:p w14:paraId="7B72343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11.1</w:t>
      </w:r>
      <w:r>
        <w:rPr>
          <w:rFonts w:ascii="黑体" w:hAnsi="黑体" w:eastAsia="黑体" w:cs="黑体"/>
          <w:color w:val="auto"/>
          <w:spacing w:val="-39"/>
          <w:sz w:val="24"/>
          <w:szCs w:val="24"/>
          <w:highlight w:val="none"/>
        </w:rPr>
        <w:t xml:space="preserve"> </w:t>
      </w:r>
      <w:r>
        <w:rPr>
          <w:rFonts w:ascii="黑体" w:hAnsi="黑体" w:eastAsia="黑体" w:cs="黑体"/>
          <w:color w:val="auto"/>
          <w:spacing w:val="-3"/>
          <w:sz w:val="24"/>
          <w:szCs w:val="24"/>
          <w:highlight w:val="none"/>
        </w:rPr>
        <w:t>市场价格波动引起的调整</w:t>
      </w:r>
    </w:p>
    <w:p w14:paraId="1FAB13F1">
      <w:pPr>
        <w:spacing w:before="12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除专用合同条款另有约定外，市场价格波动超过合同当事人约</w:t>
      </w:r>
      <w:r>
        <w:rPr>
          <w:rFonts w:ascii="宋体" w:hAnsi="宋体" w:eastAsia="宋体" w:cs="宋体"/>
          <w:color w:val="auto"/>
          <w:spacing w:val="2"/>
          <w:position w:val="14"/>
          <w:sz w:val="21"/>
          <w:szCs w:val="21"/>
          <w:highlight w:val="none"/>
        </w:rPr>
        <w:t>定的范围，合同价格应</w:t>
      </w:r>
    </w:p>
    <w:p w14:paraId="040B036B">
      <w:pPr>
        <w:spacing w:line="219" w:lineRule="auto"/>
        <w:ind w:left="3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当调整。合同当事人可以在专用合同条款中约定选择以下一</w:t>
      </w:r>
      <w:r>
        <w:rPr>
          <w:rFonts w:ascii="宋体" w:hAnsi="宋体" w:eastAsia="宋体" w:cs="宋体"/>
          <w:color w:val="auto"/>
          <w:spacing w:val="-2"/>
          <w:sz w:val="21"/>
          <w:szCs w:val="21"/>
          <w:highlight w:val="none"/>
        </w:rPr>
        <w:t>种方式对合同价格进行调整：</w:t>
      </w:r>
    </w:p>
    <w:p w14:paraId="276D8184">
      <w:pPr>
        <w:spacing w:before="154"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第</w:t>
      </w:r>
      <w:r>
        <w:rPr>
          <w:rFonts w:ascii="宋体" w:hAnsi="宋体"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 xml:space="preserve">1 </w:t>
      </w:r>
      <w:r>
        <w:rPr>
          <w:rFonts w:ascii="宋体" w:hAnsi="宋体" w:eastAsia="宋体" w:cs="宋体"/>
          <w:color w:val="auto"/>
          <w:spacing w:val="-3"/>
          <w:position w:val="14"/>
          <w:sz w:val="21"/>
          <w:szCs w:val="21"/>
          <w:highlight w:val="none"/>
        </w:rPr>
        <w:t>种方式：采用价格指数进行价格调整。</w:t>
      </w:r>
    </w:p>
    <w:p w14:paraId="2E1803E3">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）价格调整公式</w:t>
      </w:r>
    </w:p>
    <w:p w14:paraId="5636794A">
      <w:pPr>
        <w:spacing w:before="150" w:line="403" w:lineRule="exact"/>
        <w:ind w:right="12"/>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因人工、材料和设备等价格波动影响合同价格时，根据专用合同条款中约定的数据，</w:t>
      </w:r>
    </w:p>
    <w:p w14:paraId="1A055C0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按以下公式计算差额并调整合同价格：</w:t>
      </w:r>
    </w:p>
    <w:p w14:paraId="0584B3D5">
      <w:pPr>
        <w:spacing w:before="61" w:line="284" w:lineRule="exact"/>
        <w:ind w:left="1753"/>
        <w:rPr>
          <w:rFonts w:ascii="微软雅黑" w:hAnsi="微软雅黑" w:eastAsia="微软雅黑" w:cs="微软雅黑"/>
          <w:color w:val="auto"/>
          <w:sz w:val="25"/>
          <w:szCs w:val="25"/>
          <w:highlight w:val="none"/>
        </w:rPr>
      </w:pPr>
      <w:r>
        <w:rPr>
          <w:color w:val="auto"/>
          <w:highlight w:val="none"/>
        </w:rPr>
        <w:pict>
          <v:shape id="_x0000_s2051" o:spid="_x0000_s2051" o:spt="202" type="#_x0000_t202" style="position:absolute;left:0pt;margin-left:54.15pt;margin-top:11.45pt;height:20.8pt;width:307.15pt;z-index:-251655168;mso-width-relative:page;mso-height-relative:page;" filled="f" stroked="f" coordsize="21600,21600">
            <v:path/>
            <v:fill on="f" focussize="0,0"/>
            <v:stroke on="f"/>
            <v:imagedata o:title=""/>
            <o:lock v:ext="edit" aspectratio="f"/>
            <v:textbox inset="0mm,0mm,0mm,0mm">
              <w:txbxContent>
                <w:p w14:paraId="4BB0BB5A">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微软雅黑" w:hAnsi="微软雅黑" w:eastAsia="微软雅黑" w:cs="微软雅黑"/>
          <w:color w:val="auto"/>
          <w:spacing w:val="6"/>
          <w:position w:val="1"/>
          <w:sz w:val="25"/>
          <w:szCs w:val="25"/>
          <w:highlight w:val="none"/>
        </w:rPr>
        <w:t>「</w:t>
      </w:r>
      <w:r>
        <w:rPr>
          <w:rFonts w:ascii="微软雅黑" w:hAnsi="微软雅黑" w:eastAsia="微软雅黑" w:cs="微软雅黑"/>
          <w:color w:val="auto"/>
          <w:spacing w:val="1"/>
          <w:position w:val="1"/>
          <w:sz w:val="25"/>
          <w:szCs w:val="25"/>
          <w:highlight w:val="none"/>
        </w:rPr>
        <w:t xml:space="preserve">     </w:t>
      </w:r>
      <w:r>
        <w:rPr>
          <w:rFonts w:ascii="微软雅黑" w:hAnsi="微软雅黑" w:eastAsia="微软雅黑" w:cs="微软雅黑"/>
          <w:color w:val="auto"/>
          <w:spacing w:val="6"/>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3"/>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6"/>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9"/>
          <w:w w:val="101"/>
          <w:position w:val="-1"/>
          <w:sz w:val="25"/>
          <w:szCs w:val="25"/>
          <w:highlight w:val="none"/>
        </w:rPr>
        <w:t xml:space="preserve">  </w:t>
      </w:r>
      <w:r>
        <w:rPr>
          <w:rFonts w:ascii="微软雅黑" w:hAnsi="微软雅黑" w:eastAsia="微软雅黑" w:cs="微软雅黑"/>
          <w:color w:val="auto"/>
          <w:spacing w:val="6"/>
          <w:sz w:val="25"/>
          <w:szCs w:val="25"/>
          <w:highlight w:val="none"/>
        </w:rPr>
        <w:t xml:space="preserve">)   </w:t>
      </w:r>
      <w:r>
        <w:rPr>
          <w:rFonts w:ascii="微软雅黑" w:hAnsi="微软雅黑" w:eastAsia="微软雅黑" w:cs="微软雅黑"/>
          <w:color w:val="auto"/>
          <w:spacing w:val="5"/>
          <w:sz w:val="25"/>
          <w:szCs w:val="25"/>
          <w:highlight w:val="none"/>
        </w:rPr>
        <w:t xml:space="preserve"> </w:t>
      </w:r>
      <w:r>
        <w:rPr>
          <w:rFonts w:ascii="微软雅黑" w:hAnsi="微软雅黑" w:eastAsia="微软雅黑" w:cs="微软雅黑"/>
          <w:color w:val="auto"/>
          <w:spacing w:val="5"/>
          <w:position w:val="1"/>
          <w:sz w:val="25"/>
          <w:szCs w:val="25"/>
          <w:highlight w:val="none"/>
        </w:rPr>
        <w:t>]</w:t>
      </w:r>
    </w:p>
    <w:p w14:paraId="0D8F63A3">
      <w:pPr>
        <w:spacing w:before="183" w:line="194" w:lineRule="auto"/>
        <w:ind w:left="1878"/>
        <w:rPr>
          <w:rFonts w:ascii="微软雅黑" w:hAnsi="微软雅黑" w:eastAsia="微软雅黑" w:cs="微软雅黑"/>
          <w:color w:val="auto"/>
          <w:sz w:val="25"/>
          <w:szCs w:val="25"/>
          <w:highlight w:val="none"/>
        </w:rPr>
      </w:pPr>
      <w:r>
        <w:rPr>
          <w:rFonts w:ascii="微软雅黑" w:hAnsi="微软雅黑" w:eastAsia="微软雅黑" w:cs="微软雅黑"/>
          <w:color w:val="auto"/>
          <w:spacing w:val="-2"/>
          <w:position w:val="-3"/>
          <w:sz w:val="25"/>
          <w:szCs w:val="25"/>
          <w:highlight w:val="none"/>
        </w:rPr>
        <w:t xml:space="preserve">L   </w:t>
      </w:r>
      <w:r>
        <w:rPr>
          <w:rFonts w:ascii="微软雅黑" w:hAnsi="微软雅黑" w:eastAsia="微软雅黑" w:cs="微软雅黑"/>
          <w:color w:val="auto"/>
          <w:spacing w:val="-2"/>
          <w:position w:val="-1"/>
          <w:sz w:val="25"/>
          <w:szCs w:val="25"/>
          <w:highlight w:val="none"/>
        </w:rPr>
        <w:t>（</w:t>
      </w:r>
      <w:r>
        <w:rPr>
          <w:rFonts w:ascii="微软雅黑" w:hAnsi="微软雅黑" w:eastAsia="微软雅黑" w:cs="微软雅黑"/>
          <w:color w:val="auto"/>
          <w:spacing w:val="3"/>
          <w:position w:val="-1"/>
          <w:sz w:val="25"/>
          <w:szCs w:val="25"/>
          <w:highlight w:val="none"/>
        </w:rPr>
        <w:t xml:space="preserve">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01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02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03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0</w:t>
      </w:r>
      <w:r>
        <w:rPr>
          <w:rFonts w:ascii="Times New Roman" w:hAnsi="Times New Roman" w:eastAsia="Times New Roman" w:cs="Times New Roman"/>
          <w:i/>
          <w:iCs/>
          <w:color w:val="auto"/>
          <w:spacing w:val="-2"/>
          <w:sz w:val="15"/>
          <w:szCs w:val="15"/>
          <w:highlight w:val="none"/>
        </w:rPr>
        <w:t>n</w:t>
      </w:r>
      <w:r>
        <w:rPr>
          <w:rFonts w:ascii="Times New Roman" w:hAnsi="Times New Roman" w:eastAsia="Times New Roman" w:cs="Times New Roman"/>
          <w:i/>
          <w:iCs/>
          <w:color w:val="auto"/>
          <w:spacing w:val="22"/>
          <w:w w:val="102"/>
          <w:sz w:val="15"/>
          <w:szCs w:val="15"/>
          <w:highlight w:val="none"/>
        </w:rPr>
        <w:t xml:space="preserve"> </w:t>
      </w:r>
      <w:r>
        <w:rPr>
          <w:rFonts w:ascii="微软雅黑" w:hAnsi="微软雅黑" w:eastAsia="微软雅黑" w:cs="微软雅黑"/>
          <w:color w:val="auto"/>
          <w:spacing w:val="-2"/>
          <w:position w:val="-1"/>
          <w:sz w:val="25"/>
          <w:szCs w:val="25"/>
          <w:highlight w:val="none"/>
        </w:rPr>
        <w:t>)</w:t>
      </w:r>
      <w:r>
        <w:rPr>
          <w:rFonts w:ascii="微软雅黑" w:hAnsi="微软雅黑" w:eastAsia="微软雅黑" w:cs="微软雅黑"/>
          <w:color w:val="auto"/>
          <w:spacing w:val="-3"/>
          <w:position w:val="-1"/>
          <w:sz w:val="25"/>
          <w:szCs w:val="25"/>
          <w:highlight w:val="none"/>
        </w:rPr>
        <w:t xml:space="preserve">    </w:t>
      </w:r>
      <w:r>
        <w:rPr>
          <w:rFonts w:ascii="微软雅黑" w:hAnsi="微软雅黑" w:eastAsia="微软雅黑" w:cs="微软雅黑"/>
          <w:color w:val="auto"/>
          <w:spacing w:val="-3"/>
          <w:position w:val="-3"/>
          <w:sz w:val="25"/>
          <w:szCs w:val="25"/>
          <w:highlight w:val="none"/>
        </w:rPr>
        <w:t>」</w:t>
      </w:r>
    </w:p>
    <w:p w14:paraId="2C6FF98D">
      <w:pPr>
        <w:pStyle w:val="5"/>
        <w:spacing w:line="265" w:lineRule="auto"/>
        <w:rPr>
          <w:color w:val="auto"/>
          <w:highlight w:val="none"/>
        </w:rPr>
      </w:pPr>
    </w:p>
    <w:p w14:paraId="673F9F5A">
      <w:pPr>
        <w:pStyle w:val="5"/>
        <w:spacing w:line="266" w:lineRule="auto"/>
        <w:rPr>
          <w:color w:val="auto"/>
          <w:highlight w:val="none"/>
        </w:rPr>
      </w:pPr>
    </w:p>
    <w:p w14:paraId="78AC6F73">
      <w:pPr>
        <w:spacing w:before="69" w:line="219" w:lineRule="auto"/>
        <w:ind w:left="44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公式中：   </w:t>
      </w:r>
      <w:r>
        <w:rPr>
          <w:rFonts w:ascii="Times New Roman" w:hAnsi="Times New Roman" w:eastAsia="Times New Roman" w:cs="Times New Roman"/>
          <w:color w:val="auto"/>
          <w:spacing w:val="-9"/>
          <w:sz w:val="21"/>
          <w:szCs w:val="21"/>
          <w:highlight w:val="none"/>
        </w:rPr>
        <w:t>ΔP——</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9"/>
          <w:sz w:val="21"/>
          <w:szCs w:val="21"/>
          <w:highlight w:val="none"/>
        </w:rPr>
        <w:t>需调整的价格差额；</w:t>
      </w:r>
    </w:p>
    <w:p w14:paraId="614E1940">
      <w:pPr>
        <w:spacing w:before="150" w:line="352" w:lineRule="auto"/>
        <w:ind w:left="18" w:right="11" w:firstLine="1781"/>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P</w:t>
      </w:r>
      <w:r>
        <w:rPr>
          <w:rFonts w:ascii="Times New Roman" w:hAnsi="Times New Roman" w:eastAsia="Times New Roman" w:cs="Times New Roman"/>
          <w:color w:val="auto"/>
          <w:spacing w:val="1"/>
          <w:position w:val="-1"/>
          <w:sz w:val="13"/>
          <w:szCs w:val="13"/>
          <w:highlight w:val="none"/>
        </w:rPr>
        <w:t>0</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约定的付款证书中承包人应得到的已完成工程量的金额。此项金</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额应不包括价格调整、不计质量保证金的扣留和支付、预付款的支付和扣回</w:t>
      </w:r>
      <w:r>
        <w:rPr>
          <w:rFonts w:ascii="宋体" w:hAnsi="宋体" w:eastAsia="宋体" w:cs="宋体"/>
          <w:color w:val="auto"/>
          <w:spacing w:val="2"/>
          <w:sz w:val="21"/>
          <w:szCs w:val="21"/>
          <w:highlight w:val="none"/>
        </w:rPr>
        <w:t>。约定的变更</w:t>
      </w:r>
    </w:p>
    <w:p w14:paraId="63E5C7E8">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及其他金额已按现行价格计价的，也不计在内；</w:t>
      </w:r>
    </w:p>
    <w:p w14:paraId="1A3BBC39">
      <w:pPr>
        <w:spacing w:before="149" w:line="221" w:lineRule="auto"/>
        <w:ind w:left="1798"/>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A——</w:t>
      </w:r>
      <w:r>
        <w:rPr>
          <w:rFonts w:ascii="宋体" w:hAnsi="宋体" w:eastAsia="宋体" w:cs="宋体"/>
          <w:color w:val="auto"/>
          <w:spacing w:val="-6"/>
          <w:sz w:val="21"/>
          <w:szCs w:val="21"/>
          <w:highlight w:val="none"/>
        </w:rPr>
        <w:t>定值权重（即不调部分的权重</w:t>
      </w:r>
      <w:r>
        <w:rPr>
          <w:rFonts w:ascii="宋体" w:hAnsi="宋体" w:eastAsia="宋体" w:cs="宋体"/>
          <w:color w:val="auto"/>
          <w:spacing w:val="-10"/>
          <w:sz w:val="21"/>
          <w:szCs w:val="21"/>
          <w:highlight w:val="none"/>
        </w:rPr>
        <w:t>）；</w:t>
      </w:r>
    </w:p>
    <w:p w14:paraId="0AEFA31E">
      <w:pPr>
        <w:spacing w:before="148" w:line="403"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1</w:t>
      </w:r>
      <w:r>
        <w:rPr>
          <w:rFonts w:ascii="Times New Roman" w:hAnsi="Times New Roman" w:eastAsia="Times New Roman" w:cs="Times New Roman"/>
          <w:color w:val="auto"/>
          <w:spacing w:val="-18"/>
          <w:position w:val="14"/>
          <w:sz w:val="14"/>
          <w:szCs w:val="14"/>
          <w:highlight w:val="none"/>
        </w:rPr>
        <w:t>;</w:t>
      </w:r>
      <w:r>
        <w:rPr>
          <w:rFonts w:ascii="Times New Roman" w:hAnsi="Times New Roman" w:eastAsia="Times New Roman" w:cs="Times New Roman"/>
          <w:color w:val="auto"/>
          <w:spacing w:val="18"/>
          <w:w w:val="101"/>
          <w:position w:val="14"/>
          <w:sz w:val="14"/>
          <w:szCs w:val="14"/>
          <w:highlight w:val="none"/>
        </w:rPr>
        <w:t xml:space="preserve">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3"/>
          <w:sz w:val="13"/>
          <w:szCs w:val="13"/>
          <w:highlight w:val="none"/>
        </w:rPr>
        <w:t xml:space="preserve">2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3</w:t>
      </w:r>
      <w:r>
        <w:rPr>
          <w:rFonts w:ascii="宋体" w:hAnsi="宋体" w:eastAsia="宋体" w:cs="宋体"/>
          <w:color w:val="auto"/>
          <w:spacing w:val="-18"/>
          <w:position w:val="14"/>
          <w:sz w:val="14"/>
          <w:szCs w:val="14"/>
          <w:highlight w:val="none"/>
        </w:rPr>
        <w:t>·····</w:t>
      </w:r>
      <w:r>
        <w:rPr>
          <w:rFonts w:ascii="Times New Roman" w:hAnsi="Times New Roman" w:eastAsia="Times New Roman" w:cs="Times New Roman"/>
          <w:color w:val="auto"/>
          <w:spacing w:val="-2"/>
          <w:position w:val="14"/>
          <w:sz w:val="21"/>
          <w:szCs w:val="21"/>
          <w:highlight w:val="none"/>
        </w:rPr>
        <w:t>B</w:t>
      </w:r>
      <w:r>
        <w:rPr>
          <w:rFonts w:ascii="Times New Roman" w:hAnsi="Times New Roman" w:eastAsia="Times New Roman" w:cs="Times New Roman"/>
          <w:color w:val="auto"/>
          <w:spacing w:val="-2"/>
          <w:position w:val="13"/>
          <w:sz w:val="13"/>
          <w:szCs w:val="13"/>
          <w:highlight w:val="none"/>
        </w:rPr>
        <w:t>n</w:t>
      </w:r>
      <w:r>
        <w:rPr>
          <w:rFonts w:ascii="Times New Roman" w:hAnsi="Times New Roman" w:eastAsia="Times New Roman" w:cs="Times New Roman"/>
          <w:color w:val="auto"/>
          <w:spacing w:val="-2"/>
          <w:position w:val="14"/>
          <w:sz w:val="21"/>
          <w:szCs w:val="21"/>
          <w:highlight w:val="none"/>
        </w:rPr>
        <w:t>——</w:t>
      </w:r>
      <w:r>
        <w:rPr>
          <w:rFonts w:ascii="宋体" w:hAnsi="宋体" w:eastAsia="宋体" w:cs="宋体"/>
          <w:color w:val="auto"/>
          <w:spacing w:val="-2"/>
          <w:position w:val="14"/>
          <w:sz w:val="21"/>
          <w:szCs w:val="21"/>
          <w:highlight w:val="none"/>
        </w:rPr>
        <w:t>各可调因子的变值权重（即可调部分的权重</w:t>
      </w:r>
      <w:r>
        <w:rPr>
          <w:rFonts w:ascii="宋体" w:hAnsi="宋体" w:eastAsia="宋体" w:cs="宋体"/>
          <w:color w:val="auto"/>
          <w:spacing w:val="-7"/>
          <w:position w:val="14"/>
          <w:sz w:val="21"/>
          <w:szCs w:val="21"/>
          <w:highlight w:val="none"/>
        </w:rPr>
        <w:t>），</w:t>
      </w:r>
      <w:r>
        <w:rPr>
          <w:rFonts w:ascii="宋体" w:hAnsi="宋体" w:eastAsia="宋体" w:cs="宋体"/>
          <w:color w:val="auto"/>
          <w:spacing w:val="-2"/>
          <w:position w:val="14"/>
          <w:sz w:val="21"/>
          <w:szCs w:val="21"/>
          <w:highlight w:val="none"/>
        </w:rPr>
        <w:t>为各可</w:t>
      </w:r>
      <w:r>
        <w:rPr>
          <w:rFonts w:ascii="宋体" w:hAnsi="宋体" w:eastAsia="宋体" w:cs="宋体"/>
          <w:color w:val="auto"/>
          <w:spacing w:val="-3"/>
          <w:position w:val="14"/>
          <w:sz w:val="21"/>
          <w:szCs w:val="21"/>
          <w:highlight w:val="none"/>
        </w:rPr>
        <w:t>调因子在签</w:t>
      </w:r>
    </w:p>
    <w:p w14:paraId="66B07A9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约合同价中所占的比例；</w:t>
      </w:r>
    </w:p>
    <w:p w14:paraId="33B2FD34">
      <w:pPr>
        <w:spacing w:before="149" w:line="399"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t1</w:t>
      </w:r>
      <w:r>
        <w:rPr>
          <w:rFonts w:ascii="Times New Roman" w:hAnsi="Times New Roman" w:eastAsia="Times New Roman" w:cs="Times New Roman"/>
          <w:color w:val="auto"/>
          <w:spacing w:val="13"/>
          <w:w w:val="103"/>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t2</w:t>
      </w:r>
      <w:r>
        <w:rPr>
          <w:rFonts w:ascii="Times New Roman" w:hAnsi="Times New Roman" w:eastAsia="Times New Roman" w:cs="Times New Roman"/>
          <w:color w:val="auto"/>
          <w:spacing w:val="7"/>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3"/>
          <w:sz w:val="13"/>
          <w:szCs w:val="13"/>
          <w:highlight w:val="none"/>
        </w:rPr>
        <w:t>t3</w:t>
      </w:r>
      <w:r>
        <w:rPr>
          <w:rFonts w:ascii="宋体" w:hAnsi="宋体" w:eastAsia="宋体" w:cs="宋体"/>
          <w:color w:val="auto"/>
          <w:spacing w:val="-17"/>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tn</w:t>
      </w:r>
      <w:r>
        <w:rPr>
          <w:rFonts w:ascii="Times New Roman" w:hAnsi="Times New Roman" w:eastAsia="Times New Roman" w:cs="Times New Roman"/>
          <w:color w:val="auto"/>
          <w:spacing w:val="-3"/>
          <w:position w:val="13"/>
          <w:sz w:val="21"/>
          <w:szCs w:val="21"/>
          <w:highlight w:val="none"/>
        </w:rPr>
        <w:t>——</w:t>
      </w:r>
      <w:r>
        <w:rPr>
          <w:rFonts w:ascii="宋体" w:hAnsi="宋体" w:eastAsia="宋体" w:cs="宋体"/>
          <w:color w:val="auto"/>
          <w:spacing w:val="-3"/>
          <w:position w:val="13"/>
          <w:sz w:val="21"/>
          <w:szCs w:val="21"/>
          <w:highlight w:val="none"/>
        </w:rPr>
        <w:t>各可调因子的现行价格指数， 指约定的付款证书相关周期最后一</w:t>
      </w:r>
    </w:p>
    <w:p w14:paraId="25975CE0">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天的前</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42 </w:t>
      </w:r>
      <w:r>
        <w:rPr>
          <w:rFonts w:ascii="宋体" w:hAnsi="宋体" w:eastAsia="宋体" w:cs="宋体"/>
          <w:color w:val="auto"/>
          <w:spacing w:val="-2"/>
          <w:sz w:val="21"/>
          <w:szCs w:val="21"/>
          <w:highlight w:val="none"/>
        </w:rPr>
        <w:t>天的各可调因子的价格指数；</w:t>
      </w:r>
    </w:p>
    <w:p w14:paraId="09F806B8">
      <w:pPr>
        <w:spacing w:before="154" w:line="399"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2"/>
          <w:sz w:val="13"/>
          <w:szCs w:val="13"/>
          <w:highlight w:val="none"/>
        </w:rPr>
        <w:t>o1</w:t>
      </w:r>
      <w:r>
        <w:rPr>
          <w:rFonts w:ascii="Times New Roman" w:hAnsi="Times New Roman" w:eastAsia="Times New Roman" w:cs="Times New Roman"/>
          <w:color w:val="auto"/>
          <w:spacing w:val="4"/>
          <w:position w:val="12"/>
          <w:sz w:val="13"/>
          <w:szCs w:val="13"/>
          <w:highlight w:val="none"/>
        </w:rPr>
        <w:t xml:space="preserve"> </w:t>
      </w:r>
      <w:r>
        <w:rPr>
          <w:rFonts w:ascii="Times New Roman" w:hAnsi="Times New Roman" w:eastAsia="Times New Roman" w:cs="Times New Roman"/>
          <w:color w:val="auto"/>
          <w:spacing w:val="-12"/>
          <w:position w:val="13"/>
          <w:sz w:val="21"/>
          <w:szCs w:val="21"/>
          <w:highlight w:val="none"/>
        </w:rPr>
        <w:t>; F</w:t>
      </w:r>
      <w:r>
        <w:rPr>
          <w:rFonts w:ascii="Times New Roman" w:hAnsi="Times New Roman" w:eastAsia="Times New Roman" w:cs="Times New Roman"/>
          <w:color w:val="auto"/>
          <w:spacing w:val="-12"/>
          <w:position w:val="13"/>
          <w:sz w:val="13"/>
          <w:szCs w:val="13"/>
          <w:highlight w:val="none"/>
        </w:rPr>
        <w:t>o2</w:t>
      </w:r>
      <w:r>
        <w:rPr>
          <w:rFonts w:ascii="Times New Roman" w:hAnsi="Times New Roman" w:eastAsia="Times New Roman" w:cs="Times New Roman"/>
          <w:color w:val="auto"/>
          <w:spacing w:val="-12"/>
          <w:position w:val="13"/>
          <w:sz w:val="14"/>
          <w:szCs w:val="14"/>
          <w:highlight w:val="none"/>
        </w:rPr>
        <w:t>;</w:t>
      </w:r>
      <w:r>
        <w:rPr>
          <w:rFonts w:ascii="Times New Roman" w:hAnsi="Times New Roman" w:eastAsia="Times New Roman" w:cs="Times New Roman"/>
          <w:color w:val="auto"/>
          <w:spacing w:val="13"/>
          <w:w w:val="101"/>
          <w:position w:val="13"/>
          <w:sz w:val="14"/>
          <w:szCs w:val="14"/>
          <w:highlight w:val="none"/>
        </w:rPr>
        <w:t xml:space="preserve"> </w:t>
      </w: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3"/>
          <w:sz w:val="13"/>
          <w:szCs w:val="13"/>
          <w:highlight w:val="none"/>
        </w:rPr>
        <w:t>o3</w:t>
      </w:r>
      <w:r>
        <w:rPr>
          <w:rFonts w:ascii="宋体" w:hAnsi="宋体" w:eastAsia="宋体" w:cs="宋体"/>
          <w:color w:val="auto"/>
          <w:spacing w:val="-12"/>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on</w:t>
      </w:r>
      <w:r>
        <w:rPr>
          <w:rFonts w:ascii="Times New Roman" w:hAnsi="Times New Roman" w:eastAsia="Times New Roman" w:cs="Times New Roman"/>
          <w:color w:val="auto"/>
          <w:spacing w:val="-3"/>
          <w:position w:val="13"/>
          <w:sz w:val="21"/>
          <w:szCs w:val="21"/>
          <w:highlight w:val="none"/>
        </w:rPr>
        <w:t>——</w:t>
      </w:r>
      <w:r>
        <w:rPr>
          <w:rFonts w:ascii="宋体" w:hAnsi="宋体" w:eastAsia="宋体" w:cs="宋体"/>
          <w:color w:val="auto"/>
          <w:spacing w:val="-3"/>
          <w:position w:val="13"/>
          <w:sz w:val="21"/>
          <w:szCs w:val="21"/>
          <w:highlight w:val="none"/>
        </w:rPr>
        <w:t>各可调因子的基本价格指数， 指基准日期的各可调因子的价格指</w:t>
      </w:r>
    </w:p>
    <w:p w14:paraId="5D3ED2C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数。</w:t>
      </w:r>
    </w:p>
    <w:p w14:paraId="77759718">
      <w:pPr>
        <w:spacing w:before="147" w:line="352" w:lineRule="auto"/>
        <w:ind w:left="20" w:right="6" w:firstLine="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以上价格调整公式中的各可调因子、定值和变值权</w:t>
      </w:r>
      <w:r>
        <w:rPr>
          <w:rFonts w:ascii="宋体" w:hAnsi="宋体" w:eastAsia="宋体" w:cs="宋体"/>
          <w:color w:val="auto"/>
          <w:spacing w:val="-2"/>
          <w:sz w:val="21"/>
          <w:szCs w:val="21"/>
          <w:highlight w:val="none"/>
        </w:rPr>
        <w:t>重，</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以及基本价格指数及其来源在</w:t>
      </w:r>
      <w:r>
        <w:rPr>
          <w:rFonts w:ascii="宋体" w:hAnsi="宋体" w:eastAsia="宋体" w:cs="宋体"/>
          <w:color w:val="auto"/>
          <w:sz w:val="21"/>
          <w:szCs w:val="21"/>
          <w:highlight w:val="none"/>
        </w:rPr>
        <w:t xml:space="preserve"> 投标函附录价格指数和权重表中约定，非招标订立的合同， 由合同当事人在专用合同条款</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中约定。价格指数应首先采用工程造价管理机构发</w:t>
      </w:r>
      <w:r>
        <w:rPr>
          <w:rFonts w:ascii="宋体" w:hAnsi="宋体" w:eastAsia="宋体" w:cs="宋体"/>
          <w:color w:val="auto"/>
          <w:spacing w:val="-3"/>
          <w:sz w:val="21"/>
          <w:szCs w:val="21"/>
          <w:highlight w:val="none"/>
        </w:rPr>
        <w:t>布的价格指数， 无前述价格指数时， 可</w:t>
      </w:r>
    </w:p>
    <w:p w14:paraId="4A90EEB4">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采用工程造价管理机构发布的价格代替。</w:t>
      </w:r>
    </w:p>
    <w:p w14:paraId="2A0471BC">
      <w:pPr>
        <w:spacing w:before="154"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）暂时确定调整差额</w:t>
      </w:r>
    </w:p>
    <w:p w14:paraId="5634F4F3">
      <w:pPr>
        <w:spacing w:before="147"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在计算调整差额时无现行价格指数的，合同当事人同意暂用前次价格指数计算。实际</w:t>
      </w:r>
    </w:p>
    <w:p w14:paraId="193C4FE5">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价格指数有调整的， 合同当事人进行相应调整。</w:t>
      </w:r>
    </w:p>
    <w:p w14:paraId="08BC3AA1">
      <w:pPr>
        <w:spacing w:line="219" w:lineRule="auto"/>
        <w:rPr>
          <w:rFonts w:ascii="宋体" w:hAnsi="宋体" w:eastAsia="宋体" w:cs="宋体"/>
          <w:color w:val="auto"/>
          <w:sz w:val="21"/>
          <w:szCs w:val="21"/>
          <w:highlight w:val="none"/>
        </w:rPr>
        <w:sectPr>
          <w:footerReference r:id="rId73" w:type="default"/>
          <w:pgSz w:w="11905" w:h="16839"/>
          <w:pgMar w:top="1431" w:right="1785" w:bottom="1004" w:left="1785" w:header="0" w:footer="828" w:gutter="0"/>
          <w:pgNumType w:fmt="decimal"/>
          <w:cols w:space="720" w:num="1"/>
        </w:sectPr>
      </w:pPr>
    </w:p>
    <w:p w14:paraId="0505FF64">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）权重的调整</w:t>
      </w:r>
    </w:p>
    <w:p w14:paraId="62B56FE7">
      <w:pPr>
        <w:spacing w:before="147" w:line="403" w:lineRule="exact"/>
        <w:ind w:left="45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因变更导致合同约定的权重不合理时， 按照第</w:t>
      </w:r>
      <w:r>
        <w:rPr>
          <w:rFonts w:ascii="宋体" w:hAnsi="宋体"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 xml:space="preserve">4.4 </w:t>
      </w:r>
      <w:r>
        <w:rPr>
          <w:rFonts w:ascii="宋体" w:hAnsi="宋体" w:eastAsia="宋体" w:cs="宋体"/>
          <w:color w:val="auto"/>
          <w:spacing w:val="-4"/>
          <w:position w:val="14"/>
          <w:sz w:val="21"/>
          <w:szCs w:val="21"/>
          <w:highlight w:val="none"/>
        </w:rPr>
        <w:t>款〔商定或确定〕执行。</w:t>
      </w:r>
    </w:p>
    <w:p w14:paraId="7FD1ED93">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）因承包人原因工期延误后的价格调整</w:t>
      </w:r>
    </w:p>
    <w:p w14:paraId="79A82DDF">
      <w:pPr>
        <w:spacing w:before="150" w:line="352" w:lineRule="auto"/>
        <w:ind w:left="20" w:right="179" w:firstLine="4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因承包人原因未按期竣工的，对合同约定的竣工日期</w:t>
      </w:r>
      <w:r>
        <w:rPr>
          <w:rFonts w:ascii="宋体" w:hAnsi="宋体" w:eastAsia="宋体" w:cs="宋体"/>
          <w:color w:val="auto"/>
          <w:spacing w:val="2"/>
          <w:sz w:val="21"/>
          <w:szCs w:val="21"/>
          <w:highlight w:val="none"/>
        </w:rPr>
        <w:t>后继续施工的工程，在使用价格</w:t>
      </w:r>
      <w:r>
        <w:rPr>
          <w:rFonts w:ascii="宋体" w:hAnsi="宋体" w:eastAsia="宋体" w:cs="宋体"/>
          <w:color w:val="auto"/>
          <w:sz w:val="21"/>
          <w:szCs w:val="21"/>
          <w:highlight w:val="none"/>
        </w:rPr>
        <w:t xml:space="preserve"> 调整公式时， 应采用计划竣工日期与实际竣工日期的两个价格指数中较低的一个作为现行</w:t>
      </w:r>
    </w:p>
    <w:p w14:paraId="590D6A0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价格指数。</w:t>
      </w:r>
    </w:p>
    <w:p w14:paraId="2C7F1D5E">
      <w:pPr>
        <w:spacing w:before="149"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 </w:t>
      </w:r>
      <w:r>
        <w:rPr>
          <w:rFonts w:ascii="宋体" w:hAnsi="宋体" w:eastAsia="宋体" w:cs="宋体"/>
          <w:color w:val="auto"/>
          <w:spacing w:val="-2"/>
          <w:sz w:val="21"/>
          <w:szCs w:val="21"/>
          <w:highlight w:val="none"/>
        </w:rPr>
        <w:t>种方式：采用造价信息进行价格调整。</w:t>
      </w:r>
    </w:p>
    <w:p w14:paraId="265FD4BA">
      <w:pPr>
        <w:spacing w:before="151" w:line="352" w:lineRule="auto"/>
        <w:ind w:left="17" w:firstLine="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合同履行期间，因人工、材料、工程设备和机械台班价格波动影响合同价格时， 人工、</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机械使用费按照国家或省、自治区、直辖市建设行政管理</w:t>
      </w:r>
      <w:r>
        <w:rPr>
          <w:rFonts w:ascii="宋体" w:hAnsi="宋体" w:eastAsia="宋体" w:cs="宋体"/>
          <w:color w:val="auto"/>
          <w:spacing w:val="2"/>
          <w:sz w:val="21"/>
          <w:szCs w:val="21"/>
          <w:highlight w:val="none"/>
        </w:rPr>
        <w:t>部门、行业建设管理部门或其授  权的工程造价管理机构发布的人工、机械使用费系数进行调整；需要进行价格调整的材料，</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其单价和采购数量应由发包人审批，发包人确认需调整的材料单价及数量， 作为调整合同</w:t>
      </w:r>
    </w:p>
    <w:p w14:paraId="763A45C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价格的依据。</w:t>
      </w:r>
    </w:p>
    <w:p w14:paraId="5F9914FC">
      <w:pPr>
        <w:spacing w:before="151" w:line="352" w:lineRule="auto"/>
        <w:ind w:left="31" w:right="185" w:firstLine="41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）人工单价发生变化且符合省级或行业建设主管部门发布的人工费调整规定</w:t>
      </w:r>
      <w:r>
        <w:rPr>
          <w:rFonts w:ascii="宋体" w:hAnsi="宋体" w:eastAsia="宋体" w:cs="宋体"/>
          <w:color w:val="auto"/>
          <w:spacing w:val="-1"/>
          <w:sz w:val="21"/>
          <w:szCs w:val="21"/>
          <w:highlight w:val="none"/>
        </w:rPr>
        <w:t>，合同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当事人应按省级或行业建设主管部门或其授权</w:t>
      </w:r>
      <w:r>
        <w:rPr>
          <w:rFonts w:ascii="宋体" w:hAnsi="宋体" w:eastAsia="宋体" w:cs="宋体"/>
          <w:color w:val="auto"/>
          <w:spacing w:val="2"/>
          <w:sz w:val="21"/>
          <w:szCs w:val="21"/>
          <w:highlight w:val="none"/>
        </w:rPr>
        <w:t>的工程造价管理机构发布的人工费等文件调</w:t>
      </w:r>
    </w:p>
    <w:p w14:paraId="5A5A83D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整合同价格，但承包人对人工费或人工单价的报价高于发布价格的除外。</w:t>
      </w:r>
    </w:p>
    <w:p w14:paraId="0F338BD9">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）材料、工程设备价格变化的价款调整按照发包人提供的</w:t>
      </w:r>
      <w:r>
        <w:rPr>
          <w:rFonts w:ascii="宋体" w:hAnsi="宋体" w:eastAsia="宋体" w:cs="宋体"/>
          <w:color w:val="auto"/>
          <w:spacing w:val="-5"/>
          <w:position w:val="14"/>
          <w:sz w:val="21"/>
          <w:szCs w:val="21"/>
          <w:highlight w:val="none"/>
        </w:rPr>
        <w:t>基准价格，</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5"/>
          <w:position w:val="14"/>
          <w:sz w:val="21"/>
          <w:szCs w:val="21"/>
          <w:highlight w:val="none"/>
        </w:rPr>
        <w:t>按以下风险范</w:t>
      </w:r>
    </w:p>
    <w:p w14:paraId="3B703330">
      <w:pPr>
        <w:spacing w:before="1" w:line="234" w:lineRule="auto"/>
        <w:ind w:left="37"/>
        <w:rPr>
          <w:rFonts w:ascii="Times New Roman" w:hAnsi="Times New Roman" w:eastAsia="Times New Roman" w:cs="Times New Roman"/>
          <w:color w:val="auto"/>
          <w:sz w:val="21"/>
          <w:szCs w:val="21"/>
          <w:highlight w:val="none"/>
        </w:rPr>
      </w:pPr>
      <w:r>
        <w:rPr>
          <w:rFonts w:ascii="宋体" w:hAnsi="宋体" w:eastAsia="宋体" w:cs="宋体"/>
          <w:color w:val="auto"/>
          <w:spacing w:val="-4"/>
          <w:sz w:val="21"/>
          <w:szCs w:val="21"/>
          <w:highlight w:val="none"/>
        </w:rPr>
        <w:t>围规定执行</w:t>
      </w:r>
      <w:r>
        <w:rPr>
          <w:rFonts w:ascii="Times New Roman" w:hAnsi="Times New Roman" w:eastAsia="Times New Roman" w:cs="Times New Roman"/>
          <w:color w:val="auto"/>
          <w:spacing w:val="-4"/>
          <w:sz w:val="21"/>
          <w:szCs w:val="21"/>
          <w:highlight w:val="none"/>
        </w:rPr>
        <w:t>:</w:t>
      </w:r>
    </w:p>
    <w:p w14:paraId="40FA1DEB">
      <w:pPr>
        <w:spacing w:before="135" w:line="352" w:lineRule="auto"/>
        <w:ind w:left="20" w:right="179" w:firstLine="626"/>
        <w:rPr>
          <w:rFonts w:ascii="宋体" w:hAnsi="宋体" w:eastAsia="宋体" w:cs="宋体"/>
          <w:color w:val="auto"/>
          <w:sz w:val="21"/>
          <w:szCs w:val="21"/>
          <w:highlight w:val="none"/>
        </w:rPr>
      </w:pPr>
      <w:r>
        <w:rPr>
          <w:rFonts w:ascii="宋体" w:hAnsi="宋体" w:eastAsia="宋体" w:cs="宋体"/>
          <w:color w:val="auto"/>
          <w:sz w:val="21"/>
          <w:szCs w:val="21"/>
          <w:highlight w:val="none"/>
        </w:rPr>
        <w:t>①承包人在已标价工程量清单或预算书中载明材料单价低于基准价格的： 除专用合</w:t>
      </w:r>
      <w:r>
        <w:rPr>
          <w:rFonts w:ascii="宋体" w:hAnsi="宋体" w:eastAsia="宋体" w:cs="宋体"/>
          <w:color w:val="auto"/>
          <w:spacing w:val="8"/>
          <w:sz w:val="21"/>
          <w:szCs w:val="21"/>
          <w:highlight w:val="none"/>
        </w:rPr>
        <w:t xml:space="preserve"> </w:t>
      </w:r>
      <w:r>
        <w:rPr>
          <w:rFonts w:ascii="宋体" w:hAnsi="宋体" w:eastAsia="宋体" w:cs="宋体"/>
          <w:color w:val="auto"/>
          <w:spacing w:val="-5"/>
          <w:sz w:val="21"/>
          <w:szCs w:val="21"/>
          <w:highlight w:val="none"/>
        </w:rPr>
        <w:t>同条款另有约定外， 合同履行期间材料单价涨幅以基准价格为基础超过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时</w:t>
      </w:r>
      <w:r>
        <w:rPr>
          <w:rFonts w:ascii="宋体" w:hAnsi="宋体" w:eastAsia="宋体" w:cs="宋体"/>
          <w:color w:val="auto"/>
          <w:spacing w:val="-6"/>
          <w:sz w:val="21"/>
          <w:szCs w:val="21"/>
          <w:highlight w:val="none"/>
        </w:rPr>
        <w:t>，</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或材料单价</w:t>
      </w:r>
      <w:r>
        <w:rPr>
          <w:rFonts w:ascii="宋体" w:hAnsi="宋体" w:eastAsia="宋体" w:cs="宋体"/>
          <w:color w:val="auto"/>
          <w:sz w:val="21"/>
          <w:szCs w:val="21"/>
          <w:highlight w:val="none"/>
        </w:rPr>
        <w:t xml:space="preserve"> 跌幅以在已标价工程量清单或预算书中载明材料单价为</w:t>
      </w:r>
      <w:r>
        <w:rPr>
          <w:rFonts w:ascii="宋体" w:hAnsi="宋体" w:eastAsia="宋体" w:cs="宋体"/>
          <w:color w:val="auto"/>
          <w:spacing w:val="-1"/>
          <w:sz w:val="21"/>
          <w:szCs w:val="21"/>
          <w:highlight w:val="none"/>
        </w:rPr>
        <w:t>基础超过</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时，其超过部分据实调</w:t>
      </w:r>
    </w:p>
    <w:p w14:paraId="0D2F0338">
      <w:pPr>
        <w:spacing w:before="1" w:line="227"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整。</w:t>
      </w:r>
    </w:p>
    <w:p w14:paraId="3A34D052">
      <w:pPr>
        <w:spacing w:before="140" w:line="352" w:lineRule="auto"/>
        <w:ind w:left="39" w:right="179" w:firstLine="606"/>
        <w:rPr>
          <w:rFonts w:ascii="宋体" w:hAnsi="宋体" w:eastAsia="宋体" w:cs="宋体"/>
          <w:color w:val="auto"/>
          <w:sz w:val="21"/>
          <w:szCs w:val="21"/>
          <w:highlight w:val="none"/>
        </w:rPr>
      </w:pPr>
      <w:r>
        <w:rPr>
          <w:rFonts w:ascii="宋体" w:hAnsi="宋体" w:eastAsia="宋体" w:cs="宋体"/>
          <w:color w:val="auto"/>
          <w:sz w:val="21"/>
          <w:szCs w:val="21"/>
          <w:highlight w:val="none"/>
        </w:rPr>
        <w:t>②承包人在已标价工程量清单或预算书中载明材料单价高于基准价格的： 除专用合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同条款另有约定外， 合同履行期间材料单</w:t>
      </w:r>
      <w:r>
        <w:rPr>
          <w:rFonts w:ascii="宋体" w:hAnsi="宋体" w:eastAsia="宋体" w:cs="宋体"/>
          <w:color w:val="auto"/>
          <w:spacing w:val="-6"/>
          <w:sz w:val="21"/>
          <w:szCs w:val="21"/>
          <w:highlight w:val="none"/>
        </w:rPr>
        <w:t>价跌幅以基准价格为基础超过</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6"/>
          <w:sz w:val="21"/>
          <w:szCs w:val="21"/>
          <w:highlight w:val="none"/>
        </w:rPr>
        <w:t>5%</w:t>
      </w:r>
      <w:r>
        <w:rPr>
          <w:rFonts w:ascii="宋体" w:hAnsi="宋体" w:eastAsia="宋体" w:cs="宋体"/>
          <w:color w:val="auto"/>
          <w:spacing w:val="-6"/>
          <w:sz w:val="21"/>
          <w:szCs w:val="21"/>
          <w:highlight w:val="none"/>
        </w:rPr>
        <w:t>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6"/>
          <w:sz w:val="21"/>
          <w:szCs w:val="21"/>
          <w:highlight w:val="none"/>
        </w:rPr>
        <w:t>材料单价涨</w:t>
      </w:r>
    </w:p>
    <w:p w14:paraId="0E8C95F2">
      <w:pPr>
        <w:spacing w:line="219"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幅以在已标价工程量清单或预算书中载明材料单价为基</w:t>
      </w:r>
      <w:r>
        <w:rPr>
          <w:rFonts w:ascii="宋体" w:hAnsi="宋体" w:eastAsia="宋体" w:cs="宋体"/>
          <w:color w:val="auto"/>
          <w:spacing w:val="-4"/>
          <w:sz w:val="21"/>
          <w:szCs w:val="21"/>
          <w:highlight w:val="none"/>
        </w:rPr>
        <w:t>础超过</w:t>
      </w:r>
      <w:r>
        <w:rPr>
          <w:rFonts w:ascii="宋体" w:hAnsi="宋体" w:eastAsia="宋体" w:cs="宋体"/>
          <w:color w:val="auto"/>
          <w:spacing w:val="-40"/>
          <w:sz w:val="21"/>
          <w:szCs w:val="21"/>
          <w:highlight w:val="none"/>
        </w:rPr>
        <w:t xml:space="preserve"> </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时，</w:t>
      </w:r>
      <w:r>
        <w:rPr>
          <w:rFonts w:ascii="宋体" w:hAnsi="宋体" w:eastAsia="宋体" w:cs="宋体"/>
          <w:color w:val="auto"/>
          <w:spacing w:val="-22"/>
          <w:sz w:val="21"/>
          <w:szCs w:val="21"/>
          <w:highlight w:val="none"/>
        </w:rPr>
        <w:t xml:space="preserve"> </w:t>
      </w:r>
      <w:r>
        <w:rPr>
          <w:rFonts w:ascii="宋体" w:hAnsi="宋体" w:eastAsia="宋体" w:cs="宋体"/>
          <w:color w:val="auto"/>
          <w:spacing w:val="-4"/>
          <w:sz w:val="21"/>
          <w:szCs w:val="21"/>
          <w:highlight w:val="none"/>
        </w:rPr>
        <w:t>其超过部分据实调整。</w:t>
      </w:r>
    </w:p>
    <w:p w14:paraId="3D87BFBC">
      <w:pPr>
        <w:spacing w:before="149" w:line="353" w:lineRule="auto"/>
        <w:ind w:left="39" w:right="175" w:firstLine="606"/>
        <w:rPr>
          <w:rFonts w:ascii="宋体" w:hAnsi="宋体" w:eastAsia="宋体" w:cs="宋体"/>
          <w:color w:val="auto"/>
          <w:sz w:val="21"/>
          <w:szCs w:val="21"/>
          <w:highlight w:val="none"/>
        </w:rPr>
      </w:pPr>
      <w:r>
        <w:rPr>
          <w:rFonts w:ascii="宋体" w:hAnsi="宋体" w:eastAsia="宋体" w:cs="宋体"/>
          <w:color w:val="auto"/>
          <w:sz w:val="21"/>
          <w:szCs w:val="21"/>
          <w:highlight w:val="none"/>
        </w:rPr>
        <w:t>③承包人在已标价工程量清单或预算书中载明材料单价等于基准价格的： 除专用合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同条款另有约定外，合同履行期间材料单价涨跌幅以基准价格为基础超过</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时，其超过</w:t>
      </w:r>
    </w:p>
    <w:p w14:paraId="01449EC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部分据实调整。</w:t>
      </w:r>
    </w:p>
    <w:p w14:paraId="38654B68">
      <w:pPr>
        <w:spacing w:before="147" w:line="352" w:lineRule="auto"/>
        <w:ind w:left="20" w:right="184" w:firstLine="625"/>
        <w:rPr>
          <w:rFonts w:ascii="宋体" w:hAnsi="宋体" w:eastAsia="宋体" w:cs="宋体"/>
          <w:color w:val="auto"/>
          <w:sz w:val="21"/>
          <w:szCs w:val="21"/>
          <w:highlight w:val="none"/>
        </w:rPr>
      </w:pPr>
      <w:r>
        <w:rPr>
          <w:rFonts w:ascii="宋体" w:hAnsi="宋体" w:eastAsia="宋体" w:cs="宋体"/>
          <w:color w:val="auto"/>
          <w:sz w:val="21"/>
          <w:szCs w:val="21"/>
          <w:highlight w:val="none"/>
        </w:rPr>
        <w:t>④承包人应在采购材料前将采购数量和新的材料单价报发包人核对， 发包人确认用</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于工程时，发包人应确认采购材料的数量和单价。发包人在收到承包人报</w:t>
      </w:r>
      <w:r>
        <w:rPr>
          <w:rFonts w:ascii="宋体" w:hAnsi="宋体" w:eastAsia="宋体" w:cs="宋体"/>
          <w:color w:val="auto"/>
          <w:spacing w:val="2"/>
          <w:sz w:val="21"/>
          <w:szCs w:val="21"/>
          <w:highlight w:val="none"/>
        </w:rPr>
        <w:t>送的确认资料后</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5</w:t>
      </w:r>
      <w:r>
        <w:rPr>
          <w:rFonts w:ascii="Times New Roman" w:hAnsi="Times New Roman" w:eastAsia="Times New Roman" w:cs="Times New Roman"/>
          <w:color w:val="auto"/>
          <w:spacing w:val="57"/>
          <w:sz w:val="21"/>
          <w:szCs w:val="21"/>
          <w:highlight w:val="none"/>
        </w:rPr>
        <w:t xml:space="preserve"> </w:t>
      </w:r>
      <w:r>
        <w:rPr>
          <w:rFonts w:ascii="宋体" w:hAnsi="宋体" w:eastAsia="宋体" w:cs="宋体"/>
          <w:color w:val="auto"/>
          <w:sz w:val="21"/>
          <w:szCs w:val="21"/>
          <w:highlight w:val="none"/>
        </w:rPr>
        <w:t>天内不予答复的视为认可， 作为调整合同价格的依据。未经发包人事先核对，承包人自</w:t>
      </w:r>
    </w:p>
    <w:p w14:paraId="61068D27">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行采购材料的，发包人有权不予调整合同价格。发包人同意的，</w:t>
      </w:r>
      <w:r>
        <w:rPr>
          <w:rFonts w:ascii="宋体" w:hAnsi="宋体" w:eastAsia="宋体" w:cs="宋体"/>
          <w:color w:val="auto"/>
          <w:spacing w:val="71"/>
          <w:sz w:val="21"/>
          <w:szCs w:val="21"/>
          <w:highlight w:val="none"/>
        </w:rPr>
        <w:t xml:space="preserve"> </w:t>
      </w:r>
      <w:r>
        <w:rPr>
          <w:rFonts w:ascii="宋体" w:hAnsi="宋体" w:eastAsia="宋体" w:cs="宋体"/>
          <w:color w:val="auto"/>
          <w:spacing w:val="-5"/>
          <w:sz w:val="21"/>
          <w:szCs w:val="21"/>
          <w:highlight w:val="none"/>
        </w:rPr>
        <w:t>可以调整合同价格。</w:t>
      </w:r>
    </w:p>
    <w:p w14:paraId="00A1D24B">
      <w:pPr>
        <w:spacing w:before="150" w:line="352" w:lineRule="auto"/>
        <w:ind w:left="18" w:right="179"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前述基准价格是指由发包人在招标文件或专用合同条款中给定的材料、工程设备的价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格，该价格原则上应当按照省级或行业建设主管部门或其授权的工程造价管</w:t>
      </w:r>
      <w:r>
        <w:rPr>
          <w:rFonts w:ascii="宋体" w:hAnsi="宋体" w:eastAsia="宋体" w:cs="宋体"/>
          <w:color w:val="auto"/>
          <w:spacing w:val="2"/>
          <w:sz w:val="21"/>
          <w:szCs w:val="21"/>
          <w:highlight w:val="none"/>
        </w:rPr>
        <w:t>理机构发布的</w:t>
      </w:r>
    </w:p>
    <w:p w14:paraId="47FCC998">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信息价编制。</w:t>
      </w:r>
    </w:p>
    <w:p w14:paraId="1921F907">
      <w:pPr>
        <w:spacing w:line="219" w:lineRule="auto"/>
        <w:rPr>
          <w:rFonts w:ascii="宋体" w:hAnsi="宋体" w:eastAsia="宋体" w:cs="宋体"/>
          <w:color w:val="auto"/>
          <w:sz w:val="21"/>
          <w:szCs w:val="21"/>
          <w:highlight w:val="none"/>
        </w:rPr>
        <w:sectPr>
          <w:footerReference r:id="rId74" w:type="default"/>
          <w:pgSz w:w="11905" w:h="16839"/>
          <w:pgMar w:top="1431" w:right="1612" w:bottom="1004" w:left="1785" w:header="0" w:footer="828" w:gutter="0"/>
          <w:pgNumType w:fmt="decimal"/>
          <w:cols w:space="720" w:num="1"/>
        </w:sectPr>
      </w:pPr>
    </w:p>
    <w:p w14:paraId="750DA789">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）施工机械台班单价或施工机械使用费发生变化超过省级或行业建设主管部</w:t>
      </w:r>
      <w:r>
        <w:rPr>
          <w:rFonts w:ascii="宋体" w:hAnsi="宋体" w:eastAsia="宋体" w:cs="宋体"/>
          <w:color w:val="auto"/>
          <w:spacing w:val="-1"/>
          <w:position w:val="14"/>
          <w:sz w:val="21"/>
          <w:szCs w:val="21"/>
          <w:highlight w:val="none"/>
        </w:rPr>
        <w:t>门或其</w:t>
      </w:r>
    </w:p>
    <w:p w14:paraId="1428E7A2">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授权的工程造价管理机构规定的范围时，按规定调整合同价</w:t>
      </w:r>
      <w:r>
        <w:rPr>
          <w:rFonts w:ascii="宋体" w:hAnsi="宋体" w:eastAsia="宋体" w:cs="宋体"/>
          <w:color w:val="auto"/>
          <w:spacing w:val="-2"/>
          <w:sz w:val="21"/>
          <w:szCs w:val="21"/>
          <w:highlight w:val="none"/>
        </w:rPr>
        <w:t>格。</w:t>
      </w:r>
    </w:p>
    <w:p w14:paraId="3DC801B0">
      <w:pPr>
        <w:spacing w:before="153"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种方式：专用合同条款约定的其他方式。</w:t>
      </w:r>
    </w:p>
    <w:p w14:paraId="7833451C">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11.2</w:t>
      </w:r>
      <w:r>
        <w:rPr>
          <w:rFonts w:ascii="黑体" w:hAnsi="黑体" w:eastAsia="黑体" w:cs="黑体"/>
          <w:color w:val="auto"/>
          <w:spacing w:val="-45"/>
          <w:sz w:val="24"/>
          <w:szCs w:val="24"/>
          <w:highlight w:val="none"/>
        </w:rPr>
        <w:t xml:space="preserve"> </w:t>
      </w:r>
      <w:r>
        <w:rPr>
          <w:rFonts w:ascii="黑体" w:hAnsi="黑体" w:eastAsia="黑体" w:cs="黑体"/>
          <w:color w:val="auto"/>
          <w:spacing w:val="-3"/>
          <w:sz w:val="24"/>
          <w:szCs w:val="24"/>
          <w:highlight w:val="none"/>
        </w:rPr>
        <w:t>法律变化引起的调整</w:t>
      </w:r>
    </w:p>
    <w:p w14:paraId="4FA96CCD">
      <w:pPr>
        <w:spacing w:before="129" w:line="352" w:lineRule="auto"/>
        <w:ind w:left="42" w:right="22" w:firstLine="39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基准日期后，法律变化导致承包人在合同履行过程中所需要的费用发生除第 </w:t>
      </w:r>
      <w:r>
        <w:rPr>
          <w:rFonts w:ascii="Times New Roman" w:hAnsi="Times New Roman" w:eastAsia="Times New Roman" w:cs="Times New Roman"/>
          <w:color w:val="auto"/>
          <w:spacing w:val="4"/>
          <w:sz w:val="21"/>
          <w:szCs w:val="21"/>
          <w:highlight w:val="none"/>
        </w:rPr>
        <w:t xml:space="preserve">11.1  </w:t>
      </w:r>
      <w:r>
        <w:rPr>
          <w:rFonts w:ascii="宋体" w:hAnsi="宋体" w:eastAsia="宋体" w:cs="宋体"/>
          <w:color w:val="auto"/>
          <w:spacing w:val="4"/>
          <w:sz w:val="21"/>
          <w:szCs w:val="21"/>
          <w:highlight w:val="none"/>
        </w:rPr>
        <w:t>款</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〔市场价格波动引起的调整〕约定以外的增加时，由发包人承担由此增加的费用； 减少时，</w:t>
      </w:r>
    </w:p>
    <w:p w14:paraId="522DDBD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应从合同价格中予以扣减。 基准日期后， 因法律变化造成工期延误时，工期应予以顺延。</w:t>
      </w:r>
    </w:p>
    <w:p w14:paraId="6ABF30EE">
      <w:pPr>
        <w:spacing w:before="150" w:line="398"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因法律变化引起的合同价格和工期调整， 合同当事人无法达成一致</w:t>
      </w:r>
      <w:r>
        <w:rPr>
          <w:rFonts w:ascii="宋体" w:hAnsi="宋体" w:eastAsia="宋体" w:cs="宋体"/>
          <w:color w:val="auto"/>
          <w:spacing w:val="-1"/>
          <w:position w:val="14"/>
          <w:sz w:val="21"/>
          <w:szCs w:val="21"/>
          <w:highlight w:val="none"/>
        </w:rPr>
        <w:t>的，由总监理工程</w:t>
      </w:r>
    </w:p>
    <w:p w14:paraId="65E414D4">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师按第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4.4 </w:t>
      </w:r>
      <w:r>
        <w:rPr>
          <w:rFonts w:ascii="宋体" w:hAnsi="宋体" w:eastAsia="宋体" w:cs="宋体"/>
          <w:color w:val="auto"/>
          <w:spacing w:val="-2"/>
          <w:sz w:val="21"/>
          <w:szCs w:val="21"/>
          <w:highlight w:val="none"/>
        </w:rPr>
        <w:t>款〔商定或确定〕的约定处理。</w:t>
      </w:r>
    </w:p>
    <w:p w14:paraId="6562D448">
      <w:pPr>
        <w:spacing w:before="152" w:line="398" w:lineRule="exact"/>
        <w:ind w:left="457"/>
        <w:rPr>
          <w:rFonts w:ascii="宋体" w:hAnsi="宋体" w:eastAsia="宋体" w:cs="宋体"/>
          <w:color w:val="auto"/>
          <w:sz w:val="21"/>
          <w:szCs w:val="21"/>
          <w:highlight w:val="none"/>
        </w:rPr>
      </w:pPr>
      <w:r>
        <w:rPr>
          <w:rFonts w:ascii="宋体" w:hAnsi="宋体" w:eastAsia="宋体" w:cs="宋体"/>
          <w:color w:val="auto"/>
          <w:spacing w:val="7"/>
          <w:position w:val="14"/>
          <w:sz w:val="21"/>
          <w:szCs w:val="21"/>
          <w:highlight w:val="none"/>
        </w:rPr>
        <w:t>因承包人原因造成工期延误，在工期延误期间出现法律变化的，</w:t>
      </w:r>
      <w:r>
        <w:rPr>
          <w:rFonts w:ascii="宋体" w:hAnsi="宋体" w:eastAsia="宋体" w:cs="宋体"/>
          <w:color w:val="auto"/>
          <w:spacing w:val="-57"/>
          <w:position w:val="14"/>
          <w:sz w:val="21"/>
          <w:szCs w:val="21"/>
          <w:highlight w:val="none"/>
        </w:rPr>
        <w:t xml:space="preserve"> </w:t>
      </w:r>
      <w:r>
        <w:rPr>
          <w:rFonts w:ascii="宋体" w:hAnsi="宋体" w:eastAsia="宋体" w:cs="宋体"/>
          <w:color w:val="auto"/>
          <w:spacing w:val="7"/>
          <w:position w:val="14"/>
          <w:sz w:val="21"/>
          <w:szCs w:val="21"/>
          <w:highlight w:val="none"/>
        </w:rPr>
        <w:t>由此增加的费用和</w:t>
      </w:r>
    </w:p>
    <w:p w14:paraId="7F6F6C97">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（或）延误的工期由承包人承担。</w:t>
      </w:r>
    </w:p>
    <w:p w14:paraId="61FECD78">
      <w:pPr>
        <w:spacing w:before="173" w:line="526" w:lineRule="exact"/>
        <w:ind w:left="39"/>
        <w:rPr>
          <w:rFonts w:ascii="黑体" w:hAnsi="黑体" w:eastAsia="黑体" w:cs="黑体"/>
          <w:color w:val="auto"/>
          <w:sz w:val="32"/>
          <w:szCs w:val="32"/>
          <w:highlight w:val="none"/>
        </w:rPr>
      </w:pPr>
      <w:r>
        <w:rPr>
          <w:rFonts w:ascii="黑体" w:hAnsi="黑体" w:eastAsia="黑体" w:cs="黑体"/>
          <w:color w:val="auto"/>
          <w:spacing w:val="-2"/>
          <w:position w:val="15"/>
          <w:sz w:val="32"/>
          <w:szCs w:val="32"/>
          <w:highlight w:val="none"/>
        </w:rPr>
        <w:t>12.合同价格、计量与支付</w:t>
      </w:r>
    </w:p>
    <w:p w14:paraId="01786490">
      <w:pPr>
        <w:spacing w:before="2"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12.1 合同价格形式</w:t>
      </w:r>
    </w:p>
    <w:p w14:paraId="02EA42E9">
      <w:pPr>
        <w:spacing w:before="129" w:line="403" w:lineRule="exact"/>
        <w:ind w:left="444"/>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发包人和承包人应在合同协议书中选择下列一种合同价格形式：</w:t>
      </w:r>
    </w:p>
    <w:p w14:paraId="28398660">
      <w:pPr>
        <w:spacing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单价合同</w:t>
      </w:r>
    </w:p>
    <w:p w14:paraId="522553CA">
      <w:pPr>
        <w:spacing w:before="151" w:line="351" w:lineRule="auto"/>
        <w:ind w:left="18" w:right="3"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单价合同是指合同当事人约定以工程量清单及其</w:t>
      </w:r>
      <w:r>
        <w:rPr>
          <w:rFonts w:ascii="宋体" w:hAnsi="宋体" w:eastAsia="宋体" w:cs="宋体"/>
          <w:color w:val="auto"/>
          <w:spacing w:val="2"/>
          <w:sz w:val="21"/>
          <w:szCs w:val="21"/>
          <w:highlight w:val="none"/>
        </w:rPr>
        <w:t xml:space="preserve">综合单价进行合同价格计算、调整和  </w:t>
      </w:r>
      <w:r>
        <w:rPr>
          <w:rFonts w:ascii="宋体" w:hAnsi="宋体" w:eastAsia="宋体" w:cs="宋体"/>
          <w:color w:val="auto"/>
          <w:spacing w:val="3"/>
          <w:sz w:val="21"/>
          <w:szCs w:val="21"/>
          <w:highlight w:val="none"/>
        </w:rPr>
        <w:t>确认的建设工程施工合同，在约定的范围内合同</w:t>
      </w:r>
      <w:r>
        <w:rPr>
          <w:rFonts w:ascii="宋体" w:hAnsi="宋体" w:eastAsia="宋体" w:cs="宋体"/>
          <w:color w:val="auto"/>
          <w:spacing w:val="2"/>
          <w:sz w:val="21"/>
          <w:szCs w:val="21"/>
          <w:highlight w:val="none"/>
        </w:rPr>
        <w:t xml:space="preserve">单价不作调整。合同当事人应在专用合同  </w:t>
      </w:r>
      <w:r>
        <w:rPr>
          <w:rFonts w:ascii="宋体" w:hAnsi="宋体" w:eastAsia="宋体" w:cs="宋体"/>
          <w:color w:val="auto"/>
          <w:spacing w:val="3"/>
          <w:sz w:val="21"/>
          <w:szCs w:val="21"/>
          <w:highlight w:val="none"/>
        </w:rPr>
        <w:t>条款中约定综合单价包含的风险范围和风险费用</w:t>
      </w:r>
      <w:r>
        <w:rPr>
          <w:rFonts w:ascii="宋体" w:hAnsi="宋体" w:eastAsia="宋体" w:cs="宋体"/>
          <w:color w:val="auto"/>
          <w:spacing w:val="2"/>
          <w:sz w:val="21"/>
          <w:szCs w:val="21"/>
          <w:highlight w:val="none"/>
        </w:rPr>
        <w:t xml:space="preserve">的计算方法，并约定风险范围以外的合同  </w:t>
      </w:r>
      <w:r>
        <w:rPr>
          <w:rFonts w:ascii="宋体" w:hAnsi="宋体" w:eastAsia="宋体" w:cs="宋体"/>
          <w:color w:val="auto"/>
          <w:spacing w:val="-2"/>
          <w:sz w:val="21"/>
          <w:szCs w:val="21"/>
          <w:highlight w:val="none"/>
        </w:rPr>
        <w:t xml:space="preserve">价格的调整方法，其中因市场价格波动引起的调整按第 </w:t>
      </w:r>
      <w:r>
        <w:rPr>
          <w:rFonts w:ascii="Times New Roman" w:hAnsi="Times New Roman" w:eastAsia="Times New Roman" w:cs="Times New Roman"/>
          <w:color w:val="auto"/>
          <w:spacing w:val="-2"/>
          <w:sz w:val="21"/>
          <w:szCs w:val="21"/>
          <w:highlight w:val="none"/>
        </w:rPr>
        <w:t xml:space="preserve">11.1  </w:t>
      </w:r>
      <w:r>
        <w:rPr>
          <w:rFonts w:ascii="宋体" w:hAnsi="宋体" w:eastAsia="宋体" w:cs="宋体"/>
          <w:color w:val="auto"/>
          <w:spacing w:val="-2"/>
          <w:sz w:val="21"/>
          <w:szCs w:val="21"/>
          <w:highlight w:val="none"/>
        </w:rPr>
        <w:t>款〔市场价格波动引起的调整〕</w:t>
      </w:r>
    </w:p>
    <w:p w14:paraId="370A55A6">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约定执行。</w:t>
      </w:r>
    </w:p>
    <w:p w14:paraId="3B65902F">
      <w:pPr>
        <w:spacing w:before="153"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总价合同</w:t>
      </w:r>
    </w:p>
    <w:p w14:paraId="2B3C793E">
      <w:pPr>
        <w:spacing w:before="151" w:line="351" w:lineRule="auto"/>
        <w:ind w:left="19" w:right="179"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总价合同是指合同当事人约定以施工图、已标价工程量清单或预算书及有关条</w:t>
      </w:r>
      <w:r>
        <w:rPr>
          <w:rFonts w:ascii="宋体" w:hAnsi="宋体" w:eastAsia="宋体" w:cs="宋体"/>
          <w:color w:val="auto"/>
          <w:spacing w:val="2"/>
          <w:sz w:val="21"/>
          <w:szCs w:val="21"/>
          <w:highlight w:val="none"/>
        </w:rPr>
        <w:t>件进行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合同价格计算、调整和确认的建设工程施工合同，在约定的范围内合同总价</w:t>
      </w:r>
      <w:r>
        <w:rPr>
          <w:rFonts w:ascii="宋体" w:hAnsi="宋体" w:eastAsia="宋体" w:cs="宋体"/>
          <w:color w:val="auto"/>
          <w:spacing w:val="2"/>
          <w:sz w:val="21"/>
          <w:szCs w:val="21"/>
          <w:highlight w:val="none"/>
        </w:rPr>
        <w:t>不作调整。合</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同当事人应在专用合同条款中约定总价包含的风险范围和风险费用的计算方</w:t>
      </w:r>
      <w:r>
        <w:rPr>
          <w:rFonts w:ascii="宋体" w:hAnsi="宋体" w:eastAsia="宋体" w:cs="宋体"/>
          <w:color w:val="auto"/>
          <w:spacing w:val="2"/>
          <w:sz w:val="21"/>
          <w:szCs w:val="21"/>
          <w:highlight w:val="none"/>
        </w:rPr>
        <w:t>法，并约定风</w:t>
      </w:r>
      <w:r>
        <w:rPr>
          <w:rFonts w:ascii="宋体" w:hAnsi="宋体" w:eastAsia="宋体" w:cs="宋体"/>
          <w:color w:val="auto"/>
          <w:sz w:val="21"/>
          <w:szCs w:val="21"/>
          <w:highlight w:val="none"/>
        </w:rPr>
        <w:t xml:space="preserve"> 险范围以外的合同价格的调整方法，其中因市</w:t>
      </w:r>
      <w:r>
        <w:rPr>
          <w:rFonts w:ascii="宋体" w:hAnsi="宋体" w:eastAsia="宋体" w:cs="宋体"/>
          <w:color w:val="auto"/>
          <w:spacing w:val="-1"/>
          <w:sz w:val="21"/>
          <w:szCs w:val="21"/>
          <w:highlight w:val="none"/>
        </w:rPr>
        <w:t xml:space="preserve">场价格波动引起的调整按第 </w:t>
      </w:r>
      <w:r>
        <w:rPr>
          <w:rFonts w:ascii="Times New Roman" w:hAnsi="Times New Roman" w:eastAsia="Times New Roman" w:cs="Times New Roman"/>
          <w:color w:val="auto"/>
          <w:spacing w:val="-1"/>
          <w:sz w:val="21"/>
          <w:szCs w:val="21"/>
          <w:highlight w:val="none"/>
        </w:rPr>
        <w:t>11.1</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款〔市场价</w:t>
      </w:r>
    </w:p>
    <w:p w14:paraId="75CC0536">
      <w:pPr>
        <w:spacing w:before="1"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格波动引起的调整〕、因法律变化引起的调整按第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11.2</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款〔法律变化引</w:t>
      </w:r>
      <w:r>
        <w:rPr>
          <w:rFonts w:ascii="宋体" w:hAnsi="宋体" w:eastAsia="宋体" w:cs="宋体"/>
          <w:color w:val="auto"/>
          <w:spacing w:val="-5"/>
          <w:sz w:val="21"/>
          <w:szCs w:val="21"/>
          <w:highlight w:val="none"/>
        </w:rPr>
        <w:t>起的调整〕约定执行。</w:t>
      </w:r>
    </w:p>
    <w:p w14:paraId="547C69B3">
      <w:pPr>
        <w:spacing w:before="153"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其它价格形式</w:t>
      </w:r>
    </w:p>
    <w:p w14:paraId="0F10F0E2">
      <w:pPr>
        <w:spacing w:before="149" w:line="21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合同当事人可在专用合同条款中约定其他合同价格形式。</w:t>
      </w:r>
    </w:p>
    <w:p w14:paraId="370D0DD8">
      <w:pPr>
        <w:spacing w:before="47"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12.2</w:t>
      </w:r>
      <w:r>
        <w:rPr>
          <w:rFonts w:ascii="黑体" w:hAnsi="黑体" w:eastAsia="黑体" w:cs="黑体"/>
          <w:color w:val="auto"/>
          <w:spacing w:val="-46"/>
          <w:sz w:val="24"/>
          <w:szCs w:val="24"/>
          <w:highlight w:val="none"/>
        </w:rPr>
        <w:t xml:space="preserve"> </w:t>
      </w:r>
      <w:r>
        <w:rPr>
          <w:rFonts w:ascii="黑体" w:hAnsi="黑体" w:eastAsia="黑体" w:cs="黑体"/>
          <w:color w:val="auto"/>
          <w:spacing w:val="-5"/>
          <w:sz w:val="24"/>
          <w:szCs w:val="24"/>
          <w:highlight w:val="none"/>
        </w:rPr>
        <w:t>预付款</w:t>
      </w:r>
    </w:p>
    <w:p w14:paraId="425F8960">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12.2.1 </w:t>
      </w:r>
      <w:r>
        <w:rPr>
          <w:rFonts w:ascii="宋体" w:hAnsi="宋体" w:eastAsia="宋体" w:cs="宋体"/>
          <w:color w:val="auto"/>
          <w:spacing w:val="-3"/>
          <w:sz w:val="21"/>
          <w:szCs w:val="21"/>
          <w:highlight w:val="none"/>
        </w:rPr>
        <w:t>预付款的支付</w:t>
      </w:r>
    </w:p>
    <w:p w14:paraId="330625B9">
      <w:pPr>
        <w:spacing w:before="153" w:line="350" w:lineRule="auto"/>
        <w:ind w:left="21" w:right="179" w:firstLine="42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预付款的支付按照专用合同条款约定执行，但至迟应在开工通知载明的开工日期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前支付。预付款应当用于材料、工程设备、施工设备的采购及修建临</w:t>
      </w:r>
      <w:r>
        <w:rPr>
          <w:rFonts w:ascii="宋体" w:hAnsi="宋体" w:eastAsia="宋体" w:cs="宋体"/>
          <w:color w:val="auto"/>
          <w:spacing w:val="2"/>
          <w:sz w:val="21"/>
          <w:szCs w:val="21"/>
          <w:highlight w:val="none"/>
        </w:rPr>
        <w:t>时工程、组织施工队</w:t>
      </w:r>
    </w:p>
    <w:p w14:paraId="706DFE7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伍进场等。</w:t>
      </w:r>
    </w:p>
    <w:p w14:paraId="22912FD1">
      <w:pPr>
        <w:spacing w:before="152"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除专用合同条款另有约定外，预付款在进度付款中同比例扣回</w:t>
      </w:r>
      <w:r>
        <w:rPr>
          <w:rFonts w:ascii="宋体" w:hAnsi="宋体" w:eastAsia="宋体" w:cs="宋体"/>
          <w:color w:val="auto"/>
          <w:spacing w:val="2"/>
          <w:sz w:val="21"/>
          <w:szCs w:val="21"/>
          <w:highlight w:val="none"/>
        </w:rPr>
        <w:t>。在颁发工程接收证书</w:t>
      </w:r>
    </w:p>
    <w:p w14:paraId="46BEB5B5">
      <w:pPr>
        <w:spacing w:line="220" w:lineRule="auto"/>
        <w:rPr>
          <w:rFonts w:ascii="宋体" w:hAnsi="宋体" w:eastAsia="宋体" w:cs="宋体"/>
          <w:color w:val="auto"/>
          <w:sz w:val="21"/>
          <w:szCs w:val="21"/>
          <w:highlight w:val="none"/>
        </w:rPr>
        <w:sectPr>
          <w:footerReference r:id="rId75" w:type="default"/>
          <w:pgSz w:w="11905" w:h="16839"/>
          <w:pgMar w:top="1431" w:right="1611" w:bottom="1004" w:left="1785" w:header="0" w:footer="828" w:gutter="0"/>
          <w:pgNumType w:fmt="decimal"/>
          <w:cols w:space="720" w:num="1"/>
        </w:sectPr>
      </w:pPr>
    </w:p>
    <w:p w14:paraId="261ACF5E">
      <w:pPr>
        <w:spacing w:before="149"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前，提前解除合同的，尚未扣完的预付款应与</w:t>
      </w:r>
      <w:r>
        <w:rPr>
          <w:rFonts w:ascii="宋体" w:hAnsi="宋体" w:eastAsia="宋体" w:cs="宋体"/>
          <w:color w:val="auto"/>
          <w:spacing w:val="-1"/>
          <w:sz w:val="21"/>
          <w:szCs w:val="21"/>
          <w:highlight w:val="none"/>
        </w:rPr>
        <w:t>合同价款一并结算。</w:t>
      </w:r>
    </w:p>
    <w:p w14:paraId="06B16686">
      <w:pPr>
        <w:spacing w:before="148" w:line="353" w:lineRule="auto"/>
        <w:ind w:left="21" w:right="155"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发包人逾期支付预付款超过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天的，承包人有权向发包人发出要求预付的催告通知，</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 xml:space="preserve">发包人收到通知后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1"/>
          <w:sz w:val="21"/>
          <w:szCs w:val="21"/>
          <w:highlight w:val="none"/>
        </w:rPr>
        <w:t xml:space="preserve">天内仍未支付的，承包人有权暂停施工，并按第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1"/>
          <w:sz w:val="21"/>
          <w:szCs w:val="21"/>
          <w:highlight w:val="none"/>
        </w:rPr>
        <w:t>项</w:t>
      </w:r>
      <w:r>
        <w:rPr>
          <w:rFonts w:ascii="宋体" w:hAnsi="宋体" w:eastAsia="宋体" w:cs="宋体"/>
          <w:color w:val="auto"/>
          <w:spacing w:val="-2"/>
          <w:sz w:val="21"/>
          <w:szCs w:val="21"/>
          <w:highlight w:val="none"/>
        </w:rPr>
        <w:t>〔发包人违</w:t>
      </w:r>
    </w:p>
    <w:p w14:paraId="3DF147BB">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约的情形〕执行。</w:t>
      </w:r>
    </w:p>
    <w:p w14:paraId="0656157C">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12.2.2 </w:t>
      </w:r>
      <w:r>
        <w:rPr>
          <w:rFonts w:ascii="宋体" w:hAnsi="宋体" w:eastAsia="宋体" w:cs="宋体"/>
          <w:color w:val="auto"/>
          <w:spacing w:val="-2"/>
          <w:sz w:val="21"/>
          <w:szCs w:val="21"/>
          <w:highlight w:val="none"/>
        </w:rPr>
        <w:t>预付款担保</w:t>
      </w:r>
    </w:p>
    <w:p w14:paraId="23984224">
      <w:pPr>
        <w:spacing w:before="151" w:line="352" w:lineRule="auto"/>
        <w:ind w:left="19"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发包人要求承包人提供预付款担保的，承包人应在发包人支付预付款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 xml:space="preserve">天前提供预付  </w:t>
      </w:r>
      <w:r>
        <w:rPr>
          <w:rFonts w:ascii="宋体" w:hAnsi="宋体" w:eastAsia="宋体" w:cs="宋体"/>
          <w:color w:val="auto"/>
          <w:spacing w:val="2"/>
          <w:sz w:val="21"/>
          <w:szCs w:val="21"/>
          <w:highlight w:val="none"/>
        </w:rPr>
        <w:t>款担保，专用合同条款另有约定除外。预付款担保可采用银行</w:t>
      </w:r>
      <w:r>
        <w:rPr>
          <w:rFonts w:ascii="宋体" w:hAnsi="宋体" w:eastAsia="宋体" w:cs="宋体"/>
          <w:color w:val="auto"/>
          <w:spacing w:val="1"/>
          <w:sz w:val="21"/>
          <w:szCs w:val="21"/>
          <w:highlight w:val="none"/>
        </w:rPr>
        <w:t>保函、担保公司担保等形式，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具体由合同当事人在专用合同条款中约定。在预付款完全扣回之前，承包人</w:t>
      </w:r>
      <w:r>
        <w:rPr>
          <w:rFonts w:ascii="宋体" w:hAnsi="宋体" w:eastAsia="宋体" w:cs="宋体"/>
          <w:color w:val="auto"/>
          <w:spacing w:val="2"/>
          <w:sz w:val="21"/>
          <w:szCs w:val="21"/>
          <w:highlight w:val="none"/>
        </w:rPr>
        <w:t>应保证预付款</w:t>
      </w:r>
    </w:p>
    <w:p w14:paraId="299EACA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担保持续有效。</w:t>
      </w:r>
    </w:p>
    <w:p w14:paraId="53A1194B">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发包人在工程款中逐期扣回预付款后，预付款担保额度应相应减少， 但剩余的预付款</w:t>
      </w:r>
    </w:p>
    <w:p w14:paraId="1495D36E">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担保金额不得低于未被扣回的预付款金额。</w:t>
      </w:r>
    </w:p>
    <w:p w14:paraId="55318FCF">
      <w:pPr>
        <w:spacing w:before="51" w:line="222"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12.3</w:t>
      </w:r>
      <w:r>
        <w:rPr>
          <w:rFonts w:ascii="黑体" w:hAnsi="黑体" w:eastAsia="黑体" w:cs="黑体"/>
          <w:color w:val="auto"/>
          <w:spacing w:val="-50"/>
          <w:sz w:val="24"/>
          <w:szCs w:val="24"/>
          <w:highlight w:val="none"/>
        </w:rPr>
        <w:t xml:space="preserve"> </w:t>
      </w:r>
      <w:r>
        <w:rPr>
          <w:rFonts w:ascii="黑体" w:hAnsi="黑体" w:eastAsia="黑体" w:cs="黑体"/>
          <w:color w:val="auto"/>
          <w:spacing w:val="-5"/>
          <w:sz w:val="24"/>
          <w:szCs w:val="24"/>
          <w:highlight w:val="none"/>
        </w:rPr>
        <w:t>计量</w:t>
      </w:r>
    </w:p>
    <w:p w14:paraId="64A79DF4">
      <w:pPr>
        <w:spacing w:before="12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12.3.1 </w:t>
      </w:r>
      <w:r>
        <w:rPr>
          <w:rFonts w:ascii="宋体" w:hAnsi="宋体" w:eastAsia="宋体" w:cs="宋体"/>
          <w:color w:val="auto"/>
          <w:spacing w:val="-2"/>
          <w:sz w:val="21"/>
          <w:szCs w:val="21"/>
          <w:highlight w:val="none"/>
        </w:rPr>
        <w:t>计量原则</w:t>
      </w:r>
    </w:p>
    <w:p w14:paraId="11A906B5">
      <w:pPr>
        <w:spacing w:before="146" w:line="399"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工程量计量按照合同约定的工程量计算规则、图纸及变更指示等进行计量。工程量计</w:t>
      </w:r>
    </w:p>
    <w:p w14:paraId="6FB6F768">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算规则应以相关的国家标准、行业标准等为依据，由合同当事人在专用合同条款中约定。</w:t>
      </w:r>
    </w:p>
    <w:p w14:paraId="2E48417B">
      <w:pPr>
        <w:spacing w:before="15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12.3.2 </w:t>
      </w:r>
      <w:r>
        <w:rPr>
          <w:rFonts w:ascii="宋体" w:hAnsi="宋体" w:eastAsia="宋体" w:cs="宋体"/>
          <w:color w:val="auto"/>
          <w:spacing w:val="-2"/>
          <w:sz w:val="21"/>
          <w:szCs w:val="21"/>
          <w:highlight w:val="none"/>
        </w:rPr>
        <w:t>计量周期</w:t>
      </w:r>
    </w:p>
    <w:p w14:paraId="47232D03">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工程量的计量按月进行。</w:t>
      </w:r>
    </w:p>
    <w:p w14:paraId="4B69EEF2">
      <w:pPr>
        <w:spacing w:before="147"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12.3.3 </w:t>
      </w:r>
      <w:r>
        <w:rPr>
          <w:rFonts w:ascii="宋体" w:hAnsi="宋体" w:eastAsia="宋体" w:cs="宋体"/>
          <w:color w:val="auto"/>
          <w:spacing w:val="-2"/>
          <w:sz w:val="21"/>
          <w:szCs w:val="21"/>
          <w:highlight w:val="none"/>
        </w:rPr>
        <w:t>单价合同的计量</w:t>
      </w:r>
    </w:p>
    <w:p w14:paraId="248CD82A">
      <w:pPr>
        <w:spacing w:before="155" w:line="219"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单价合同的计量按照本项约定</w:t>
      </w:r>
      <w:r>
        <w:rPr>
          <w:rFonts w:ascii="宋体" w:hAnsi="宋体" w:eastAsia="宋体" w:cs="宋体"/>
          <w:color w:val="auto"/>
          <w:spacing w:val="-5"/>
          <w:sz w:val="21"/>
          <w:szCs w:val="21"/>
          <w:highlight w:val="none"/>
        </w:rPr>
        <w:t>执行：</w:t>
      </w:r>
    </w:p>
    <w:p w14:paraId="00865C69">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宋体" w:hAnsi="宋体" w:eastAsia="宋体" w:cs="宋体"/>
          <w:color w:val="auto"/>
          <w:spacing w:val="-5"/>
          <w:position w:val="14"/>
          <w:sz w:val="21"/>
          <w:szCs w:val="21"/>
          <w:highlight w:val="none"/>
        </w:rPr>
        <w:t>）承包人应于每月</w:t>
      </w:r>
      <w:r>
        <w:rPr>
          <w:rFonts w:ascii="宋体" w:hAnsi="宋体"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日向监理人报送上月</w:t>
      </w:r>
      <w:r>
        <w:rPr>
          <w:rFonts w:ascii="宋体" w:hAnsi="宋体"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宋体" w:hAnsi="宋体" w:eastAsia="宋体" w:cs="宋体"/>
          <w:color w:val="auto"/>
          <w:spacing w:val="-5"/>
          <w:position w:val="14"/>
          <w:sz w:val="21"/>
          <w:szCs w:val="21"/>
          <w:highlight w:val="none"/>
        </w:rPr>
        <w:t>日至当月</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日已完成的工程量报告，</w:t>
      </w:r>
    </w:p>
    <w:p w14:paraId="579C3F7A">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并附具进度付款申请单、已完成工程量报表和有关</w:t>
      </w:r>
      <w:r>
        <w:rPr>
          <w:rFonts w:ascii="宋体" w:hAnsi="宋体" w:eastAsia="宋体" w:cs="宋体"/>
          <w:color w:val="auto"/>
          <w:spacing w:val="-2"/>
          <w:sz w:val="21"/>
          <w:szCs w:val="21"/>
          <w:highlight w:val="none"/>
        </w:rPr>
        <w:t>资料。</w:t>
      </w:r>
    </w:p>
    <w:p w14:paraId="7BCD9F68">
      <w:pPr>
        <w:spacing w:before="155" w:line="351" w:lineRule="auto"/>
        <w:ind w:left="17" w:right="156"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）监理人应在收到承包人提交的工程量报告</w:t>
      </w:r>
      <w:r>
        <w:rPr>
          <w:rFonts w:ascii="宋体" w:hAnsi="宋体" w:eastAsia="宋体" w:cs="宋体"/>
          <w:color w:val="auto"/>
          <w:spacing w:val="-1"/>
          <w:sz w:val="21"/>
          <w:szCs w:val="21"/>
          <w:highlight w:val="none"/>
        </w:rPr>
        <w:t>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天内完成对承包人提交的工程量报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表的审核并报送发包人，以确定当月实际完成的工程量。监理人对工程量有异</w:t>
      </w:r>
      <w:r>
        <w:rPr>
          <w:rFonts w:ascii="宋体" w:hAnsi="宋体" w:eastAsia="宋体" w:cs="宋体"/>
          <w:color w:val="auto"/>
          <w:spacing w:val="2"/>
          <w:sz w:val="21"/>
          <w:szCs w:val="21"/>
          <w:highlight w:val="none"/>
        </w:rPr>
        <w:t>议的，有权</w:t>
      </w:r>
      <w:r>
        <w:rPr>
          <w:rFonts w:ascii="宋体" w:hAnsi="宋体" w:eastAsia="宋体" w:cs="宋体"/>
          <w:color w:val="auto"/>
          <w:sz w:val="21"/>
          <w:szCs w:val="21"/>
          <w:highlight w:val="none"/>
        </w:rPr>
        <w:t xml:space="preserve"> 要求承包人进行共同复核或抽样复测。承包人应协助监理人进行复核或抽样复测， 并按监</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理人要求提供补充计量资料。承包人未按监理人要求参加复核或抽样复测的，</w:t>
      </w:r>
      <w:r>
        <w:rPr>
          <w:rFonts w:ascii="宋体" w:hAnsi="宋体" w:eastAsia="宋体" w:cs="宋体"/>
          <w:color w:val="auto"/>
          <w:spacing w:val="2"/>
          <w:sz w:val="21"/>
          <w:szCs w:val="21"/>
          <w:highlight w:val="none"/>
        </w:rPr>
        <w:t>监理人复核</w:t>
      </w:r>
    </w:p>
    <w:p w14:paraId="5AC8B156">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或修正的工程量视为承包人实际完成的工程量。</w:t>
      </w:r>
    </w:p>
    <w:p w14:paraId="22C8F89B">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）监理人未在收到承包人提交的工程量报表后的</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w:t>
      </w:r>
      <w:r>
        <w:rPr>
          <w:rFonts w:ascii="宋体" w:hAnsi="宋体" w:eastAsia="宋体" w:cs="宋体"/>
          <w:color w:val="auto"/>
          <w:spacing w:val="-1"/>
          <w:position w:val="14"/>
          <w:sz w:val="21"/>
          <w:szCs w:val="21"/>
          <w:highlight w:val="none"/>
        </w:rPr>
        <w:t>内完成审核的，承包人报送的</w:t>
      </w:r>
    </w:p>
    <w:p w14:paraId="72ECA5C6">
      <w:pPr>
        <w:spacing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工程量报告中的工程量视为承包人实际完成的工程量，据</w:t>
      </w:r>
      <w:r>
        <w:rPr>
          <w:rFonts w:ascii="宋体" w:hAnsi="宋体" w:eastAsia="宋体" w:cs="宋体"/>
          <w:color w:val="auto"/>
          <w:spacing w:val="-1"/>
          <w:sz w:val="21"/>
          <w:szCs w:val="21"/>
          <w:highlight w:val="none"/>
        </w:rPr>
        <w:t>此计算工程价款。</w:t>
      </w:r>
    </w:p>
    <w:p w14:paraId="140A9F2A">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12.3.4</w:t>
      </w:r>
      <w:r>
        <w:rPr>
          <w:rFonts w:ascii="Times New Roman" w:hAnsi="Times New Roman" w:eastAsia="Times New Roman" w:cs="Times New Roman"/>
          <w:color w:val="auto"/>
          <w:spacing w:val="18"/>
          <w:w w:val="101"/>
          <w:sz w:val="21"/>
          <w:szCs w:val="21"/>
          <w:highlight w:val="none"/>
        </w:rPr>
        <w:t xml:space="preserve"> </w:t>
      </w:r>
      <w:r>
        <w:rPr>
          <w:rFonts w:ascii="宋体" w:hAnsi="宋体" w:eastAsia="宋体" w:cs="宋体"/>
          <w:color w:val="auto"/>
          <w:spacing w:val="-3"/>
          <w:sz w:val="21"/>
          <w:szCs w:val="21"/>
          <w:highlight w:val="none"/>
        </w:rPr>
        <w:t>总价合同的计量</w:t>
      </w:r>
    </w:p>
    <w:p w14:paraId="38210836">
      <w:pPr>
        <w:spacing w:before="150" w:line="219"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按月计量支付的总价合同，按照</w:t>
      </w:r>
      <w:r>
        <w:rPr>
          <w:rFonts w:ascii="宋体" w:hAnsi="宋体" w:eastAsia="宋体" w:cs="宋体"/>
          <w:color w:val="auto"/>
          <w:spacing w:val="-5"/>
          <w:sz w:val="21"/>
          <w:szCs w:val="21"/>
          <w:highlight w:val="none"/>
        </w:rPr>
        <w:t>本项约定执行：</w:t>
      </w:r>
    </w:p>
    <w:p w14:paraId="6E655E2E">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宋体" w:hAnsi="宋体" w:eastAsia="宋体" w:cs="宋体"/>
          <w:color w:val="auto"/>
          <w:spacing w:val="-5"/>
          <w:position w:val="14"/>
          <w:sz w:val="21"/>
          <w:szCs w:val="21"/>
          <w:highlight w:val="none"/>
        </w:rPr>
        <w:t>）承包人应于每月</w:t>
      </w:r>
      <w:r>
        <w:rPr>
          <w:rFonts w:ascii="宋体" w:hAnsi="宋体"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日向监理人报送上月</w:t>
      </w:r>
      <w:r>
        <w:rPr>
          <w:rFonts w:ascii="宋体" w:hAnsi="宋体"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宋体" w:hAnsi="宋体" w:eastAsia="宋体" w:cs="宋体"/>
          <w:color w:val="auto"/>
          <w:spacing w:val="-5"/>
          <w:position w:val="14"/>
          <w:sz w:val="21"/>
          <w:szCs w:val="21"/>
          <w:highlight w:val="none"/>
        </w:rPr>
        <w:t>日至当月</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日已完成的工程量报告，</w:t>
      </w:r>
    </w:p>
    <w:p w14:paraId="4381BD60">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并附具进度付款申请单、已完成工程量报表和有关</w:t>
      </w:r>
      <w:r>
        <w:rPr>
          <w:rFonts w:ascii="宋体" w:hAnsi="宋体" w:eastAsia="宋体" w:cs="宋体"/>
          <w:color w:val="auto"/>
          <w:spacing w:val="-2"/>
          <w:sz w:val="21"/>
          <w:szCs w:val="21"/>
          <w:highlight w:val="none"/>
        </w:rPr>
        <w:t>资料。</w:t>
      </w:r>
    </w:p>
    <w:p w14:paraId="46DD404A">
      <w:pPr>
        <w:spacing w:before="148" w:line="353" w:lineRule="auto"/>
        <w:ind w:left="17" w:right="156"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）监理人应在收到承包人提交的工程量报告</w:t>
      </w:r>
      <w:r>
        <w:rPr>
          <w:rFonts w:ascii="宋体" w:hAnsi="宋体" w:eastAsia="宋体" w:cs="宋体"/>
          <w:color w:val="auto"/>
          <w:spacing w:val="-1"/>
          <w:sz w:val="21"/>
          <w:szCs w:val="21"/>
          <w:highlight w:val="none"/>
        </w:rPr>
        <w:t>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天内完成对承包人提交的工程量报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表的审核并报送发包人，以确定当月实际完成的工程量。监理人对工程量有异</w:t>
      </w:r>
      <w:r>
        <w:rPr>
          <w:rFonts w:ascii="宋体" w:hAnsi="宋体" w:eastAsia="宋体" w:cs="宋体"/>
          <w:color w:val="auto"/>
          <w:spacing w:val="2"/>
          <w:sz w:val="21"/>
          <w:szCs w:val="21"/>
          <w:highlight w:val="none"/>
        </w:rPr>
        <w:t>议的，有权</w:t>
      </w:r>
    </w:p>
    <w:p w14:paraId="23381CF6">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要求承包人进行共同复核或抽样复测。承包人应协助监理人进行复核或抽样</w:t>
      </w:r>
      <w:r>
        <w:rPr>
          <w:rFonts w:ascii="宋体" w:hAnsi="宋体" w:eastAsia="宋体" w:cs="宋体"/>
          <w:color w:val="auto"/>
          <w:spacing w:val="2"/>
          <w:sz w:val="21"/>
          <w:szCs w:val="21"/>
          <w:highlight w:val="none"/>
        </w:rPr>
        <w:t>复测并按监理</w:t>
      </w:r>
    </w:p>
    <w:p w14:paraId="7EC650BB">
      <w:pPr>
        <w:spacing w:line="220" w:lineRule="auto"/>
        <w:rPr>
          <w:rFonts w:ascii="宋体" w:hAnsi="宋体" w:eastAsia="宋体" w:cs="宋体"/>
          <w:color w:val="auto"/>
          <w:sz w:val="21"/>
          <w:szCs w:val="21"/>
          <w:highlight w:val="none"/>
        </w:rPr>
        <w:sectPr>
          <w:footerReference r:id="rId76" w:type="default"/>
          <w:pgSz w:w="11905" w:h="16839"/>
          <w:pgMar w:top="1431" w:right="1631" w:bottom="1004" w:left="1785" w:header="0" w:footer="828" w:gutter="0"/>
          <w:pgNumType w:fmt="decimal"/>
          <w:cols w:space="720" w:num="1"/>
        </w:sectPr>
      </w:pPr>
    </w:p>
    <w:p w14:paraId="080B8991">
      <w:pPr>
        <w:spacing w:before="149" w:line="398" w:lineRule="exact"/>
        <w:ind w:left="2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人要求提供补充计量资料。承包人未按监理人要求参加复核或抽样复测的， 监理人审核或</w:t>
      </w:r>
    </w:p>
    <w:p w14:paraId="7F5DC338">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修正的工程量视为承包人实际完成的工程量。</w:t>
      </w:r>
    </w:p>
    <w:p w14:paraId="43DE1DE5">
      <w:pPr>
        <w:spacing w:before="152" w:line="399" w:lineRule="exact"/>
        <w:ind w:right="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）监理人未在收到承包人提交的工程量报表后的</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w:t>
      </w:r>
      <w:r>
        <w:rPr>
          <w:rFonts w:ascii="宋体" w:hAnsi="宋体" w:eastAsia="宋体" w:cs="宋体"/>
          <w:color w:val="auto"/>
          <w:spacing w:val="-1"/>
          <w:position w:val="14"/>
          <w:sz w:val="21"/>
          <w:szCs w:val="21"/>
          <w:highlight w:val="none"/>
        </w:rPr>
        <w:t>内完成复核的，承包人提交的</w:t>
      </w:r>
    </w:p>
    <w:p w14:paraId="66DECAD2">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工程量报告中的工程量视为承包人实际完成的工程量。</w:t>
      </w:r>
    </w:p>
    <w:p w14:paraId="33E870FE">
      <w:pPr>
        <w:spacing w:before="149" w:line="403"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12.3.5 </w:t>
      </w:r>
      <w:r>
        <w:rPr>
          <w:rFonts w:ascii="宋体" w:hAnsi="宋体" w:eastAsia="宋体" w:cs="宋体"/>
          <w:color w:val="auto"/>
          <w:spacing w:val="-2"/>
          <w:position w:val="14"/>
          <w:sz w:val="21"/>
          <w:szCs w:val="21"/>
          <w:highlight w:val="none"/>
        </w:rPr>
        <w:t>总价合同采用支付分解表计量支付的，可以按照第</w:t>
      </w:r>
      <w:r>
        <w:rPr>
          <w:rFonts w:ascii="宋体" w:hAnsi="宋体" w:eastAsia="宋体" w:cs="宋体"/>
          <w:color w:val="auto"/>
          <w:spacing w:val="-1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12.3.4 </w:t>
      </w:r>
      <w:r>
        <w:rPr>
          <w:rFonts w:ascii="宋体" w:hAnsi="宋体" w:eastAsia="宋体" w:cs="宋体"/>
          <w:color w:val="auto"/>
          <w:spacing w:val="-2"/>
          <w:position w:val="14"/>
          <w:sz w:val="21"/>
          <w:szCs w:val="21"/>
          <w:highlight w:val="none"/>
        </w:rPr>
        <w:t>项〔总价合同的计量〕</w:t>
      </w:r>
    </w:p>
    <w:p w14:paraId="2F8B863D">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约定进行计量，但合同价款按照支付分解表进行支付。</w:t>
      </w:r>
    </w:p>
    <w:p w14:paraId="53EF6682">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12.3.6 </w:t>
      </w:r>
      <w:r>
        <w:rPr>
          <w:rFonts w:ascii="宋体" w:hAnsi="宋体" w:eastAsia="宋体" w:cs="宋体"/>
          <w:color w:val="auto"/>
          <w:spacing w:val="-2"/>
          <w:sz w:val="21"/>
          <w:szCs w:val="21"/>
          <w:highlight w:val="none"/>
        </w:rPr>
        <w:t>其他价格形式合同的计量</w:t>
      </w:r>
    </w:p>
    <w:p w14:paraId="29B2B515">
      <w:pPr>
        <w:spacing w:before="150" w:line="219"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合同当事人可在专用合同条款中约定其他价格形式合同的计量</w:t>
      </w:r>
      <w:r>
        <w:rPr>
          <w:rFonts w:ascii="宋体" w:hAnsi="宋体" w:eastAsia="宋体" w:cs="宋体"/>
          <w:color w:val="auto"/>
          <w:spacing w:val="-1"/>
          <w:sz w:val="21"/>
          <w:szCs w:val="21"/>
          <w:highlight w:val="none"/>
        </w:rPr>
        <w:t>方式和程序。</w:t>
      </w:r>
    </w:p>
    <w:p w14:paraId="095BC0C2">
      <w:pPr>
        <w:spacing w:before="52"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12.4</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工程进度款支付</w:t>
      </w:r>
    </w:p>
    <w:p w14:paraId="432A4E8B">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12.4.1 </w:t>
      </w:r>
      <w:r>
        <w:rPr>
          <w:rFonts w:ascii="宋体" w:hAnsi="宋体" w:eastAsia="宋体" w:cs="宋体"/>
          <w:color w:val="auto"/>
          <w:spacing w:val="-2"/>
          <w:sz w:val="21"/>
          <w:szCs w:val="21"/>
          <w:highlight w:val="none"/>
        </w:rPr>
        <w:t>付款周期</w:t>
      </w:r>
    </w:p>
    <w:p w14:paraId="25263CF9">
      <w:pPr>
        <w:spacing w:before="147"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除专用合同条款另有约定外，付款周期应按照第</w:t>
      </w:r>
      <w:r>
        <w:rPr>
          <w:rFonts w:ascii="宋体" w:hAnsi="宋体"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12.3.2</w:t>
      </w:r>
      <w:r>
        <w:rPr>
          <w:rFonts w:ascii="Times New Roman" w:hAnsi="Times New Roman" w:eastAsia="Times New Roman" w:cs="Times New Roman"/>
          <w:color w:val="auto"/>
          <w:spacing w:val="46"/>
          <w:position w:val="14"/>
          <w:sz w:val="21"/>
          <w:szCs w:val="21"/>
          <w:highlight w:val="none"/>
        </w:rPr>
        <w:t xml:space="preserve"> </w:t>
      </w:r>
      <w:r>
        <w:rPr>
          <w:rFonts w:ascii="宋体" w:hAnsi="宋体" w:eastAsia="宋体" w:cs="宋体"/>
          <w:color w:val="auto"/>
          <w:spacing w:val="-1"/>
          <w:position w:val="14"/>
          <w:sz w:val="21"/>
          <w:szCs w:val="21"/>
          <w:highlight w:val="none"/>
        </w:rPr>
        <w:t>项〔计量周期〕的约定与计量</w:t>
      </w:r>
    </w:p>
    <w:p w14:paraId="5F9C668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周期保持一致。</w:t>
      </w:r>
    </w:p>
    <w:p w14:paraId="752FCE61">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12.4.2 </w:t>
      </w:r>
      <w:r>
        <w:rPr>
          <w:rFonts w:ascii="宋体" w:hAnsi="宋体" w:eastAsia="宋体" w:cs="宋体"/>
          <w:color w:val="auto"/>
          <w:spacing w:val="-2"/>
          <w:sz w:val="21"/>
          <w:szCs w:val="21"/>
          <w:highlight w:val="none"/>
        </w:rPr>
        <w:t>进度付款申请单的编制</w:t>
      </w:r>
    </w:p>
    <w:p w14:paraId="2F35DBFE">
      <w:pPr>
        <w:spacing w:before="148" w:line="221" w:lineRule="auto"/>
        <w:ind w:left="45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除专用合同条款另有约定外， 进度付款申请单应包括下列内容：</w:t>
      </w:r>
    </w:p>
    <w:p w14:paraId="14DB4C22">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）截至本次付款周期已完成工作对应的金额；</w:t>
      </w:r>
    </w:p>
    <w:p w14:paraId="3E5D43E6">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10 </w:t>
      </w:r>
      <w:r>
        <w:rPr>
          <w:rFonts w:ascii="宋体" w:hAnsi="宋体" w:eastAsia="宋体" w:cs="宋体"/>
          <w:color w:val="auto"/>
          <w:spacing w:val="-3"/>
          <w:sz w:val="21"/>
          <w:szCs w:val="21"/>
          <w:highlight w:val="none"/>
        </w:rPr>
        <w:t>条〔变更〕应增加和扣减的变更金额；</w:t>
      </w:r>
    </w:p>
    <w:p w14:paraId="4EC96DF9">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 xml:space="preserve">）根据第 </w:t>
      </w:r>
      <w:r>
        <w:rPr>
          <w:rFonts w:ascii="Times New Roman" w:hAnsi="Times New Roman" w:eastAsia="Times New Roman" w:cs="Times New Roman"/>
          <w:color w:val="auto"/>
          <w:spacing w:val="-2"/>
          <w:sz w:val="21"/>
          <w:szCs w:val="21"/>
          <w:highlight w:val="none"/>
        </w:rPr>
        <w:t xml:space="preserve">12.2 </w:t>
      </w:r>
      <w:r>
        <w:rPr>
          <w:rFonts w:ascii="宋体" w:hAnsi="宋体" w:eastAsia="宋体" w:cs="宋体"/>
          <w:color w:val="auto"/>
          <w:spacing w:val="-2"/>
          <w:sz w:val="21"/>
          <w:szCs w:val="21"/>
          <w:highlight w:val="none"/>
        </w:rPr>
        <w:t>款〔预付款〕约定应支付的预付款和扣减的返还预付款；</w:t>
      </w:r>
    </w:p>
    <w:p w14:paraId="3C4FD0B5">
      <w:pPr>
        <w:spacing w:before="147" w:line="404"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4</w:t>
      </w:r>
      <w:r>
        <w:rPr>
          <w:rFonts w:ascii="宋体" w:hAnsi="宋体" w:eastAsia="宋体" w:cs="宋体"/>
          <w:color w:val="auto"/>
          <w:spacing w:val="-4"/>
          <w:position w:val="14"/>
          <w:sz w:val="21"/>
          <w:szCs w:val="21"/>
          <w:highlight w:val="none"/>
        </w:rPr>
        <w:t xml:space="preserve">）根据第 </w:t>
      </w:r>
      <w:r>
        <w:rPr>
          <w:rFonts w:ascii="Times New Roman" w:hAnsi="Times New Roman" w:eastAsia="Times New Roman" w:cs="Times New Roman"/>
          <w:color w:val="auto"/>
          <w:spacing w:val="-4"/>
          <w:position w:val="14"/>
          <w:sz w:val="21"/>
          <w:szCs w:val="21"/>
          <w:highlight w:val="none"/>
        </w:rPr>
        <w:t xml:space="preserve">15.3 </w:t>
      </w:r>
      <w:r>
        <w:rPr>
          <w:rFonts w:ascii="宋体" w:hAnsi="宋体" w:eastAsia="宋体" w:cs="宋体"/>
          <w:color w:val="auto"/>
          <w:spacing w:val="-4"/>
          <w:position w:val="14"/>
          <w:sz w:val="21"/>
          <w:szCs w:val="21"/>
          <w:highlight w:val="none"/>
        </w:rPr>
        <w:t>款〔质量保证金〕约定应扣减的质量保证金；</w:t>
      </w:r>
    </w:p>
    <w:p w14:paraId="40B6E81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19 </w:t>
      </w:r>
      <w:r>
        <w:rPr>
          <w:rFonts w:ascii="宋体" w:hAnsi="宋体" w:eastAsia="宋体" w:cs="宋体"/>
          <w:color w:val="auto"/>
          <w:spacing w:val="-3"/>
          <w:sz w:val="21"/>
          <w:szCs w:val="21"/>
          <w:highlight w:val="none"/>
        </w:rPr>
        <w:t>条〔索赔〕应增加和扣减的索赔金额；</w:t>
      </w:r>
    </w:p>
    <w:p w14:paraId="350E4678">
      <w:pPr>
        <w:spacing w:before="148" w:line="398" w:lineRule="exact"/>
        <w:ind w:right="14"/>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）对已签发的进度款支付证书中出现错误的修正，应在本次进度付款</w:t>
      </w:r>
      <w:r>
        <w:rPr>
          <w:rFonts w:ascii="宋体" w:hAnsi="宋体" w:eastAsia="宋体" w:cs="宋体"/>
          <w:color w:val="auto"/>
          <w:spacing w:val="-1"/>
          <w:position w:val="14"/>
          <w:sz w:val="21"/>
          <w:szCs w:val="21"/>
          <w:highlight w:val="none"/>
        </w:rPr>
        <w:t>中支付或扣除</w:t>
      </w:r>
    </w:p>
    <w:p w14:paraId="2B67A16A">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的金额；</w:t>
      </w:r>
    </w:p>
    <w:p w14:paraId="3435FD98">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）根据合同约定应增加和扣减的其他金额。</w:t>
      </w:r>
    </w:p>
    <w:p w14:paraId="3F28D693">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12.4.3 </w:t>
      </w:r>
      <w:r>
        <w:rPr>
          <w:rFonts w:ascii="宋体" w:hAnsi="宋体" w:eastAsia="宋体" w:cs="宋体"/>
          <w:color w:val="auto"/>
          <w:spacing w:val="-2"/>
          <w:sz w:val="21"/>
          <w:szCs w:val="21"/>
          <w:highlight w:val="none"/>
        </w:rPr>
        <w:t>进度付款申请单的提交</w:t>
      </w:r>
    </w:p>
    <w:p w14:paraId="1E13221D">
      <w:pPr>
        <w:spacing w:before="148"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）单价合同进度付款申请单的提交</w:t>
      </w:r>
    </w:p>
    <w:p w14:paraId="04F56D8F">
      <w:pPr>
        <w:spacing w:before="152" w:line="351" w:lineRule="auto"/>
        <w:ind w:left="19" w:right="6"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单价合同的进度付款申请单，按照第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z w:val="21"/>
          <w:szCs w:val="21"/>
          <w:highlight w:val="none"/>
        </w:rPr>
        <w:t>12.3.3</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z w:val="21"/>
          <w:szCs w:val="21"/>
          <w:highlight w:val="none"/>
        </w:rPr>
        <w:t>项〔单价合</w:t>
      </w:r>
      <w:r>
        <w:rPr>
          <w:rFonts w:ascii="宋体" w:hAnsi="宋体" w:eastAsia="宋体" w:cs="宋体"/>
          <w:color w:val="auto"/>
          <w:spacing w:val="-1"/>
          <w:sz w:val="21"/>
          <w:szCs w:val="21"/>
          <w:highlight w:val="none"/>
        </w:rPr>
        <w:t>同的计量〕约定的时间按月向</w:t>
      </w:r>
      <w:r>
        <w:rPr>
          <w:rFonts w:ascii="宋体" w:hAnsi="宋体" w:eastAsia="宋体" w:cs="宋体"/>
          <w:color w:val="auto"/>
          <w:sz w:val="21"/>
          <w:szCs w:val="21"/>
          <w:highlight w:val="none"/>
        </w:rPr>
        <w:t xml:space="preserve"> 监理人提交， 并附上已完成工程量报表和有关资料。单价合同中的总价项目按月进行支付</w:t>
      </w:r>
    </w:p>
    <w:p w14:paraId="6C0072B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分解，并汇总列入当期进度付款申请单。</w:t>
      </w:r>
    </w:p>
    <w:p w14:paraId="31A7FB55">
      <w:pPr>
        <w:spacing w:before="153"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）总价合同进度付款申请单的提交</w:t>
      </w:r>
    </w:p>
    <w:p w14:paraId="786DFAF3">
      <w:pPr>
        <w:spacing w:before="149" w:line="398" w:lineRule="exact"/>
        <w:ind w:right="5"/>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总价合同按月计量支付的，承包人按照第</w:t>
      </w:r>
      <w:r>
        <w:rPr>
          <w:rFonts w:ascii="宋体" w:hAnsi="宋体" w:eastAsia="宋体" w:cs="宋体"/>
          <w:color w:val="auto"/>
          <w:spacing w:val="5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12.3.4</w:t>
      </w:r>
      <w:r>
        <w:rPr>
          <w:rFonts w:ascii="Times New Roman" w:hAnsi="Times New Roman" w:eastAsia="Times New Roman" w:cs="Times New Roman"/>
          <w:color w:val="auto"/>
          <w:spacing w:val="46"/>
          <w:position w:val="14"/>
          <w:sz w:val="21"/>
          <w:szCs w:val="21"/>
          <w:highlight w:val="none"/>
        </w:rPr>
        <w:t xml:space="preserve"> </w:t>
      </w:r>
      <w:r>
        <w:rPr>
          <w:rFonts w:ascii="宋体" w:hAnsi="宋体" w:eastAsia="宋体" w:cs="宋体"/>
          <w:color w:val="auto"/>
          <w:spacing w:val="-1"/>
          <w:position w:val="14"/>
          <w:sz w:val="21"/>
          <w:szCs w:val="21"/>
          <w:highlight w:val="none"/>
        </w:rPr>
        <w:t>项〔总价合同的计量〕约定的时间按</w:t>
      </w:r>
    </w:p>
    <w:p w14:paraId="1DA2B86C">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月向监理人提交进度付款申请单，并附上已完成工程量报表和有关资</w:t>
      </w:r>
      <w:r>
        <w:rPr>
          <w:rFonts w:ascii="宋体" w:hAnsi="宋体" w:eastAsia="宋体" w:cs="宋体"/>
          <w:color w:val="auto"/>
          <w:spacing w:val="-2"/>
          <w:sz w:val="21"/>
          <w:szCs w:val="21"/>
          <w:highlight w:val="none"/>
        </w:rPr>
        <w:t>料。</w:t>
      </w:r>
    </w:p>
    <w:p w14:paraId="1BB0C559">
      <w:pPr>
        <w:spacing w:before="154"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总价合同按支付分解表支付的，承包人应按照第</w:t>
      </w:r>
      <w:r>
        <w:rPr>
          <w:rFonts w:ascii="宋体" w:hAnsi="宋体" w:eastAsia="宋体" w:cs="宋体"/>
          <w:color w:val="auto"/>
          <w:spacing w:val="-44"/>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12.4.6</w:t>
      </w:r>
      <w:r>
        <w:rPr>
          <w:rFonts w:ascii="Times New Roman" w:hAnsi="Times New Roman" w:eastAsia="Times New Roman" w:cs="Times New Roman"/>
          <w:color w:val="auto"/>
          <w:spacing w:val="-11"/>
          <w:position w:val="14"/>
          <w:sz w:val="21"/>
          <w:szCs w:val="21"/>
          <w:highlight w:val="none"/>
        </w:rPr>
        <w:t xml:space="preserve"> </w:t>
      </w:r>
      <w:r>
        <w:rPr>
          <w:rFonts w:ascii="宋体" w:hAnsi="宋体" w:eastAsia="宋体" w:cs="宋体"/>
          <w:color w:val="auto"/>
          <w:spacing w:val="-2"/>
          <w:position w:val="14"/>
          <w:sz w:val="21"/>
          <w:szCs w:val="21"/>
          <w:highlight w:val="none"/>
        </w:rPr>
        <w:t>项〔支付分解表〕及第</w:t>
      </w:r>
      <w:r>
        <w:rPr>
          <w:rFonts w:ascii="宋体" w:hAnsi="宋体" w:eastAsia="宋体" w:cs="宋体"/>
          <w:color w:val="auto"/>
          <w:spacing w:val="-4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12.4.2</w:t>
      </w:r>
      <w:r>
        <w:rPr>
          <w:rFonts w:ascii="Times New Roman" w:hAnsi="Times New Roman" w:eastAsia="Times New Roman" w:cs="Times New Roman"/>
          <w:color w:val="auto"/>
          <w:spacing w:val="-12"/>
          <w:position w:val="14"/>
          <w:sz w:val="21"/>
          <w:szCs w:val="21"/>
          <w:highlight w:val="none"/>
        </w:rPr>
        <w:t xml:space="preserve"> </w:t>
      </w:r>
      <w:r>
        <w:rPr>
          <w:rFonts w:ascii="宋体" w:hAnsi="宋体" w:eastAsia="宋体" w:cs="宋体"/>
          <w:color w:val="auto"/>
          <w:spacing w:val="-2"/>
          <w:position w:val="14"/>
          <w:sz w:val="21"/>
          <w:szCs w:val="21"/>
          <w:highlight w:val="none"/>
        </w:rPr>
        <w:t>项</w:t>
      </w:r>
    </w:p>
    <w:p w14:paraId="4E9AFDDE">
      <w:pPr>
        <w:spacing w:before="1" w:line="220" w:lineRule="auto"/>
        <w:ind w:left="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〔进度付款申请单的编制〕的约定向监理人提交进度付款申请单。</w:t>
      </w:r>
    </w:p>
    <w:p w14:paraId="6DEF1CC3">
      <w:pPr>
        <w:spacing w:before="147"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）其他价格形式合同的进度付款申请单的提交</w:t>
      </w:r>
    </w:p>
    <w:p w14:paraId="5F700EA2">
      <w:pPr>
        <w:spacing w:before="154"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合同当事人可在专用合同条款中约定其他价格形式合同的进度付款申请单的编制和提</w:t>
      </w:r>
    </w:p>
    <w:p w14:paraId="7FC037B4">
      <w:pPr>
        <w:spacing w:line="221" w:lineRule="auto"/>
        <w:ind w:left="2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交程序。</w:t>
      </w:r>
    </w:p>
    <w:p w14:paraId="5AD0CD36">
      <w:pPr>
        <w:spacing w:line="221" w:lineRule="auto"/>
        <w:rPr>
          <w:rFonts w:ascii="宋体" w:hAnsi="宋体" w:eastAsia="宋体" w:cs="宋体"/>
          <w:color w:val="auto"/>
          <w:sz w:val="21"/>
          <w:szCs w:val="21"/>
          <w:highlight w:val="none"/>
        </w:rPr>
        <w:sectPr>
          <w:footerReference r:id="rId77" w:type="default"/>
          <w:pgSz w:w="11905" w:h="16839"/>
          <w:pgMar w:top="1431" w:right="1785" w:bottom="1004" w:left="1785" w:header="0" w:footer="828" w:gutter="0"/>
          <w:pgNumType w:fmt="decimal"/>
          <w:cols w:space="720" w:num="1"/>
        </w:sectPr>
      </w:pPr>
    </w:p>
    <w:p w14:paraId="668A4713">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12.4.4 </w:t>
      </w:r>
      <w:r>
        <w:rPr>
          <w:rFonts w:ascii="宋体" w:hAnsi="宋体" w:eastAsia="宋体" w:cs="宋体"/>
          <w:color w:val="auto"/>
          <w:spacing w:val="-2"/>
          <w:sz w:val="21"/>
          <w:szCs w:val="21"/>
          <w:highlight w:val="none"/>
        </w:rPr>
        <w:t>进度款审核和支付</w:t>
      </w:r>
    </w:p>
    <w:p w14:paraId="03FC71BD">
      <w:pPr>
        <w:spacing w:before="146" w:line="353" w:lineRule="auto"/>
        <w:ind w:left="18" w:right="2"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）除专用合同条款另有约定外，监理人应在收到承包人进度付款申请单以及相关资</w:t>
      </w:r>
      <w:r>
        <w:rPr>
          <w:rFonts w:ascii="宋体" w:hAnsi="宋体" w:eastAsia="宋体" w:cs="宋体"/>
          <w:color w:val="auto"/>
          <w:spacing w:val="5"/>
          <w:sz w:val="21"/>
          <w:szCs w:val="21"/>
          <w:highlight w:val="none"/>
        </w:rPr>
        <w:t xml:space="preserve"> </w:t>
      </w:r>
      <w:r>
        <w:rPr>
          <w:rFonts w:ascii="宋体" w:hAnsi="宋体" w:eastAsia="宋体" w:cs="宋体"/>
          <w:color w:val="auto"/>
          <w:spacing w:val="-4"/>
          <w:sz w:val="21"/>
          <w:szCs w:val="21"/>
          <w:highlight w:val="none"/>
        </w:rPr>
        <w:t xml:space="preserve">料后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4"/>
          <w:sz w:val="21"/>
          <w:szCs w:val="21"/>
          <w:highlight w:val="none"/>
        </w:rPr>
        <w:t xml:space="preserve">天内完成审查并报送发包人， 发包人应在收到后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4"/>
          <w:sz w:val="21"/>
          <w:szCs w:val="21"/>
          <w:highlight w:val="none"/>
        </w:rPr>
        <w:t>天内完成审批并签发进度款支付</w:t>
      </w:r>
    </w:p>
    <w:p w14:paraId="216F9B36">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证书。发包人逾期未完成审批且未提出异议的， 视为已签发进度款支付证书。</w:t>
      </w:r>
    </w:p>
    <w:p w14:paraId="0FBE9B49">
      <w:pPr>
        <w:spacing w:before="150" w:line="352" w:lineRule="auto"/>
        <w:ind w:left="18" w:right="6"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发包人和监理人对承包人的进度付款申请单有异议的， 有权要求承包人修正和提供补</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充资料，承包人应提交修正后的进度付款申请单。监理人应在收到承包人修</w:t>
      </w:r>
      <w:r>
        <w:rPr>
          <w:rFonts w:ascii="宋体" w:hAnsi="宋体" w:eastAsia="宋体" w:cs="宋体"/>
          <w:color w:val="auto"/>
          <w:spacing w:val="2"/>
          <w:sz w:val="21"/>
          <w:szCs w:val="21"/>
          <w:highlight w:val="none"/>
        </w:rPr>
        <w:t>正后的进度付</w:t>
      </w:r>
      <w:r>
        <w:rPr>
          <w:rFonts w:ascii="宋体" w:hAnsi="宋体" w:eastAsia="宋体" w:cs="宋体"/>
          <w:color w:val="auto"/>
          <w:sz w:val="21"/>
          <w:szCs w:val="21"/>
          <w:highlight w:val="none"/>
        </w:rPr>
        <w:t xml:space="preserve"> 款申请单及相关资料后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天内完成审查并报送发包人，发包人应在收到监理人报送的进度</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 xml:space="preserve">付款申请单及相关资料后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 向承包人签发无异议部分的临时进</w:t>
      </w:r>
      <w:r>
        <w:rPr>
          <w:rFonts w:ascii="宋体" w:hAnsi="宋体" w:eastAsia="宋体" w:cs="宋体"/>
          <w:color w:val="auto"/>
          <w:spacing w:val="-3"/>
          <w:sz w:val="21"/>
          <w:szCs w:val="21"/>
          <w:highlight w:val="none"/>
        </w:rPr>
        <w:t>度款支付证书。存在</w:t>
      </w:r>
    </w:p>
    <w:p w14:paraId="62D5A37A">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争议的部分，按照第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条〔争议解决〕的约定处理。</w:t>
      </w:r>
    </w:p>
    <w:p w14:paraId="37D3BBE1">
      <w:pPr>
        <w:spacing w:before="148" w:line="352" w:lineRule="auto"/>
        <w:ind w:left="18" w:right="4"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）除专用合同条款另有约定外，发包人应在进度款支付证书或临时进度款支付证书</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rPr>
        <w:t xml:space="preserve">签发后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4"/>
          <w:w w:val="101"/>
          <w:sz w:val="21"/>
          <w:szCs w:val="21"/>
          <w:highlight w:val="none"/>
        </w:rPr>
        <w:t xml:space="preserve"> </w:t>
      </w:r>
      <w:r>
        <w:rPr>
          <w:rFonts w:ascii="宋体" w:hAnsi="宋体" w:eastAsia="宋体" w:cs="宋体"/>
          <w:color w:val="auto"/>
          <w:spacing w:val="-4"/>
          <w:sz w:val="21"/>
          <w:szCs w:val="21"/>
          <w:highlight w:val="none"/>
        </w:rPr>
        <w:t>天内完成支付， 发包人逾期支付进度款的，应按照中国人民银行发布的同期同类</w:t>
      </w:r>
    </w:p>
    <w:p w14:paraId="0DA49ABE">
      <w:pPr>
        <w:spacing w:before="1" w:line="220" w:lineRule="auto"/>
        <w:ind w:left="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贷款基准利率支付违约金。</w:t>
      </w:r>
    </w:p>
    <w:p w14:paraId="6AA611B0">
      <w:pPr>
        <w:spacing w:before="148" w:line="398"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）发包人签发进度款支付证书或临时进度款支付证书，不表明发包人已同</w:t>
      </w:r>
      <w:r>
        <w:rPr>
          <w:rFonts w:ascii="宋体" w:hAnsi="宋体" w:eastAsia="宋体" w:cs="宋体"/>
          <w:color w:val="auto"/>
          <w:spacing w:val="-1"/>
          <w:position w:val="14"/>
          <w:sz w:val="21"/>
          <w:szCs w:val="21"/>
          <w:highlight w:val="none"/>
        </w:rPr>
        <w:t>意、批准</w:t>
      </w:r>
    </w:p>
    <w:p w14:paraId="183C035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或接受了承包人完成的相应部分的工作。</w:t>
      </w:r>
    </w:p>
    <w:p w14:paraId="3855E987">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12.4.5 </w:t>
      </w:r>
      <w:r>
        <w:rPr>
          <w:rFonts w:ascii="宋体" w:hAnsi="宋体" w:eastAsia="宋体" w:cs="宋体"/>
          <w:color w:val="auto"/>
          <w:spacing w:val="-2"/>
          <w:sz w:val="21"/>
          <w:szCs w:val="21"/>
          <w:highlight w:val="none"/>
        </w:rPr>
        <w:t>进度付款的修正</w:t>
      </w:r>
    </w:p>
    <w:p w14:paraId="3C6665C4">
      <w:pPr>
        <w:spacing w:before="146" w:line="353" w:lineRule="auto"/>
        <w:ind w:left="20" w:right="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在对已签发的进度款支付证书进行阶段汇总和复核中发现错误、遗漏或重复的， 发包</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人和承包人均有权提出修正申请。经发包人和承包人同意的修正， 应在下期进度付款中支</w:t>
      </w:r>
    </w:p>
    <w:p w14:paraId="0141FBA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付或扣除。</w:t>
      </w:r>
    </w:p>
    <w:p w14:paraId="70CA61B2">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12.4.6 </w:t>
      </w:r>
      <w:r>
        <w:rPr>
          <w:rFonts w:ascii="宋体" w:hAnsi="宋体" w:eastAsia="宋体" w:cs="宋体"/>
          <w:color w:val="auto"/>
          <w:spacing w:val="-2"/>
          <w:sz w:val="21"/>
          <w:szCs w:val="21"/>
          <w:highlight w:val="none"/>
        </w:rPr>
        <w:t>支付分解表</w:t>
      </w:r>
    </w:p>
    <w:p w14:paraId="50F1D988">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支付分解表的编制要求</w:t>
      </w:r>
    </w:p>
    <w:p w14:paraId="3D7861B4">
      <w:pPr>
        <w:spacing w:before="153" w:line="398" w:lineRule="exact"/>
        <w:ind w:right="3"/>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 xml:space="preserve">）支付分解表中所列的每期付款金额，应为第 </w:t>
      </w:r>
      <w:r>
        <w:rPr>
          <w:rFonts w:ascii="Times New Roman" w:hAnsi="Times New Roman" w:eastAsia="Times New Roman" w:cs="Times New Roman"/>
          <w:color w:val="auto"/>
          <w:spacing w:val="-1"/>
          <w:position w:val="14"/>
          <w:sz w:val="21"/>
          <w:szCs w:val="21"/>
          <w:highlight w:val="none"/>
        </w:rPr>
        <w:t xml:space="preserve">12.4.2 </w:t>
      </w:r>
      <w:r>
        <w:rPr>
          <w:rFonts w:ascii="宋体" w:hAnsi="宋体" w:eastAsia="宋体" w:cs="宋体"/>
          <w:color w:val="auto"/>
          <w:spacing w:val="-1"/>
          <w:position w:val="14"/>
          <w:sz w:val="21"/>
          <w:szCs w:val="21"/>
          <w:highlight w:val="none"/>
        </w:rPr>
        <w:t>项〔进度付款申请单</w:t>
      </w:r>
      <w:r>
        <w:rPr>
          <w:rFonts w:ascii="宋体" w:hAnsi="宋体" w:eastAsia="宋体" w:cs="宋体"/>
          <w:color w:val="auto"/>
          <w:spacing w:val="-2"/>
          <w:position w:val="14"/>
          <w:sz w:val="21"/>
          <w:szCs w:val="21"/>
          <w:highlight w:val="none"/>
        </w:rPr>
        <w:t>的编制〕</w:t>
      </w:r>
    </w:p>
    <w:p w14:paraId="2DB31775">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第（</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w:t>
      </w:r>
      <w:r>
        <w:rPr>
          <w:rFonts w:ascii="宋体" w:hAnsi="宋体" w:eastAsia="宋体" w:cs="宋体"/>
          <w:color w:val="auto"/>
          <w:spacing w:val="-53"/>
          <w:sz w:val="21"/>
          <w:szCs w:val="21"/>
          <w:highlight w:val="none"/>
        </w:rPr>
        <w:t xml:space="preserve"> </w:t>
      </w:r>
      <w:r>
        <w:rPr>
          <w:rFonts w:ascii="宋体" w:hAnsi="宋体" w:eastAsia="宋体" w:cs="宋体"/>
          <w:color w:val="auto"/>
          <w:spacing w:val="-5"/>
          <w:sz w:val="21"/>
          <w:szCs w:val="21"/>
          <w:highlight w:val="none"/>
        </w:rPr>
        <w:t>目的估算金额；</w:t>
      </w:r>
    </w:p>
    <w:p w14:paraId="2E01DB8D">
      <w:pPr>
        <w:spacing w:before="149"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 xml:space="preserve">）实际进度与施工进度计划不一致的，合同当事人可按照第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6"/>
          <w:w w:val="101"/>
          <w:position w:val="14"/>
          <w:sz w:val="21"/>
          <w:szCs w:val="21"/>
          <w:highlight w:val="none"/>
        </w:rPr>
        <w:t xml:space="preserve"> </w:t>
      </w:r>
      <w:r>
        <w:rPr>
          <w:rFonts w:ascii="宋体" w:hAnsi="宋体" w:eastAsia="宋体" w:cs="宋体"/>
          <w:color w:val="auto"/>
          <w:spacing w:val="-1"/>
          <w:position w:val="14"/>
          <w:sz w:val="21"/>
          <w:szCs w:val="21"/>
          <w:highlight w:val="none"/>
        </w:rPr>
        <w:t>款〔商定或确定〕</w:t>
      </w:r>
    </w:p>
    <w:p w14:paraId="1F671B96">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修改支付分解表；</w:t>
      </w:r>
    </w:p>
    <w:p w14:paraId="5BF087FC">
      <w:pPr>
        <w:spacing w:before="148"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）不采用支付分解表的，承包人应向发包人和监理人提交按季度编制的支付</w:t>
      </w:r>
      <w:r>
        <w:rPr>
          <w:rFonts w:ascii="宋体" w:hAnsi="宋体" w:eastAsia="宋体" w:cs="宋体"/>
          <w:color w:val="auto"/>
          <w:spacing w:val="-1"/>
          <w:position w:val="14"/>
          <w:sz w:val="21"/>
          <w:szCs w:val="21"/>
          <w:highlight w:val="none"/>
        </w:rPr>
        <w:t>估算分</w:t>
      </w:r>
    </w:p>
    <w:p w14:paraId="68BD80A0">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解表，用于支付参考。</w:t>
      </w:r>
    </w:p>
    <w:p w14:paraId="794EBF2B">
      <w:pPr>
        <w:spacing w:before="153"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总价合同支付分解表的编制与审批</w:t>
      </w:r>
    </w:p>
    <w:p w14:paraId="3367B0BD">
      <w:pPr>
        <w:spacing w:before="148" w:line="352" w:lineRule="auto"/>
        <w:ind w:left="18" w:right="1"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 xml:space="preserve">）除专用合同条款另有约定外，承包人应根据第 </w:t>
      </w:r>
      <w:r>
        <w:rPr>
          <w:rFonts w:ascii="Times New Roman" w:hAnsi="Times New Roman" w:eastAsia="Times New Roman" w:cs="Times New Roman"/>
          <w:color w:val="auto"/>
          <w:spacing w:val="-1"/>
          <w:sz w:val="21"/>
          <w:szCs w:val="21"/>
          <w:highlight w:val="none"/>
        </w:rPr>
        <w:t>7.2</w:t>
      </w:r>
      <w:r>
        <w:rPr>
          <w:rFonts w:ascii="Times New Roman" w:hAnsi="Times New Roman" w:eastAsia="Times New Roman" w:cs="Times New Roman"/>
          <w:color w:val="auto"/>
          <w:spacing w:val="48"/>
          <w:sz w:val="21"/>
          <w:szCs w:val="21"/>
          <w:highlight w:val="none"/>
        </w:rPr>
        <w:t xml:space="preserve"> </w:t>
      </w:r>
      <w:r>
        <w:rPr>
          <w:rFonts w:ascii="宋体" w:hAnsi="宋体" w:eastAsia="宋体" w:cs="宋体"/>
          <w:color w:val="auto"/>
          <w:spacing w:val="-1"/>
          <w:sz w:val="21"/>
          <w:szCs w:val="21"/>
          <w:highlight w:val="none"/>
        </w:rPr>
        <w:t>款〔施工进度计划〕约定的施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工进度计划、签约合同价和工程量等因素对总价合同按月进行分解，编制支</w:t>
      </w:r>
      <w:r>
        <w:rPr>
          <w:rFonts w:ascii="宋体" w:hAnsi="宋体" w:eastAsia="宋体" w:cs="宋体"/>
          <w:color w:val="auto"/>
          <w:spacing w:val="2"/>
          <w:sz w:val="21"/>
          <w:szCs w:val="21"/>
          <w:highlight w:val="none"/>
        </w:rPr>
        <w:t>付分解表。承</w:t>
      </w:r>
      <w:r>
        <w:rPr>
          <w:rFonts w:ascii="宋体" w:hAnsi="宋体" w:eastAsia="宋体" w:cs="宋体"/>
          <w:color w:val="auto"/>
          <w:sz w:val="21"/>
          <w:szCs w:val="21"/>
          <w:highlight w:val="none"/>
        </w:rPr>
        <w:t xml:space="preserve"> 包人应当在收到监理人和发包人批准的施工进度计划后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天内，将支付分解表及编制支付</w:t>
      </w:r>
    </w:p>
    <w:p w14:paraId="678D045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分解表的支持性资料报送监理人。</w:t>
      </w:r>
    </w:p>
    <w:p w14:paraId="3E9EDCC4">
      <w:pPr>
        <w:spacing w:before="148" w:line="352" w:lineRule="auto"/>
        <w:ind w:left="19" w:right="2"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）监理人应在收到支付分解表后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w:t>
      </w:r>
      <w:r>
        <w:rPr>
          <w:rFonts w:ascii="宋体" w:hAnsi="宋体" w:eastAsia="宋体" w:cs="宋体"/>
          <w:color w:val="auto"/>
          <w:spacing w:val="-1"/>
          <w:sz w:val="21"/>
          <w:szCs w:val="21"/>
          <w:highlight w:val="none"/>
        </w:rPr>
        <w:t>成审核并报送发包人。发包人应在收到经</w:t>
      </w:r>
      <w:r>
        <w:rPr>
          <w:rFonts w:ascii="宋体" w:hAnsi="宋体" w:eastAsia="宋体" w:cs="宋体"/>
          <w:color w:val="auto"/>
          <w:sz w:val="21"/>
          <w:szCs w:val="21"/>
          <w:highlight w:val="none"/>
        </w:rPr>
        <w:t xml:space="preserve"> 监理人审核的支付分解表后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天内完成审批，经发包人批准的支付分解表为有约束力的支</w:t>
      </w:r>
    </w:p>
    <w:p w14:paraId="76B0FAB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付分解表。</w:t>
      </w:r>
    </w:p>
    <w:p w14:paraId="0BBFEFAB">
      <w:pPr>
        <w:spacing w:line="220" w:lineRule="auto"/>
        <w:rPr>
          <w:rFonts w:ascii="宋体" w:hAnsi="宋体" w:eastAsia="宋体" w:cs="宋体"/>
          <w:color w:val="auto"/>
          <w:sz w:val="21"/>
          <w:szCs w:val="21"/>
          <w:highlight w:val="none"/>
        </w:rPr>
        <w:sectPr>
          <w:footerReference r:id="rId78" w:type="default"/>
          <w:pgSz w:w="11905" w:h="16839"/>
          <w:pgMar w:top="1431" w:right="1785" w:bottom="1004" w:left="1785" w:header="0" w:footer="828" w:gutter="0"/>
          <w:pgNumType w:fmt="decimal"/>
          <w:cols w:space="720" w:num="1"/>
        </w:sectPr>
      </w:pPr>
    </w:p>
    <w:p w14:paraId="6F3816CC">
      <w:pPr>
        <w:spacing w:before="149" w:line="398" w:lineRule="exact"/>
        <w:ind w:right="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）发包人逾期未完成支付分解表审批的，也未及时要求承包人进行修正和提供补充</w:t>
      </w:r>
    </w:p>
    <w:p w14:paraId="3963E687">
      <w:pPr>
        <w:spacing w:line="220" w:lineRule="auto"/>
        <w:ind w:left="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资料的，则承包人提交的支付分解表视为已经获得发包人批准。</w:t>
      </w:r>
    </w:p>
    <w:p w14:paraId="0FFC9F6C">
      <w:pPr>
        <w:spacing w:before="152"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单价合同的总价项目支付分解表的编制与审批</w:t>
      </w:r>
    </w:p>
    <w:p w14:paraId="09C22D5B">
      <w:pPr>
        <w:spacing w:before="14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除专用合同条款另有约定外，单价合同的总价项目，由承包人</w:t>
      </w:r>
      <w:r>
        <w:rPr>
          <w:rFonts w:ascii="宋体" w:hAnsi="宋体" w:eastAsia="宋体" w:cs="宋体"/>
          <w:color w:val="auto"/>
          <w:spacing w:val="2"/>
          <w:position w:val="14"/>
          <w:sz w:val="21"/>
          <w:szCs w:val="21"/>
          <w:highlight w:val="none"/>
        </w:rPr>
        <w:t>根据施工进度计划和总</w:t>
      </w:r>
    </w:p>
    <w:p w14:paraId="64B001AF">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价项目的总价构成、费用性质、计划发生时间和相应工程量等因素按月进行分解， 形成支</w:t>
      </w:r>
    </w:p>
    <w:p w14:paraId="02102EF3">
      <w:pPr>
        <w:spacing w:before="154"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付分解表，</w:t>
      </w:r>
      <w:r>
        <w:rPr>
          <w:rFonts w:ascii="宋体" w:hAnsi="宋体" w:eastAsia="宋体" w:cs="宋体"/>
          <w:color w:val="auto"/>
          <w:spacing w:val="54"/>
          <w:sz w:val="21"/>
          <w:szCs w:val="21"/>
          <w:highlight w:val="none"/>
        </w:rPr>
        <w:t xml:space="preserve"> </w:t>
      </w:r>
      <w:r>
        <w:rPr>
          <w:rFonts w:ascii="宋体" w:hAnsi="宋体" w:eastAsia="宋体" w:cs="宋体"/>
          <w:color w:val="auto"/>
          <w:spacing w:val="-6"/>
          <w:sz w:val="21"/>
          <w:szCs w:val="21"/>
          <w:highlight w:val="none"/>
        </w:rPr>
        <w:t>其编制与审批参照总价合同支付分解表的编制与审批执行。</w:t>
      </w:r>
    </w:p>
    <w:p w14:paraId="711D0DFB">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12.5</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支付账户</w:t>
      </w:r>
    </w:p>
    <w:p w14:paraId="68B5AC05">
      <w:pPr>
        <w:spacing w:before="131" w:line="423" w:lineRule="exact"/>
        <w:ind w:left="444"/>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发包人应将合同价款支付至合同协议书中约定的</w:t>
      </w:r>
      <w:r>
        <w:rPr>
          <w:rFonts w:ascii="宋体" w:hAnsi="宋体" w:eastAsia="宋体" w:cs="宋体"/>
          <w:color w:val="auto"/>
          <w:spacing w:val="-2"/>
          <w:position w:val="16"/>
          <w:sz w:val="21"/>
          <w:szCs w:val="21"/>
          <w:highlight w:val="none"/>
        </w:rPr>
        <w:t>承包人账户。</w:t>
      </w:r>
    </w:p>
    <w:p w14:paraId="7B0EA7FC">
      <w:pPr>
        <w:spacing w:line="219" w:lineRule="auto"/>
        <w:ind w:left="39"/>
        <w:rPr>
          <w:rFonts w:ascii="黑体" w:hAnsi="黑体" w:eastAsia="黑体" w:cs="黑体"/>
          <w:color w:val="auto"/>
          <w:sz w:val="32"/>
          <w:szCs w:val="32"/>
          <w:highlight w:val="none"/>
        </w:rPr>
      </w:pPr>
      <w:r>
        <w:rPr>
          <w:rFonts w:ascii="黑体" w:hAnsi="黑体" w:eastAsia="黑体" w:cs="黑体"/>
          <w:color w:val="auto"/>
          <w:spacing w:val="-3"/>
          <w:sz w:val="32"/>
          <w:szCs w:val="32"/>
          <w:highlight w:val="none"/>
        </w:rPr>
        <w:t>13.验收和工程试车</w:t>
      </w:r>
    </w:p>
    <w:p w14:paraId="5BAE35E6">
      <w:pPr>
        <w:spacing w:before="147"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13.1</w:t>
      </w:r>
      <w:r>
        <w:rPr>
          <w:rFonts w:ascii="黑体" w:hAnsi="黑体" w:eastAsia="黑体" w:cs="黑体"/>
          <w:color w:val="auto"/>
          <w:spacing w:val="-47"/>
          <w:sz w:val="24"/>
          <w:szCs w:val="24"/>
          <w:highlight w:val="none"/>
        </w:rPr>
        <w:t xml:space="preserve"> </w:t>
      </w:r>
      <w:r>
        <w:rPr>
          <w:rFonts w:ascii="黑体" w:hAnsi="黑体" w:eastAsia="黑体" w:cs="黑体"/>
          <w:color w:val="auto"/>
          <w:spacing w:val="-3"/>
          <w:sz w:val="24"/>
          <w:szCs w:val="24"/>
          <w:highlight w:val="none"/>
        </w:rPr>
        <w:t>分部分项工程验收</w:t>
      </w:r>
    </w:p>
    <w:p w14:paraId="0DC563EB">
      <w:pPr>
        <w:spacing w:before="129" w:line="404"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13.1.1</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spacing w:val="3"/>
          <w:position w:val="14"/>
          <w:sz w:val="21"/>
          <w:szCs w:val="21"/>
          <w:highlight w:val="none"/>
        </w:rPr>
        <w:t>分部分项工程质量应符合国家有关工程施工验收</w:t>
      </w:r>
      <w:r>
        <w:rPr>
          <w:rFonts w:ascii="宋体" w:hAnsi="宋体" w:eastAsia="宋体" w:cs="宋体"/>
          <w:color w:val="auto"/>
          <w:spacing w:val="2"/>
          <w:position w:val="14"/>
          <w:sz w:val="21"/>
          <w:szCs w:val="21"/>
          <w:highlight w:val="none"/>
        </w:rPr>
        <w:t>规范、标准及合同约定，承包</w:t>
      </w:r>
    </w:p>
    <w:p w14:paraId="4B081EAD">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人应按照施工组织设计的要求完成分部分项工程施工。</w:t>
      </w:r>
    </w:p>
    <w:p w14:paraId="37FD9E7F">
      <w:pPr>
        <w:spacing w:before="149" w:line="351" w:lineRule="auto"/>
        <w:ind w:left="14" w:right="3" w:firstLine="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13.1.2</w:t>
      </w:r>
      <w:r>
        <w:rPr>
          <w:rFonts w:ascii="Times New Roman" w:hAnsi="Times New Roman" w:eastAsia="Times New Roman" w:cs="Times New Roman"/>
          <w:color w:val="auto"/>
          <w:spacing w:val="64"/>
          <w:w w:val="101"/>
          <w:sz w:val="21"/>
          <w:szCs w:val="21"/>
          <w:highlight w:val="none"/>
        </w:rPr>
        <w:t xml:space="preserve"> </w:t>
      </w:r>
      <w:r>
        <w:rPr>
          <w:rFonts w:ascii="宋体" w:hAnsi="宋体" w:eastAsia="宋体" w:cs="宋体"/>
          <w:color w:val="auto"/>
          <w:spacing w:val="2"/>
          <w:sz w:val="21"/>
          <w:szCs w:val="21"/>
          <w:highlight w:val="none"/>
        </w:rPr>
        <w:t>除专用合同条款另有约定外，分部分项工程经承包人自检合格并具备验收条件</w:t>
      </w:r>
      <w:r>
        <w:rPr>
          <w:rFonts w:ascii="宋体" w:hAnsi="宋体" w:eastAsia="宋体" w:cs="宋体"/>
          <w:color w:val="auto"/>
          <w:sz w:val="21"/>
          <w:szCs w:val="21"/>
          <w:highlight w:val="none"/>
        </w:rPr>
        <w:t xml:space="preserve"> 的，承包人应提前</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z w:val="21"/>
          <w:szCs w:val="21"/>
          <w:highlight w:val="none"/>
        </w:rPr>
        <w:t>小时通知监理人进行验收。监理人</w:t>
      </w:r>
      <w:r>
        <w:rPr>
          <w:rFonts w:ascii="宋体" w:hAnsi="宋体" w:eastAsia="宋体" w:cs="宋体"/>
          <w:color w:val="auto"/>
          <w:spacing w:val="-1"/>
          <w:sz w:val="21"/>
          <w:szCs w:val="21"/>
          <w:highlight w:val="none"/>
        </w:rPr>
        <w:t>不能按时进行验收的，应在验收前</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宋体" w:hAnsi="宋体" w:eastAsia="宋体" w:cs="宋体"/>
          <w:color w:val="auto"/>
          <w:spacing w:val="-3"/>
          <w:sz w:val="21"/>
          <w:szCs w:val="21"/>
          <w:highlight w:val="none"/>
        </w:rPr>
        <w:t>小时向承包人提交书面延期要求， 但</w:t>
      </w:r>
      <w:r>
        <w:rPr>
          <w:rFonts w:ascii="宋体" w:hAnsi="宋体" w:eastAsia="宋体" w:cs="宋体"/>
          <w:color w:val="auto"/>
          <w:spacing w:val="-4"/>
          <w:sz w:val="21"/>
          <w:szCs w:val="21"/>
          <w:highlight w:val="none"/>
        </w:rPr>
        <w:t>延期不能超过</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小时。监理人未按时进行验收，也</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未提出延期要求的，承包人有权自行验收，监理人应认可验收结果。分部分项工程未</w:t>
      </w:r>
      <w:r>
        <w:rPr>
          <w:rFonts w:ascii="宋体" w:hAnsi="宋体" w:eastAsia="宋体" w:cs="宋体"/>
          <w:color w:val="auto"/>
          <w:spacing w:val="2"/>
          <w:sz w:val="21"/>
          <w:szCs w:val="21"/>
          <w:highlight w:val="none"/>
        </w:rPr>
        <w:t>经验</w:t>
      </w:r>
    </w:p>
    <w:p w14:paraId="65C89739">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收的，不得进入下一道工序施工。</w:t>
      </w:r>
    </w:p>
    <w:p w14:paraId="7E34C883">
      <w:pPr>
        <w:spacing w:before="15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分部分项工程的验收资料应当作为竣工资料的组成部分。</w:t>
      </w:r>
    </w:p>
    <w:p w14:paraId="643C3082">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13.2</w:t>
      </w:r>
      <w:r>
        <w:rPr>
          <w:rFonts w:ascii="黑体" w:hAnsi="黑体" w:eastAsia="黑体" w:cs="黑体"/>
          <w:color w:val="auto"/>
          <w:spacing w:val="-51"/>
          <w:sz w:val="24"/>
          <w:szCs w:val="24"/>
          <w:highlight w:val="none"/>
        </w:rPr>
        <w:t xml:space="preserve"> </w:t>
      </w:r>
      <w:r>
        <w:rPr>
          <w:rFonts w:ascii="黑体" w:hAnsi="黑体" w:eastAsia="黑体" w:cs="黑体"/>
          <w:color w:val="auto"/>
          <w:spacing w:val="-4"/>
          <w:sz w:val="24"/>
          <w:szCs w:val="24"/>
          <w:highlight w:val="none"/>
        </w:rPr>
        <w:t>竣工验收</w:t>
      </w:r>
    </w:p>
    <w:p w14:paraId="43FC6544">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13.2.1 </w:t>
      </w:r>
      <w:r>
        <w:rPr>
          <w:rFonts w:ascii="宋体" w:hAnsi="宋体" w:eastAsia="宋体" w:cs="宋体"/>
          <w:color w:val="auto"/>
          <w:spacing w:val="-3"/>
          <w:sz w:val="21"/>
          <w:szCs w:val="21"/>
          <w:highlight w:val="none"/>
        </w:rPr>
        <w:t>竣工验收条件</w:t>
      </w:r>
    </w:p>
    <w:p w14:paraId="342B077A">
      <w:pPr>
        <w:spacing w:before="147"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工程具备以下条件的，承包人可以申请竣工验收：</w:t>
      </w:r>
    </w:p>
    <w:p w14:paraId="4823BF34">
      <w:pPr>
        <w:spacing w:before="152" w:line="221" w:lineRule="auto"/>
        <w:ind w:right="3"/>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）除发包人同意的甩项工作和缺陷修补工作外，合同范围内的全部工程以及有关工</w:t>
      </w:r>
    </w:p>
    <w:p w14:paraId="30A21343">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作，包括合同要求的试验、试运行以及检验均已完成，并符合合同要求；</w:t>
      </w:r>
    </w:p>
    <w:p w14:paraId="25D5BE4B">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）已按合同约定编制了甩项工作和缺陷修补工作清单</w:t>
      </w:r>
      <w:r>
        <w:rPr>
          <w:rFonts w:ascii="宋体" w:hAnsi="宋体" w:eastAsia="宋体" w:cs="宋体"/>
          <w:color w:val="auto"/>
          <w:spacing w:val="-2"/>
          <w:position w:val="14"/>
          <w:sz w:val="21"/>
          <w:szCs w:val="21"/>
          <w:highlight w:val="none"/>
        </w:rPr>
        <w:t>以及相应的施工计划；</w:t>
      </w:r>
    </w:p>
    <w:p w14:paraId="26A9D89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）已按合同约定的内容和份数备齐竣工资料。</w:t>
      </w:r>
    </w:p>
    <w:p w14:paraId="79C068CB">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13.2.2 </w:t>
      </w:r>
      <w:r>
        <w:rPr>
          <w:rFonts w:ascii="宋体" w:hAnsi="宋体" w:eastAsia="宋体" w:cs="宋体"/>
          <w:color w:val="auto"/>
          <w:spacing w:val="-3"/>
          <w:sz w:val="21"/>
          <w:szCs w:val="21"/>
          <w:highlight w:val="none"/>
        </w:rPr>
        <w:t>竣工验收程序</w:t>
      </w:r>
    </w:p>
    <w:p w14:paraId="0CB604AD">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承包人申请竣工验收的</w:t>
      </w:r>
      <w:r>
        <w:rPr>
          <w:rFonts w:ascii="宋体" w:hAnsi="宋体" w:eastAsia="宋体" w:cs="宋体"/>
          <w:color w:val="auto"/>
          <w:spacing w:val="-5"/>
          <w:sz w:val="21"/>
          <w:szCs w:val="21"/>
          <w:highlight w:val="none"/>
        </w:rPr>
        <w:t>，应当按照以下程序进行：</w:t>
      </w:r>
    </w:p>
    <w:p w14:paraId="7CC0300C">
      <w:pPr>
        <w:spacing w:before="151" w:line="352" w:lineRule="auto"/>
        <w:ind w:left="19" w:right="8" w:firstLine="42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）承包人向监理人报送竣工验收申请报告</w:t>
      </w:r>
      <w:r>
        <w:rPr>
          <w:rFonts w:ascii="宋体" w:hAnsi="宋体" w:eastAsia="宋体" w:cs="宋体"/>
          <w:color w:val="auto"/>
          <w:spacing w:val="5"/>
          <w:sz w:val="21"/>
          <w:szCs w:val="21"/>
          <w:highlight w:val="none"/>
        </w:rPr>
        <w:t>，监理人应在收到竣工验收申请报告后</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61"/>
          <w:sz w:val="21"/>
          <w:szCs w:val="21"/>
          <w:highlight w:val="none"/>
        </w:rPr>
        <w:t xml:space="preserve"> </w:t>
      </w:r>
      <w:r>
        <w:rPr>
          <w:rFonts w:ascii="宋体" w:hAnsi="宋体" w:eastAsia="宋体" w:cs="宋体"/>
          <w:color w:val="auto"/>
          <w:sz w:val="21"/>
          <w:szCs w:val="21"/>
          <w:highlight w:val="none"/>
        </w:rPr>
        <w:t>天内完成审查并报送发包人。监理人审查后认为尚不具备验收条件的，应通知承包人在 竣工验收前承包人还需完成的工作内容， 承包人应在完成监理人通知的全部工作内容后，</w:t>
      </w:r>
    </w:p>
    <w:p w14:paraId="35B03D3F">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再次提交竣工验收申请报告。</w:t>
      </w:r>
    </w:p>
    <w:p w14:paraId="7C6BBD1D">
      <w:pPr>
        <w:spacing w:before="150" w:line="352" w:lineRule="auto"/>
        <w:ind w:left="21" w:right="6" w:firstLine="42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）监理人审查后认为已具备竣工验收条件的，</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应将竣工验收申</w:t>
      </w:r>
      <w:r>
        <w:rPr>
          <w:rFonts w:ascii="宋体" w:hAnsi="宋体" w:eastAsia="宋体" w:cs="宋体"/>
          <w:color w:val="auto"/>
          <w:spacing w:val="-6"/>
          <w:sz w:val="21"/>
          <w:szCs w:val="21"/>
          <w:highlight w:val="none"/>
        </w:rPr>
        <w:t>请报告提交发包人，</w:t>
      </w:r>
      <w:r>
        <w:rPr>
          <w:rFonts w:ascii="宋体" w:hAnsi="宋体" w:eastAsia="宋体" w:cs="宋体"/>
          <w:color w:val="auto"/>
          <w:sz w:val="21"/>
          <w:szCs w:val="21"/>
          <w:highlight w:val="none"/>
        </w:rPr>
        <w:t xml:space="preserve"> 发包人应在收到经监理人审核的竣工验收申</w:t>
      </w:r>
      <w:r>
        <w:rPr>
          <w:rFonts w:ascii="宋体" w:hAnsi="宋体" w:eastAsia="宋体" w:cs="宋体"/>
          <w:color w:val="auto"/>
          <w:spacing w:val="-1"/>
          <w:sz w:val="21"/>
          <w:szCs w:val="21"/>
          <w:highlight w:val="none"/>
        </w:rPr>
        <w:t>请报告后</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1"/>
          <w:sz w:val="21"/>
          <w:szCs w:val="21"/>
          <w:highlight w:val="none"/>
        </w:rPr>
        <w:t>天内审批完毕并组织监理人、承包</w:t>
      </w:r>
    </w:p>
    <w:p w14:paraId="7E1D6B1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人、设计人等相关单位完成竣工验收。</w:t>
      </w:r>
    </w:p>
    <w:p w14:paraId="25D65B5D">
      <w:pPr>
        <w:spacing w:line="220" w:lineRule="auto"/>
        <w:rPr>
          <w:rFonts w:ascii="宋体" w:hAnsi="宋体" w:eastAsia="宋体" w:cs="宋体"/>
          <w:color w:val="auto"/>
          <w:sz w:val="21"/>
          <w:szCs w:val="21"/>
          <w:highlight w:val="none"/>
        </w:rPr>
        <w:sectPr>
          <w:footerReference r:id="rId79" w:type="default"/>
          <w:pgSz w:w="11905" w:h="16839"/>
          <w:pgMar w:top="1431" w:right="1785" w:bottom="1004" w:left="1785" w:header="0" w:footer="828" w:gutter="0"/>
          <w:pgNumType w:fmt="decimal"/>
          <w:cols w:space="720" w:num="1"/>
        </w:sectPr>
      </w:pPr>
    </w:p>
    <w:p w14:paraId="28C7FD74">
      <w:pPr>
        <w:spacing w:before="150" w:line="352" w:lineRule="auto"/>
        <w:ind w:left="21" w:right="6"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）竣工验收合格的，发包人应在验收合格后</w:t>
      </w:r>
      <w:r>
        <w:rPr>
          <w:rFonts w:ascii="宋体" w:hAnsi="宋体" w:eastAsia="宋体" w:cs="宋体"/>
          <w:color w:val="auto"/>
          <w:spacing w:val="57"/>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pacing w:val="-2"/>
          <w:sz w:val="21"/>
          <w:szCs w:val="21"/>
          <w:highlight w:val="none"/>
        </w:rPr>
        <w:t>天内向承包人签发工程接收证书。</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发包人无正当理由逾期不颁发工程接收证书的，</w:t>
      </w:r>
      <w:r>
        <w:rPr>
          <w:rFonts w:ascii="宋体" w:hAnsi="宋体" w:eastAsia="宋体" w:cs="宋体"/>
          <w:color w:val="auto"/>
          <w:spacing w:val="47"/>
          <w:sz w:val="21"/>
          <w:szCs w:val="21"/>
          <w:highlight w:val="none"/>
        </w:rPr>
        <w:t xml:space="preserve"> </w:t>
      </w:r>
      <w:r>
        <w:rPr>
          <w:rFonts w:ascii="宋体" w:hAnsi="宋体" w:eastAsia="宋体" w:cs="宋体"/>
          <w:color w:val="auto"/>
          <w:spacing w:val="-5"/>
          <w:sz w:val="21"/>
          <w:szCs w:val="21"/>
          <w:highlight w:val="none"/>
        </w:rPr>
        <w:t xml:space="preserve">自验收合格后第 </w:t>
      </w:r>
      <w:r>
        <w:rPr>
          <w:rFonts w:ascii="Times New Roman" w:hAnsi="Times New Roman" w:eastAsia="Times New Roman" w:cs="Times New Roman"/>
          <w:color w:val="auto"/>
          <w:spacing w:val="-5"/>
          <w:sz w:val="21"/>
          <w:szCs w:val="21"/>
          <w:highlight w:val="none"/>
        </w:rPr>
        <w:t>15</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5"/>
          <w:sz w:val="21"/>
          <w:szCs w:val="21"/>
          <w:highlight w:val="none"/>
        </w:rPr>
        <w:t>天起视为已</w:t>
      </w:r>
      <w:r>
        <w:rPr>
          <w:rFonts w:ascii="宋体" w:hAnsi="宋体" w:eastAsia="宋体" w:cs="宋体"/>
          <w:color w:val="auto"/>
          <w:spacing w:val="-6"/>
          <w:sz w:val="21"/>
          <w:szCs w:val="21"/>
          <w:highlight w:val="none"/>
        </w:rPr>
        <w:t>颁发工程接</w:t>
      </w:r>
    </w:p>
    <w:p w14:paraId="79948DD8">
      <w:pPr>
        <w:spacing w:line="219" w:lineRule="auto"/>
        <w:ind w:left="2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收证书。</w:t>
      </w:r>
    </w:p>
    <w:p w14:paraId="7C4044B3">
      <w:pPr>
        <w:spacing w:before="147" w:line="352" w:lineRule="auto"/>
        <w:ind w:left="18" w:right="11" w:firstLine="429"/>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）竣工验收不合格的，监理人应按照验收意见发出指示，要求承包人对不合</w:t>
      </w:r>
      <w:r>
        <w:rPr>
          <w:rFonts w:ascii="宋体" w:hAnsi="宋体" w:eastAsia="宋体" w:cs="宋体"/>
          <w:color w:val="auto"/>
          <w:spacing w:val="-1"/>
          <w:sz w:val="21"/>
          <w:szCs w:val="21"/>
          <w:highlight w:val="none"/>
        </w:rPr>
        <w:t>格工程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返工、修复或采取其他补救措施， 由此增加的费用和</w:t>
      </w:r>
      <w:r>
        <w:rPr>
          <w:rFonts w:ascii="宋体" w:hAnsi="宋体" w:eastAsia="宋体" w:cs="宋体"/>
          <w:color w:val="auto"/>
          <w:spacing w:val="-3"/>
          <w:sz w:val="21"/>
          <w:szCs w:val="21"/>
          <w:highlight w:val="none"/>
        </w:rPr>
        <w:t>（或） 延误的工期由承包人承担。承</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包人在完成不合格工程的返工、修复或采取其他补救措施后，应重新提交竣</w:t>
      </w:r>
      <w:r>
        <w:rPr>
          <w:rFonts w:ascii="宋体" w:hAnsi="宋体" w:eastAsia="宋体" w:cs="宋体"/>
          <w:color w:val="auto"/>
          <w:spacing w:val="2"/>
          <w:sz w:val="21"/>
          <w:szCs w:val="21"/>
          <w:highlight w:val="none"/>
        </w:rPr>
        <w:t>工验收申请报</w:t>
      </w:r>
    </w:p>
    <w:p w14:paraId="5FE4EAB7">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告，并按本项约定的程序重新进行验收。</w:t>
      </w:r>
    </w:p>
    <w:p w14:paraId="4933EE6E">
      <w:pPr>
        <w:spacing w:before="150" w:line="352" w:lineRule="auto"/>
        <w:ind w:left="18" w:right="1" w:firstLine="429"/>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）工程未经验收或验收不合格，发包人擅自</w:t>
      </w:r>
      <w:r>
        <w:rPr>
          <w:rFonts w:ascii="宋体" w:hAnsi="宋体" w:eastAsia="宋体" w:cs="宋体"/>
          <w:color w:val="auto"/>
          <w:spacing w:val="-1"/>
          <w:sz w:val="21"/>
          <w:szCs w:val="21"/>
          <w:highlight w:val="none"/>
        </w:rPr>
        <w:t>使用的，应在转移占有工程后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天内向</w:t>
      </w:r>
      <w:r>
        <w:rPr>
          <w:rFonts w:ascii="宋体" w:hAnsi="宋体" w:eastAsia="宋体" w:cs="宋体"/>
          <w:color w:val="auto"/>
          <w:sz w:val="21"/>
          <w:szCs w:val="21"/>
          <w:highlight w:val="none"/>
        </w:rPr>
        <w:t xml:space="preserve"> 承包人颁发工程接收证书；发包人无正当理由逾期不颁发工程接收证书的， 自转移占有后</w:t>
      </w:r>
    </w:p>
    <w:p w14:paraId="64DAC21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第</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15 </w:t>
      </w:r>
      <w:r>
        <w:rPr>
          <w:rFonts w:ascii="宋体" w:hAnsi="宋体" w:eastAsia="宋体" w:cs="宋体"/>
          <w:color w:val="auto"/>
          <w:spacing w:val="-4"/>
          <w:sz w:val="21"/>
          <w:szCs w:val="21"/>
          <w:highlight w:val="none"/>
        </w:rPr>
        <w:t>天起视为已颁发工程接收证书。</w:t>
      </w:r>
    </w:p>
    <w:p w14:paraId="0C7A3B84">
      <w:pPr>
        <w:spacing w:before="147" w:line="353" w:lineRule="auto"/>
        <w:ind w:left="22" w:right="6" w:firstLine="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除专用合同条款另有约定外，发包人不按照本项约定组织竣工</w:t>
      </w:r>
      <w:r>
        <w:rPr>
          <w:rFonts w:ascii="宋体" w:hAnsi="宋体" w:eastAsia="宋体" w:cs="宋体"/>
          <w:color w:val="auto"/>
          <w:spacing w:val="2"/>
          <w:sz w:val="21"/>
          <w:szCs w:val="21"/>
          <w:highlight w:val="none"/>
        </w:rPr>
        <w:t>验收、颁发工程接收证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书的， 每逾期一天，应以签约合同价为基数</w:t>
      </w:r>
      <w:r>
        <w:rPr>
          <w:rFonts w:ascii="宋体" w:hAnsi="宋体" w:eastAsia="宋体" w:cs="宋体"/>
          <w:color w:val="auto"/>
          <w:spacing w:val="-3"/>
          <w:sz w:val="21"/>
          <w:szCs w:val="21"/>
          <w:highlight w:val="none"/>
        </w:rPr>
        <w:t>， 按照中国人民银行发布的同期同类贷款基准</w:t>
      </w:r>
    </w:p>
    <w:p w14:paraId="32FFB09B">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利率支付违约金。</w:t>
      </w:r>
    </w:p>
    <w:p w14:paraId="00ECDC4D">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13.2.3 </w:t>
      </w:r>
      <w:r>
        <w:rPr>
          <w:rFonts w:ascii="宋体" w:hAnsi="宋体" w:eastAsia="宋体" w:cs="宋体"/>
          <w:color w:val="auto"/>
          <w:spacing w:val="-3"/>
          <w:sz w:val="21"/>
          <w:szCs w:val="21"/>
          <w:highlight w:val="none"/>
        </w:rPr>
        <w:t>竣工日期</w:t>
      </w:r>
    </w:p>
    <w:p w14:paraId="7E2CDD8C">
      <w:pPr>
        <w:spacing w:before="154" w:line="351" w:lineRule="auto"/>
        <w:ind w:left="20" w:right="5"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工程经竣工验收合格的，以承包人提交竣工验收申请报告之日为实际竣工日期， 并在</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 xml:space="preserve">工程接收证书中载明；因发包人原因，未在监理人收到承包人提交的竣工验收申请报告 </w:t>
      </w:r>
      <w:r>
        <w:rPr>
          <w:rFonts w:ascii="Times New Roman" w:hAnsi="Times New Roman" w:eastAsia="Times New Roman" w:cs="Times New Roman"/>
          <w:color w:val="auto"/>
          <w:sz w:val="21"/>
          <w:szCs w:val="21"/>
          <w:highlight w:val="none"/>
        </w:rPr>
        <w:t>42</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3"/>
          <w:sz w:val="21"/>
          <w:szCs w:val="21"/>
          <w:highlight w:val="none"/>
        </w:rPr>
        <w:t>天内完成竣工验收，或完成竣工验收不予签发工程接收证书的，以提交竣工验收</w:t>
      </w:r>
      <w:r>
        <w:rPr>
          <w:rFonts w:ascii="宋体" w:hAnsi="宋体" w:eastAsia="宋体" w:cs="宋体"/>
          <w:color w:val="auto"/>
          <w:spacing w:val="2"/>
          <w:sz w:val="21"/>
          <w:szCs w:val="21"/>
          <w:highlight w:val="none"/>
        </w:rPr>
        <w:t>申请报告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的日期为实际竣工日期；工程未经竣工验收， 发包</w:t>
      </w:r>
      <w:r>
        <w:rPr>
          <w:rFonts w:ascii="宋体" w:hAnsi="宋体" w:eastAsia="宋体" w:cs="宋体"/>
          <w:color w:val="auto"/>
          <w:spacing w:val="-4"/>
          <w:sz w:val="21"/>
          <w:szCs w:val="21"/>
          <w:highlight w:val="none"/>
        </w:rPr>
        <w:t>人擅自使用的，</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rPr>
        <w:t>以转移占有工程之日为</w:t>
      </w:r>
    </w:p>
    <w:p w14:paraId="313BE402">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实际竣工日期。</w:t>
      </w:r>
    </w:p>
    <w:p w14:paraId="2E1CA89F">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13.2.4 </w:t>
      </w:r>
      <w:r>
        <w:rPr>
          <w:rFonts w:ascii="宋体" w:hAnsi="宋体" w:eastAsia="宋体" w:cs="宋体"/>
          <w:color w:val="auto"/>
          <w:spacing w:val="-2"/>
          <w:sz w:val="21"/>
          <w:szCs w:val="21"/>
          <w:highlight w:val="none"/>
        </w:rPr>
        <w:t>拒绝接收全部或部分工程</w:t>
      </w:r>
    </w:p>
    <w:p w14:paraId="5DE325D5">
      <w:pPr>
        <w:spacing w:before="151" w:line="352" w:lineRule="auto"/>
        <w:ind w:left="20" w:right="2"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对于竣工验收不合格的工程，承包人完成整改后，应当重新进行竣工验收， 经重新组</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织验收仍不合格的且无法采取措施补救的，则发包人可以拒绝接收不合</w:t>
      </w:r>
      <w:r>
        <w:rPr>
          <w:rFonts w:ascii="宋体" w:hAnsi="宋体" w:eastAsia="宋体" w:cs="宋体"/>
          <w:color w:val="auto"/>
          <w:spacing w:val="2"/>
          <w:sz w:val="21"/>
          <w:szCs w:val="21"/>
          <w:highlight w:val="none"/>
        </w:rPr>
        <w:t>格工程，因不合格</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工程导致其他工程不能正常使用的，承包人应采取措施确保相关工程的正常使用，</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由此增</w:t>
      </w:r>
    </w:p>
    <w:p w14:paraId="01A1792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加的费用和（或）延误的工期由承包人承担。</w:t>
      </w:r>
    </w:p>
    <w:p w14:paraId="18A92CA0">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13.2.5 </w:t>
      </w:r>
      <w:r>
        <w:rPr>
          <w:rFonts w:ascii="宋体" w:hAnsi="宋体" w:eastAsia="宋体" w:cs="宋体"/>
          <w:color w:val="auto"/>
          <w:spacing w:val="-2"/>
          <w:sz w:val="21"/>
          <w:szCs w:val="21"/>
          <w:highlight w:val="none"/>
        </w:rPr>
        <w:t>移交、接收全部与部分工程</w:t>
      </w:r>
    </w:p>
    <w:p w14:paraId="6F89C3A0">
      <w:pPr>
        <w:spacing w:before="148"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除专用合同条款另有约定外，</w:t>
      </w:r>
      <w:r>
        <w:rPr>
          <w:rFonts w:ascii="宋体" w:hAnsi="宋体" w:eastAsia="宋体" w:cs="宋体"/>
          <w:color w:val="auto"/>
          <w:spacing w:val="57"/>
          <w:position w:val="14"/>
          <w:sz w:val="21"/>
          <w:szCs w:val="21"/>
          <w:highlight w:val="none"/>
        </w:rPr>
        <w:t xml:space="preserve"> </w:t>
      </w:r>
      <w:r>
        <w:rPr>
          <w:rFonts w:ascii="宋体" w:hAnsi="宋体" w:eastAsia="宋体" w:cs="宋体"/>
          <w:color w:val="auto"/>
          <w:spacing w:val="-4"/>
          <w:position w:val="14"/>
          <w:sz w:val="21"/>
          <w:szCs w:val="21"/>
          <w:highlight w:val="none"/>
        </w:rPr>
        <w:t xml:space="preserve">合同当事人应当在颁发工程接收证书后 </w:t>
      </w:r>
      <w:r>
        <w:rPr>
          <w:rFonts w:ascii="Times New Roman" w:hAnsi="Times New Roman" w:eastAsia="Times New Roman" w:cs="Times New Roman"/>
          <w:color w:val="auto"/>
          <w:spacing w:val="-4"/>
          <w:position w:val="14"/>
          <w:sz w:val="21"/>
          <w:szCs w:val="21"/>
          <w:highlight w:val="none"/>
        </w:rPr>
        <w:t xml:space="preserve">7  </w:t>
      </w:r>
      <w:r>
        <w:rPr>
          <w:rFonts w:ascii="宋体" w:hAnsi="宋体" w:eastAsia="宋体" w:cs="宋体"/>
          <w:color w:val="auto"/>
          <w:spacing w:val="-4"/>
          <w:position w:val="14"/>
          <w:sz w:val="21"/>
          <w:szCs w:val="21"/>
          <w:highlight w:val="none"/>
        </w:rPr>
        <w:t>天内完成</w:t>
      </w:r>
      <w:r>
        <w:rPr>
          <w:rFonts w:ascii="宋体" w:hAnsi="宋体" w:eastAsia="宋体" w:cs="宋体"/>
          <w:color w:val="auto"/>
          <w:spacing w:val="-5"/>
          <w:position w:val="14"/>
          <w:sz w:val="21"/>
          <w:szCs w:val="21"/>
          <w:highlight w:val="none"/>
        </w:rPr>
        <w:t>工程</w:t>
      </w:r>
    </w:p>
    <w:p w14:paraId="0E6E1890">
      <w:pPr>
        <w:spacing w:line="222" w:lineRule="auto"/>
        <w:ind w:left="3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的移交。</w:t>
      </w:r>
    </w:p>
    <w:p w14:paraId="1A1B77FE">
      <w:pPr>
        <w:spacing w:before="145" w:line="353" w:lineRule="auto"/>
        <w:ind w:left="35" w:right="2"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发包人无正当理由不接收工程的，发包人自应当接收工程之日起，承担工程照管、成 品保护、保管等与工程有关的各项费用，合</w:t>
      </w:r>
      <w:r>
        <w:rPr>
          <w:rFonts w:ascii="宋体" w:hAnsi="宋体" w:eastAsia="宋体" w:cs="宋体"/>
          <w:color w:val="auto"/>
          <w:spacing w:val="2"/>
          <w:sz w:val="21"/>
          <w:szCs w:val="21"/>
          <w:highlight w:val="none"/>
        </w:rPr>
        <w:t>同当事人可以在专用合同条款中另行约定发包</w:t>
      </w:r>
    </w:p>
    <w:p w14:paraId="2F929C3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人逾期接收工程的违约责任。</w:t>
      </w:r>
    </w:p>
    <w:p w14:paraId="3901CEED">
      <w:pPr>
        <w:spacing w:before="148" w:line="398"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承包人无正当理由不移交工程的，承包人应承担工程照管、成品保护、保管等与工程</w:t>
      </w:r>
    </w:p>
    <w:p w14:paraId="1B588E1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有关的各项费用，合同当事人可以在专用合同条款中另行约定承</w:t>
      </w:r>
      <w:r>
        <w:rPr>
          <w:rFonts w:ascii="宋体" w:hAnsi="宋体" w:eastAsia="宋体" w:cs="宋体"/>
          <w:color w:val="auto"/>
          <w:spacing w:val="2"/>
          <w:sz w:val="21"/>
          <w:szCs w:val="21"/>
          <w:highlight w:val="none"/>
        </w:rPr>
        <w:t>包人无正当理由不移交工</w:t>
      </w:r>
    </w:p>
    <w:p w14:paraId="177AD304">
      <w:pPr>
        <w:spacing w:before="152" w:line="221"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程的违约责任。</w:t>
      </w:r>
    </w:p>
    <w:p w14:paraId="61440BE6">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13.3</w:t>
      </w:r>
      <w:r>
        <w:rPr>
          <w:rFonts w:ascii="黑体" w:hAnsi="黑体" w:eastAsia="黑体" w:cs="黑体"/>
          <w:color w:val="auto"/>
          <w:spacing w:val="-50"/>
          <w:sz w:val="24"/>
          <w:szCs w:val="24"/>
          <w:highlight w:val="none"/>
        </w:rPr>
        <w:t xml:space="preserve"> </w:t>
      </w:r>
      <w:r>
        <w:rPr>
          <w:rFonts w:ascii="黑体" w:hAnsi="黑体" w:eastAsia="黑体" w:cs="黑体"/>
          <w:color w:val="auto"/>
          <w:spacing w:val="-4"/>
          <w:sz w:val="24"/>
          <w:szCs w:val="24"/>
          <w:highlight w:val="none"/>
        </w:rPr>
        <w:t>工程试车</w:t>
      </w:r>
    </w:p>
    <w:p w14:paraId="4C9FB451">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13.3.1 </w:t>
      </w:r>
      <w:r>
        <w:rPr>
          <w:rFonts w:ascii="宋体" w:hAnsi="宋体" w:eastAsia="宋体" w:cs="宋体"/>
          <w:color w:val="auto"/>
          <w:spacing w:val="-3"/>
          <w:sz w:val="21"/>
          <w:szCs w:val="21"/>
          <w:highlight w:val="none"/>
        </w:rPr>
        <w:t>试车程序</w:t>
      </w:r>
    </w:p>
    <w:p w14:paraId="5CCD1CD2">
      <w:pPr>
        <w:spacing w:line="221" w:lineRule="auto"/>
        <w:rPr>
          <w:rFonts w:ascii="宋体" w:hAnsi="宋体" w:eastAsia="宋体" w:cs="宋体"/>
          <w:color w:val="auto"/>
          <w:sz w:val="21"/>
          <w:szCs w:val="21"/>
          <w:highlight w:val="none"/>
        </w:rPr>
        <w:sectPr>
          <w:footerReference r:id="rId80" w:type="default"/>
          <w:pgSz w:w="11905" w:h="16839"/>
          <w:pgMar w:top="1431" w:right="1785" w:bottom="1004" w:left="1785" w:header="0" w:footer="828" w:gutter="0"/>
          <w:pgNumType w:fmt="decimal"/>
          <w:cols w:space="720" w:num="1"/>
        </w:sectPr>
      </w:pPr>
    </w:p>
    <w:p w14:paraId="5ED8716C">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工程需要试车的， 除专用合同条款另有约定外，试车内容应与承包人承包范围相一致，</w:t>
      </w:r>
    </w:p>
    <w:p w14:paraId="4425628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试车费用由承包人承担。工程试车应按如下程序进行：</w:t>
      </w:r>
    </w:p>
    <w:p w14:paraId="1A36DA9C">
      <w:pPr>
        <w:spacing w:before="154" w:line="351" w:lineRule="auto"/>
        <w:ind w:left="18" w:right="171" w:firstLine="42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）具备单机无负荷试车条件，承包人组织试车，</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小时书面通知监理</w:t>
      </w:r>
      <w:r>
        <w:rPr>
          <w:rFonts w:ascii="宋体" w:hAnsi="宋体" w:eastAsia="宋体" w:cs="宋体"/>
          <w:color w:val="auto"/>
          <w:sz w:val="21"/>
          <w:szCs w:val="21"/>
          <w:highlight w:val="none"/>
        </w:rPr>
        <w:t xml:space="preserve"> 人，通知中应载明试车内容、时间、地点。承包人准备试车记录， 发包人根据承包人要求</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为试车提供必要条件。试车合格的，监理人在试车记录上签字。监理人在试</w:t>
      </w:r>
      <w:r>
        <w:rPr>
          <w:rFonts w:ascii="宋体" w:hAnsi="宋体" w:eastAsia="宋体" w:cs="宋体"/>
          <w:color w:val="auto"/>
          <w:spacing w:val="2"/>
          <w:sz w:val="21"/>
          <w:szCs w:val="21"/>
          <w:highlight w:val="none"/>
        </w:rPr>
        <w:t>车合格后不在</w:t>
      </w:r>
      <w:r>
        <w:rPr>
          <w:rFonts w:ascii="宋体" w:hAnsi="宋体" w:eastAsia="宋体" w:cs="宋体"/>
          <w:color w:val="auto"/>
          <w:sz w:val="21"/>
          <w:szCs w:val="21"/>
          <w:highlight w:val="none"/>
        </w:rPr>
        <w:t xml:space="preserve"> 试车记录上签字，自试车结束满</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z w:val="21"/>
          <w:szCs w:val="21"/>
          <w:highlight w:val="none"/>
        </w:rPr>
        <w:t>小时后视为监理人已</w:t>
      </w:r>
      <w:r>
        <w:rPr>
          <w:rFonts w:ascii="宋体" w:hAnsi="宋体" w:eastAsia="宋体" w:cs="宋体"/>
          <w:color w:val="auto"/>
          <w:spacing w:val="-1"/>
          <w:sz w:val="21"/>
          <w:szCs w:val="21"/>
          <w:highlight w:val="none"/>
        </w:rPr>
        <w:t>经认可试车记录，承包人可继续施</w:t>
      </w:r>
    </w:p>
    <w:p w14:paraId="265D49C8">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工或办理竣工验收手续。</w:t>
      </w:r>
    </w:p>
    <w:p w14:paraId="3A56C7B1">
      <w:pPr>
        <w:spacing w:before="148" w:line="352" w:lineRule="auto"/>
        <w:ind w:left="19" w:right="17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监理人不能按时参加试车，应在试车前</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1"/>
          <w:sz w:val="21"/>
          <w:szCs w:val="21"/>
          <w:highlight w:val="none"/>
        </w:rPr>
        <w:t>小时以书面形式向承包人提出延期要求，但</w:t>
      </w:r>
      <w:r>
        <w:rPr>
          <w:rFonts w:ascii="宋体" w:hAnsi="宋体" w:eastAsia="宋体" w:cs="宋体"/>
          <w:color w:val="auto"/>
          <w:sz w:val="21"/>
          <w:szCs w:val="21"/>
          <w:highlight w:val="none"/>
        </w:rPr>
        <w:t xml:space="preserve"> 延期不能超过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小时，由此导致工期延误的，工期应予</w:t>
      </w:r>
      <w:r>
        <w:rPr>
          <w:rFonts w:ascii="宋体" w:hAnsi="宋体" w:eastAsia="宋体" w:cs="宋体"/>
          <w:color w:val="auto"/>
          <w:spacing w:val="-1"/>
          <w:sz w:val="21"/>
          <w:szCs w:val="21"/>
          <w:highlight w:val="none"/>
        </w:rPr>
        <w:t>以顺延。监理人未能在前述期限内</w:t>
      </w:r>
    </w:p>
    <w:p w14:paraId="6E6D5C2C">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提出延期要求，又不参加试车的，视为认可试车记录。</w:t>
      </w:r>
    </w:p>
    <w:p w14:paraId="16A6D799">
      <w:pPr>
        <w:spacing w:before="147" w:line="352" w:lineRule="auto"/>
        <w:ind w:left="20" w:right="171"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）具备无负荷联动试车条件，发包人组织试车，</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小时以书面形式通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知承包人。通知中应载明试车内容、时间、地点和对承包人的要求，承</w:t>
      </w:r>
      <w:r>
        <w:rPr>
          <w:rFonts w:ascii="宋体" w:hAnsi="宋体" w:eastAsia="宋体" w:cs="宋体"/>
          <w:color w:val="auto"/>
          <w:spacing w:val="2"/>
          <w:sz w:val="21"/>
          <w:szCs w:val="21"/>
          <w:highlight w:val="none"/>
        </w:rPr>
        <w:t>包人按要求做好准</w:t>
      </w:r>
      <w:r>
        <w:rPr>
          <w:rFonts w:ascii="宋体" w:hAnsi="宋体" w:eastAsia="宋体" w:cs="宋体"/>
          <w:color w:val="auto"/>
          <w:sz w:val="21"/>
          <w:szCs w:val="21"/>
          <w:highlight w:val="none"/>
        </w:rPr>
        <w:t xml:space="preserve"> 备工作。试车合格，合同当事人在试车记录上签字。承包人无正当理由不参加试车的， 视</w:t>
      </w:r>
    </w:p>
    <w:p w14:paraId="4169675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为认可试车记录。</w:t>
      </w:r>
    </w:p>
    <w:p w14:paraId="48FFC294">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13.3.2 </w:t>
      </w:r>
      <w:r>
        <w:rPr>
          <w:rFonts w:ascii="宋体" w:hAnsi="宋体" w:eastAsia="宋体" w:cs="宋体"/>
          <w:color w:val="auto"/>
          <w:spacing w:val="-2"/>
          <w:sz w:val="21"/>
          <w:szCs w:val="21"/>
          <w:highlight w:val="none"/>
        </w:rPr>
        <w:t>试车中的责任</w:t>
      </w:r>
    </w:p>
    <w:p w14:paraId="403E4FE9">
      <w:pPr>
        <w:spacing w:before="147" w:line="352" w:lineRule="auto"/>
        <w:ind w:left="20" w:right="176" w:firstLine="4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因设计原因导致试车达不到验收要求，发包人应要求</w:t>
      </w:r>
      <w:r>
        <w:rPr>
          <w:rFonts w:ascii="宋体" w:hAnsi="宋体" w:eastAsia="宋体" w:cs="宋体"/>
          <w:color w:val="auto"/>
          <w:spacing w:val="2"/>
          <w:sz w:val="21"/>
          <w:szCs w:val="21"/>
          <w:highlight w:val="none"/>
        </w:rPr>
        <w:t>设计人修改设计，承包人按修改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后的设计重新安装。发包人承担修改设计、拆除及重新安装的全部费用，工期相应顺延。</w:t>
      </w:r>
      <w:r>
        <w:rPr>
          <w:rFonts w:ascii="宋体" w:hAnsi="宋体" w:eastAsia="宋体" w:cs="宋体"/>
          <w:color w:val="auto"/>
          <w:sz w:val="21"/>
          <w:szCs w:val="21"/>
          <w:highlight w:val="none"/>
        </w:rPr>
        <w:t xml:space="preserve"> 因承包人原因导致试车达不到验收要求， 承包人按监理人要求重新安装和试车，并承担重</w:t>
      </w:r>
    </w:p>
    <w:p w14:paraId="0A1414A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新安装和试车的费用，工期不予顺延。</w:t>
      </w:r>
    </w:p>
    <w:p w14:paraId="6C4C7C23">
      <w:pPr>
        <w:spacing w:before="146" w:line="353" w:lineRule="auto"/>
        <w:ind w:left="25" w:right="176" w:firstLine="4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因工程设备制造原因导致试车达不到验收要求的，由</w:t>
      </w:r>
      <w:r>
        <w:rPr>
          <w:rFonts w:ascii="宋体" w:hAnsi="宋体" w:eastAsia="宋体" w:cs="宋体"/>
          <w:color w:val="auto"/>
          <w:spacing w:val="2"/>
          <w:sz w:val="21"/>
          <w:szCs w:val="21"/>
          <w:highlight w:val="none"/>
        </w:rPr>
        <w:t>采购该工程设备的合同当事人负</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责重新购置或修理，承包人负责拆除和重新安装，由此增加</w:t>
      </w:r>
      <w:r>
        <w:rPr>
          <w:rFonts w:ascii="宋体" w:hAnsi="宋体" w:eastAsia="宋体" w:cs="宋体"/>
          <w:color w:val="auto"/>
          <w:spacing w:val="2"/>
          <w:sz w:val="21"/>
          <w:szCs w:val="21"/>
          <w:highlight w:val="none"/>
        </w:rPr>
        <w:t>的修理、重新购置、拆除及重</w:t>
      </w:r>
    </w:p>
    <w:p w14:paraId="0832C86B">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新安装的费用及延误的工期由采购该工程设备的合同</w:t>
      </w:r>
      <w:r>
        <w:rPr>
          <w:rFonts w:ascii="宋体" w:hAnsi="宋体" w:eastAsia="宋体" w:cs="宋体"/>
          <w:color w:val="auto"/>
          <w:spacing w:val="-1"/>
          <w:sz w:val="21"/>
          <w:szCs w:val="21"/>
          <w:highlight w:val="none"/>
        </w:rPr>
        <w:t>当事人承担。</w:t>
      </w:r>
    </w:p>
    <w:p w14:paraId="47452FBF">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13.3.3 </w:t>
      </w:r>
      <w:r>
        <w:rPr>
          <w:rFonts w:ascii="宋体" w:hAnsi="宋体" w:eastAsia="宋体" w:cs="宋体"/>
          <w:color w:val="auto"/>
          <w:spacing w:val="-2"/>
          <w:sz w:val="21"/>
          <w:szCs w:val="21"/>
          <w:highlight w:val="none"/>
        </w:rPr>
        <w:t>投料试车</w:t>
      </w:r>
    </w:p>
    <w:p w14:paraId="67846DF8">
      <w:pPr>
        <w:spacing w:before="151" w:line="351" w:lineRule="auto"/>
        <w:ind w:left="19" w:right="172"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如需进行投料试车的， 发包人应在工程竣工验收后组织投料试车。发包人要求在工程</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竣工验收前进行或需要承包人配合时，应征得承包人同意，并在专用合同条款中约</w:t>
      </w:r>
      <w:r>
        <w:rPr>
          <w:rFonts w:ascii="宋体" w:hAnsi="宋体" w:eastAsia="宋体" w:cs="宋体"/>
          <w:color w:val="auto"/>
          <w:spacing w:val="2"/>
          <w:sz w:val="21"/>
          <w:szCs w:val="21"/>
          <w:highlight w:val="none"/>
        </w:rPr>
        <w:t>定有关</w:t>
      </w:r>
    </w:p>
    <w:p w14:paraId="2B4C07EC">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事项。</w:t>
      </w:r>
    </w:p>
    <w:p w14:paraId="30D3FBB6">
      <w:pPr>
        <w:spacing w:before="151" w:line="398"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投料试车合格的，费用由发包人承担；因承包人原因造成投料试车不合格的，承包人</w:t>
      </w:r>
    </w:p>
    <w:p w14:paraId="5525FF1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应按照发包人要求进行整改，</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由此产生的整改费用由</w:t>
      </w:r>
      <w:r>
        <w:rPr>
          <w:rFonts w:ascii="宋体" w:hAnsi="宋体" w:eastAsia="宋体" w:cs="宋体"/>
          <w:color w:val="auto"/>
          <w:spacing w:val="-4"/>
          <w:sz w:val="21"/>
          <w:szCs w:val="21"/>
          <w:highlight w:val="none"/>
        </w:rPr>
        <w:t>承包人承担； 非因承包人原因导致投</w:t>
      </w:r>
    </w:p>
    <w:p w14:paraId="04D4E7D6">
      <w:pPr>
        <w:spacing w:before="147"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料试车不合格的， 如发包人要求承包人进行整改的，由此产生的费用由发包人承担。</w:t>
      </w:r>
    </w:p>
    <w:p w14:paraId="4A3ADC99">
      <w:pPr>
        <w:spacing w:before="51"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13.4</w:t>
      </w:r>
      <w:r>
        <w:rPr>
          <w:rFonts w:ascii="黑体" w:hAnsi="黑体" w:eastAsia="黑体" w:cs="黑体"/>
          <w:color w:val="auto"/>
          <w:spacing w:val="-54"/>
          <w:sz w:val="24"/>
          <w:szCs w:val="24"/>
          <w:highlight w:val="none"/>
        </w:rPr>
        <w:t xml:space="preserve"> </w:t>
      </w:r>
      <w:r>
        <w:rPr>
          <w:rFonts w:ascii="黑体" w:hAnsi="黑体" w:eastAsia="黑体" w:cs="黑体"/>
          <w:color w:val="auto"/>
          <w:spacing w:val="-2"/>
          <w:sz w:val="24"/>
          <w:szCs w:val="24"/>
          <w:highlight w:val="none"/>
        </w:rPr>
        <w:t>提前交付单位工程的验收</w:t>
      </w:r>
    </w:p>
    <w:p w14:paraId="7673863A">
      <w:pPr>
        <w:spacing w:before="130" w:line="350" w:lineRule="auto"/>
        <w:ind w:left="20" w:firstLine="43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13.4.1</w:t>
      </w:r>
      <w:r>
        <w:rPr>
          <w:rFonts w:ascii="Times New Roman" w:hAnsi="Times New Roman" w:eastAsia="Times New Roman" w:cs="Times New Roman"/>
          <w:color w:val="auto"/>
          <w:spacing w:val="52"/>
          <w:w w:val="101"/>
          <w:sz w:val="21"/>
          <w:szCs w:val="21"/>
          <w:highlight w:val="none"/>
        </w:rPr>
        <w:t xml:space="preserve"> </w:t>
      </w:r>
      <w:r>
        <w:rPr>
          <w:rFonts w:ascii="宋体" w:hAnsi="宋体" w:eastAsia="宋体" w:cs="宋体"/>
          <w:color w:val="auto"/>
          <w:spacing w:val="2"/>
          <w:sz w:val="21"/>
          <w:szCs w:val="21"/>
          <w:highlight w:val="none"/>
        </w:rPr>
        <w:t xml:space="preserve">发包人需要在工程竣工前使用单位工程的，或承包人提出提前交付已经竣工的  </w:t>
      </w:r>
      <w:r>
        <w:rPr>
          <w:rFonts w:ascii="宋体" w:hAnsi="宋体" w:eastAsia="宋体" w:cs="宋体"/>
          <w:color w:val="auto"/>
          <w:spacing w:val="-6"/>
          <w:sz w:val="21"/>
          <w:szCs w:val="21"/>
          <w:highlight w:val="none"/>
        </w:rPr>
        <w:t>单位工程且经发包人同意的， 可进行单位工程验收，</w:t>
      </w:r>
      <w:r>
        <w:rPr>
          <w:rFonts w:ascii="宋体" w:hAnsi="宋体" w:eastAsia="宋体" w:cs="宋体"/>
          <w:color w:val="auto"/>
          <w:spacing w:val="-10"/>
          <w:sz w:val="21"/>
          <w:szCs w:val="21"/>
          <w:highlight w:val="none"/>
        </w:rPr>
        <w:t xml:space="preserve"> </w:t>
      </w:r>
      <w:r>
        <w:rPr>
          <w:rFonts w:ascii="宋体" w:hAnsi="宋体" w:eastAsia="宋体" w:cs="宋体"/>
          <w:color w:val="auto"/>
          <w:spacing w:val="-6"/>
          <w:sz w:val="21"/>
          <w:szCs w:val="21"/>
          <w:highlight w:val="none"/>
        </w:rPr>
        <w:t xml:space="preserve">验收的程序按照第 </w:t>
      </w:r>
      <w:r>
        <w:rPr>
          <w:rFonts w:ascii="Times New Roman" w:hAnsi="Times New Roman" w:eastAsia="Times New Roman" w:cs="Times New Roman"/>
          <w:color w:val="auto"/>
          <w:spacing w:val="-6"/>
          <w:sz w:val="21"/>
          <w:szCs w:val="21"/>
          <w:highlight w:val="none"/>
        </w:rPr>
        <w:t xml:space="preserve">13.2  </w:t>
      </w:r>
      <w:r>
        <w:rPr>
          <w:rFonts w:ascii="宋体" w:hAnsi="宋体" w:eastAsia="宋体" w:cs="宋体"/>
          <w:color w:val="auto"/>
          <w:spacing w:val="-6"/>
          <w:sz w:val="21"/>
          <w:szCs w:val="21"/>
          <w:highlight w:val="none"/>
        </w:rPr>
        <w:t>款〔竣工验收〕</w:t>
      </w:r>
    </w:p>
    <w:p w14:paraId="0246165B">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的约定进行。</w:t>
      </w:r>
    </w:p>
    <w:p w14:paraId="2A9262D3">
      <w:pPr>
        <w:spacing w:before="152" w:line="398" w:lineRule="exact"/>
        <w:ind w:left="44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验收合格后，由监理人向承包人出具经发包人签认的单位工程接收证书。已签发单位</w:t>
      </w:r>
    </w:p>
    <w:p w14:paraId="67E65F72">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工程接收证书的单位工程由发包人负责照管。单位工程的验收成果和结</w:t>
      </w:r>
      <w:r>
        <w:rPr>
          <w:rFonts w:ascii="宋体" w:hAnsi="宋体" w:eastAsia="宋体" w:cs="宋体"/>
          <w:color w:val="auto"/>
          <w:spacing w:val="2"/>
          <w:sz w:val="21"/>
          <w:szCs w:val="21"/>
          <w:highlight w:val="none"/>
        </w:rPr>
        <w:t>论作为整体工程竣</w:t>
      </w:r>
    </w:p>
    <w:p w14:paraId="1D43DBC0">
      <w:pPr>
        <w:spacing w:line="219" w:lineRule="auto"/>
        <w:rPr>
          <w:rFonts w:ascii="宋体" w:hAnsi="宋体" w:eastAsia="宋体" w:cs="宋体"/>
          <w:color w:val="auto"/>
          <w:sz w:val="21"/>
          <w:szCs w:val="21"/>
          <w:highlight w:val="none"/>
        </w:rPr>
        <w:sectPr>
          <w:footerReference r:id="rId81" w:type="default"/>
          <w:pgSz w:w="11905" w:h="16839"/>
          <w:pgMar w:top="1431" w:right="1615" w:bottom="1004" w:left="1785" w:header="0" w:footer="829" w:gutter="0"/>
          <w:pgNumType w:fmt="decimal"/>
          <w:cols w:space="720" w:num="1"/>
        </w:sectPr>
      </w:pPr>
    </w:p>
    <w:p w14:paraId="48782B1D">
      <w:pPr>
        <w:spacing w:before="149"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工验收申请报告的附件。</w:t>
      </w:r>
    </w:p>
    <w:p w14:paraId="62E7BB99">
      <w:pPr>
        <w:spacing w:before="147" w:line="276" w:lineRule="auto"/>
        <w:ind w:left="20" w:firstLine="436"/>
        <w:jc w:val="both"/>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13.4.2</w:t>
      </w:r>
      <w:r>
        <w:rPr>
          <w:rFonts w:ascii="Times New Roman" w:hAnsi="Times New Roman" w:eastAsia="Times New Roman" w:cs="Times New Roman"/>
          <w:color w:val="auto"/>
          <w:spacing w:val="48"/>
          <w:w w:val="101"/>
          <w:sz w:val="21"/>
          <w:szCs w:val="21"/>
          <w:highlight w:val="none"/>
        </w:rPr>
        <w:t xml:space="preserve"> </w:t>
      </w:r>
      <w:r>
        <w:rPr>
          <w:rFonts w:ascii="宋体" w:hAnsi="宋体" w:eastAsia="宋体" w:cs="宋体"/>
          <w:color w:val="auto"/>
          <w:spacing w:val="1"/>
          <w:sz w:val="21"/>
          <w:szCs w:val="21"/>
          <w:highlight w:val="none"/>
        </w:rPr>
        <w:t>发包人要求在工程竣工前交付单位工程，</w:t>
      </w:r>
      <w:r>
        <w:rPr>
          <w:rFonts w:ascii="宋体" w:hAnsi="宋体" w:eastAsia="宋体" w:cs="宋体"/>
          <w:color w:val="auto"/>
          <w:spacing w:val="-61"/>
          <w:sz w:val="21"/>
          <w:szCs w:val="21"/>
          <w:highlight w:val="none"/>
        </w:rPr>
        <w:t xml:space="preserve"> </w:t>
      </w:r>
      <w:r>
        <w:rPr>
          <w:rFonts w:ascii="宋体" w:hAnsi="宋体" w:eastAsia="宋体" w:cs="宋体"/>
          <w:color w:val="auto"/>
          <w:spacing w:val="1"/>
          <w:sz w:val="21"/>
          <w:szCs w:val="21"/>
          <w:highlight w:val="none"/>
        </w:rPr>
        <w:t>由此导致承包人费用增加和（或）工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期延误的，由发包人承担由此增加的费用和（或）延误的工期，并支付承包人合理的利润。</w:t>
      </w:r>
      <w:r>
        <w:rPr>
          <w:rFonts w:ascii="宋体" w:hAnsi="宋体" w:eastAsia="宋体" w:cs="宋体"/>
          <w:color w:val="auto"/>
          <w:sz w:val="21"/>
          <w:szCs w:val="21"/>
          <w:highlight w:val="none"/>
        </w:rPr>
        <w:t xml:space="preserve"> </w:t>
      </w:r>
      <w:r>
        <w:rPr>
          <w:rFonts w:ascii="黑体" w:hAnsi="黑体" w:eastAsia="黑体" w:cs="黑体"/>
          <w:color w:val="auto"/>
          <w:spacing w:val="-1"/>
          <w:sz w:val="24"/>
          <w:szCs w:val="24"/>
          <w:highlight w:val="none"/>
        </w:rPr>
        <w:t>13.5 施工期运行</w:t>
      </w:r>
    </w:p>
    <w:p w14:paraId="0C887ACE">
      <w:pPr>
        <w:spacing w:before="129" w:line="39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13.5.1</w:t>
      </w:r>
      <w:r>
        <w:rPr>
          <w:rFonts w:ascii="Times New Roman" w:hAnsi="Times New Roman" w:eastAsia="Times New Roman" w:cs="Times New Roman"/>
          <w:color w:val="auto"/>
          <w:spacing w:val="36"/>
          <w:w w:val="101"/>
          <w:position w:val="14"/>
          <w:sz w:val="21"/>
          <w:szCs w:val="21"/>
          <w:highlight w:val="none"/>
        </w:rPr>
        <w:t xml:space="preserve"> </w:t>
      </w:r>
      <w:r>
        <w:rPr>
          <w:rFonts w:ascii="宋体" w:hAnsi="宋体" w:eastAsia="宋体" w:cs="宋体"/>
          <w:color w:val="auto"/>
          <w:spacing w:val="3"/>
          <w:position w:val="14"/>
          <w:sz w:val="21"/>
          <w:szCs w:val="21"/>
          <w:highlight w:val="none"/>
        </w:rPr>
        <w:t>施工期运行是指合同工程尚未全部竣工，其中某项</w:t>
      </w:r>
      <w:r>
        <w:rPr>
          <w:rFonts w:ascii="宋体" w:hAnsi="宋体" w:eastAsia="宋体" w:cs="宋体"/>
          <w:color w:val="auto"/>
          <w:spacing w:val="2"/>
          <w:position w:val="14"/>
          <w:sz w:val="21"/>
          <w:szCs w:val="21"/>
          <w:highlight w:val="none"/>
        </w:rPr>
        <w:t>或某几项单位工程或工程设</w:t>
      </w:r>
    </w:p>
    <w:p w14:paraId="0373971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备安装已竣工，根据专用合同条款约定，需要投入施工期运行的，经发包人按第 </w:t>
      </w:r>
      <w:r>
        <w:rPr>
          <w:rFonts w:ascii="Times New Roman" w:hAnsi="Times New Roman" w:eastAsia="Times New Roman" w:cs="Times New Roman"/>
          <w:color w:val="auto"/>
          <w:spacing w:val="4"/>
          <w:sz w:val="21"/>
          <w:szCs w:val="21"/>
          <w:highlight w:val="none"/>
        </w:rPr>
        <w:t xml:space="preserve">13.4  </w:t>
      </w:r>
      <w:r>
        <w:rPr>
          <w:rFonts w:ascii="宋体" w:hAnsi="宋体" w:eastAsia="宋体" w:cs="宋体"/>
          <w:color w:val="auto"/>
          <w:spacing w:val="4"/>
          <w:sz w:val="21"/>
          <w:szCs w:val="21"/>
          <w:highlight w:val="none"/>
        </w:rPr>
        <w:t>款</w:t>
      </w:r>
    </w:p>
    <w:p w14:paraId="7457D51D">
      <w:pPr>
        <w:spacing w:before="152" w:line="399" w:lineRule="exact"/>
        <w:ind w:left="42"/>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〔提前交付单位工程的验收〕的约定验收合格，证明能确保安全后，才能在施工期投入运</w:t>
      </w:r>
    </w:p>
    <w:p w14:paraId="25D93115">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行。</w:t>
      </w:r>
    </w:p>
    <w:p w14:paraId="06B37BA8">
      <w:pPr>
        <w:spacing w:before="14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13.5.2</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在施工期运行中发现工程或工程设备损坏或存在缺陷的，由承包人按第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15</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2"/>
          <w:sz w:val="21"/>
          <w:szCs w:val="21"/>
          <w:highlight w:val="none"/>
        </w:rPr>
        <w:t>款</w:t>
      </w:r>
    </w:p>
    <w:p w14:paraId="0A86AC1F">
      <w:pPr>
        <w:spacing w:before="152" w:line="221"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〔缺陷责任期〕约定进行修复。</w:t>
      </w:r>
    </w:p>
    <w:p w14:paraId="458E6758">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13.6 竣工退场</w:t>
      </w:r>
    </w:p>
    <w:p w14:paraId="43FF84B2">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13.6.1 </w:t>
      </w:r>
      <w:r>
        <w:rPr>
          <w:rFonts w:ascii="宋体" w:hAnsi="宋体" w:eastAsia="宋体" w:cs="宋体"/>
          <w:color w:val="auto"/>
          <w:spacing w:val="-2"/>
          <w:sz w:val="21"/>
          <w:szCs w:val="21"/>
          <w:highlight w:val="none"/>
        </w:rPr>
        <w:t>竣工退场</w:t>
      </w:r>
    </w:p>
    <w:p w14:paraId="21656052">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颁发工程接收证书后，承包人应按以下要求对施工现场</w:t>
      </w:r>
      <w:r>
        <w:rPr>
          <w:rFonts w:ascii="宋体" w:hAnsi="宋体" w:eastAsia="宋体" w:cs="宋体"/>
          <w:color w:val="auto"/>
          <w:spacing w:val="-1"/>
          <w:position w:val="14"/>
          <w:sz w:val="21"/>
          <w:szCs w:val="21"/>
          <w:highlight w:val="none"/>
        </w:rPr>
        <w:t>进行清理：</w:t>
      </w:r>
    </w:p>
    <w:p w14:paraId="5BE060F1">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）施工现场内残留的垃圾已全部清除出</w:t>
      </w:r>
      <w:r>
        <w:rPr>
          <w:rFonts w:ascii="宋体" w:hAnsi="宋体" w:eastAsia="宋体" w:cs="宋体"/>
          <w:color w:val="auto"/>
          <w:spacing w:val="-3"/>
          <w:sz w:val="21"/>
          <w:szCs w:val="21"/>
          <w:highlight w:val="none"/>
        </w:rPr>
        <w:t>场；</w:t>
      </w:r>
    </w:p>
    <w:p w14:paraId="697D7395">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）临时工程已拆除，场地已进行清理、平整或复原；</w:t>
      </w:r>
    </w:p>
    <w:p w14:paraId="5550E442">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）按合同约定应撤离的人员、承包人施工设备和剩余的材料，包括废弃的</w:t>
      </w:r>
      <w:r>
        <w:rPr>
          <w:rFonts w:ascii="宋体" w:hAnsi="宋体" w:eastAsia="宋体" w:cs="宋体"/>
          <w:color w:val="auto"/>
          <w:spacing w:val="-1"/>
          <w:position w:val="14"/>
          <w:sz w:val="21"/>
          <w:szCs w:val="21"/>
          <w:highlight w:val="none"/>
        </w:rPr>
        <w:t>施工设备</w:t>
      </w:r>
    </w:p>
    <w:p w14:paraId="4215143E">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和材料，已按计划撤离施工现场；</w:t>
      </w:r>
    </w:p>
    <w:p w14:paraId="5345D9C4">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宋体" w:hAnsi="宋体" w:eastAsia="宋体" w:cs="宋体"/>
          <w:color w:val="auto"/>
          <w:spacing w:val="-2"/>
          <w:position w:val="14"/>
          <w:sz w:val="21"/>
          <w:szCs w:val="21"/>
          <w:highlight w:val="none"/>
        </w:rPr>
        <w:t>）施工现场周边及其附近道路、河道的施工堆积物，已全部清理；</w:t>
      </w:r>
    </w:p>
    <w:p w14:paraId="54BD7074">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）施工现场其他场地清理工作已全部完成。</w:t>
      </w:r>
    </w:p>
    <w:p w14:paraId="397273E7">
      <w:pPr>
        <w:spacing w:before="147" w:line="353" w:lineRule="auto"/>
        <w:ind w:left="19" w:right="174"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施工现场的竣工退场费用由承包人承担。承包人应在专用合同条款约定的期限内完成 </w:t>
      </w:r>
      <w:r>
        <w:rPr>
          <w:rFonts w:ascii="宋体" w:hAnsi="宋体" w:eastAsia="宋体" w:cs="宋体"/>
          <w:color w:val="auto"/>
          <w:sz w:val="21"/>
          <w:szCs w:val="21"/>
          <w:highlight w:val="none"/>
        </w:rPr>
        <w:t>竣工退场，逾期未完成的，发包人有权出售或另行处理承包人遗留的物品， 由此支出的费</w:t>
      </w:r>
    </w:p>
    <w:p w14:paraId="16C725F2">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用由承包人承担，发包人出售承包人遗留物品所得款项在扣除必要费用后应返还承包人。</w:t>
      </w:r>
    </w:p>
    <w:p w14:paraId="2BC373E0">
      <w:pPr>
        <w:spacing w:before="148" w:line="222"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13.6.2 </w:t>
      </w:r>
      <w:r>
        <w:rPr>
          <w:rFonts w:ascii="宋体" w:hAnsi="宋体" w:eastAsia="宋体" w:cs="宋体"/>
          <w:color w:val="auto"/>
          <w:spacing w:val="-2"/>
          <w:sz w:val="21"/>
          <w:szCs w:val="21"/>
          <w:highlight w:val="none"/>
        </w:rPr>
        <w:t>地表还原</w:t>
      </w:r>
    </w:p>
    <w:p w14:paraId="01178F13">
      <w:pPr>
        <w:spacing w:before="149" w:line="351" w:lineRule="auto"/>
        <w:ind w:left="52" w:right="174" w:firstLine="38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承包人应按发包人要求恢复临时占地及清理场地，承包人未按发包人的要求恢复临时 </w:t>
      </w:r>
      <w:r>
        <w:rPr>
          <w:rFonts w:ascii="宋体" w:hAnsi="宋体" w:eastAsia="宋体" w:cs="宋体"/>
          <w:color w:val="auto"/>
          <w:spacing w:val="-6"/>
          <w:sz w:val="21"/>
          <w:szCs w:val="21"/>
          <w:highlight w:val="none"/>
        </w:rPr>
        <w:t>占地， 或者场地清理未达到合同约定要求的， 发包人有权委托其他人恢复或清理， 所发生</w:t>
      </w:r>
    </w:p>
    <w:p w14:paraId="524C1846">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的费用由承包人承担。</w:t>
      </w:r>
    </w:p>
    <w:p w14:paraId="0D726F19">
      <w:pPr>
        <w:spacing w:before="177" w:line="526" w:lineRule="exact"/>
        <w:ind w:left="39"/>
        <w:rPr>
          <w:rFonts w:ascii="黑体" w:hAnsi="黑体" w:eastAsia="黑体" w:cs="黑体"/>
          <w:color w:val="auto"/>
          <w:sz w:val="32"/>
          <w:szCs w:val="32"/>
          <w:highlight w:val="none"/>
        </w:rPr>
      </w:pPr>
      <w:r>
        <w:rPr>
          <w:rFonts w:ascii="黑体" w:hAnsi="黑体" w:eastAsia="黑体" w:cs="黑体"/>
          <w:color w:val="auto"/>
          <w:spacing w:val="-4"/>
          <w:position w:val="15"/>
          <w:sz w:val="32"/>
          <w:szCs w:val="32"/>
          <w:highlight w:val="none"/>
        </w:rPr>
        <w:t>14.竣工结算</w:t>
      </w:r>
    </w:p>
    <w:p w14:paraId="07F7F57E">
      <w:pPr>
        <w:spacing w:before="1"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14.1 竣工结算申请</w:t>
      </w:r>
    </w:p>
    <w:p w14:paraId="567F9792">
      <w:pPr>
        <w:spacing w:before="129" w:line="353" w:lineRule="auto"/>
        <w:ind w:left="20" w:right="169" w:firstLine="433"/>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承包人应在工程竣工验收合格后</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4"/>
          <w:sz w:val="21"/>
          <w:szCs w:val="21"/>
          <w:highlight w:val="none"/>
        </w:rPr>
        <w:t>天内向发包人和监理</w:t>
      </w:r>
      <w:r>
        <w:rPr>
          <w:rFonts w:ascii="宋体" w:hAnsi="宋体" w:eastAsia="宋体" w:cs="宋体"/>
          <w:color w:val="auto"/>
          <w:sz w:val="21"/>
          <w:szCs w:val="21"/>
          <w:highlight w:val="none"/>
        </w:rPr>
        <w:t xml:space="preserve"> 人提交竣工结算申请单，并提交完整的结算资料， 有关竣工结算申请单的资料清单和份数</w:t>
      </w:r>
    </w:p>
    <w:p w14:paraId="399E5BD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等要求由合同当事人在专用合同条款中约定。</w:t>
      </w:r>
    </w:p>
    <w:p w14:paraId="19D5F2C0">
      <w:pPr>
        <w:spacing w:before="148" w:line="398" w:lineRule="exact"/>
        <w:ind w:left="453"/>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除专用合同条款另有约定外， 竣工结算申请单应包括以下内容：</w:t>
      </w:r>
    </w:p>
    <w:p w14:paraId="5455890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）竣工结算合同价格；</w:t>
      </w:r>
    </w:p>
    <w:p w14:paraId="091433EA">
      <w:pPr>
        <w:spacing w:before="154"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）发包人已支付承包人的款项；</w:t>
      </w:r>
    </w:p>
    <w:p w14:paraId="3DA47751">
      <w:pPr>
        <w:spacing w:line="221" w:lineRule="auto"/>
        <w:rPr>
          <w:rFonts w:ascii="宋体" w:hAnsi="宋体" w:eastAsia="宋体" w:cs="宋体"/>
          <w:color w:val="auto"/>
          <w:sz w:val="21"/>
          <w:szCs w:val="21"/>
          <w:highlight w:val="none"/>
        </w:rPr>
        <w:sectPr>
          <w:footerReference r:id="rId82" w:type="default"/>
          <w:pgSz w:w="11905" w:h="16839"/>
          <w:pgMar w:top="1431" w:right="1617" w:bottom="1004" w:left="1785" w:header="0" w:footer="829" w:gutter="0"/>
          <w:pgNumType w:fmt="decimal"/>
          <w:cols w:space="720" w:num="1"/>
        </w:sectPr>
      </w:pPr>
    </w:p>
    <w:p w14:paraId="2698C5AF">
      <w:pPr>
        <w:spacing w:before="149" w:line="220"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）应扣留的质量保证金。已缴纳履约保证金的或提供其他工程质量担</w:t>
      </w:r>
      <w:r>
        <w:rPr>
          <w:rFonts w:ascii="宋体" w:hAnsi="宋体" w:eastAsia="宋体" w:cs="宋体"/>
          <w:color w:val="auto"/>
          <w:spacing w:val="-2"/>
          <w:sz w:val="21"/>
          <w:szCs w:val="21"/>
          <w:highlight w:val="none"/>
        </w:rPr>
        <w:t>保方式的除外；</w:t>
      </w:r>
    </w:p>
    <w:p w14:paraId="6D2181B3">
      <w:pPr>
        <w:spacing w:before="148"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）发包人应支付承包人的合同价款。</w:t>
      </w:r>
    </w:p>
    <w:p w14:paraId="48C55B60">
      <w:pPr>
        <w:spacing w:before="52"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14.2 竣工结算审核</w:t>
      </w:r>
    </w:p>
    <w:p w14:paraId="6BB1EB94">
      <w:pPr>
        <w:spacing w:before="132" w:line="351" w:lineRule="auto"/>
        <w:ind w:left="17" w:right="158" w:firstLine="43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）除专用合同条款另有约定外，监理人应在收到竣</w:t>
      </w:r>
      <w:r>
        <w:rPr>
          <w:rFonts w:ascii="宋体" w:hAnsi="宋体" w:eastAsia="宋体" w:cs="宋体"/>
          <w:color w:val="auto"/>
          <w:spacing w:val="-1"/>
          <w:sz w:val="21"/>
          <w:szCs w:val="21"/>
          <w:highlight w:val="none"/>
        </w:rPr>
        <w:t>工结算申请单后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1"/>
          <w:sz w:val="21"/>
          <w:szCs w:val="21"/>
          <w:highlight w:val="none"/>
        </w:rPr>
        <w:t>天内完成核</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查并报送发包人。发包人应在收到监理人提交的经审核的竣工结算申请单后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天内完成审</w:t>
      </w:r>
      <w:r>
        <w:rPr>
          <w:rFonts w:ascii="宋体" w:hAnsi="宋体" w:eastAsia="宋体" w:cs="宋体"/>
          <w:color w:val="auto"/>
          <w:spacing w:val="3"/>
          <w:sz w:val="21"/>
          <w:szCs w:val="21"/>
          <w:highlight w:val="none"/>
        </w:rPr>
        <w:t xml:space="preserve"> 批，并由监理人向承包人签发经发包人签认的竣工付款证书。监理人或发包人对</w:t>
      </w:r>
      <w:r>
        <w:rPr>
          <w:rFonts w:ascii="宋体" w:hAnsi="宋体" w:eastAsia="宋体" w:cs="宋体"/>
          <w:color w:val="auto"/>
          <w:spacing w:val="2"/>
          <w:sz w:val="21"/>
          <w:szCs w:val="21"/>
          <w:highlight w:val="none"/>
        </w:rPr>
        <w:t>竣工结算</w:t>
      </w:r>
      <w:r>
        <w:rPr>
          <w:rFonts w:ascii="宋体" w:hAnsi="宋体" w:eastAsia="宋体" w:cs="宋体"/>
          <w:color w:val="auto"/>
          <w:sz w:val="21"/>
          <w:szCs w:val="21"/>
          <w:highlight w:val="none"/>
        </w:rPr>
        <w:t xml:space="preserve"> 申请单有异议的， 有权要求承包人进行修正和提供补充资料，承包人应提交修正后的竣工</w:t>
      </w:r>
    </w:p>
    <w:p w14:paraId="4065A000">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结算申请单。</w:t>
      </w:r>
    </w:p>
    <w:p w14:paraId="146E77AB">
      <w:pPr>
        <w:spacing w:before="148" w:line="352" w:lineRule="auto"/>
        <w:ind w:left="21" w:right="158"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发包人在收到承包人提交竣工结算申请书后</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天内未完成审批</w:t>
      </w:r>
      <w:r>
        <w:rPr>
          <w:rFonts w:ascii="宋体" w:hAnsi="宋体" w:eastAsia="宋体" w:cs="宋体"/>
          <w:color w:val="auto"/>
          <w:spacing w:val="-4"/>
          <w:sz w:val="21"/>
          <w:szCs w:val="21"/>
          <w:highlight w:val="none"/>
        </w:rPr>
        <w:t>且未提出异议的， 视为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发包人认可承包人提交的竣工结算申请单，并自发包人收到承包人提</w:t>
      </w:r>
      <w:r>
        <w:rPr>
          <w:rFonts w:ascii="宋体" w:hAnsi="宋体" w:eastAsia="宋体" w:cs="宋体"/>
          <w:color w:val="auto"/>
          <w:spacing w:val="2"/>
          <w:sz w:val="21"/>
          <w:szCs w:val="21"/>
          <w:highlight w:val="none"/>
        </w:rPr>
        <w:t>交的竣工结算申请单</w:t>
      </w:r>
    </w:p>
    <w:p w14:paraId="08AA2C5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后第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29 </w:t>
      </w:r>
      <w:r>
        <w:rPr>
          <w:rFonts w:ascii="宋体" w:hAnsi="宋体" w:eastAsia="宋体" w:cs="宋体"/>
          <w:color w:val="auto"/>
          <w:spacing w:val="-2"/>
          <w:sz w:val="21"/>
          <w:szCs w:val="21"/>
          <w:highlight w:val="none"/>
        </w:rPr>
        <w:t>天起视为已签发竣工付款证书。</w:t>
      </w:r>
    </w:p>
    <w:p w14:paraId="0AF31B47">
      <w:pPr>
        <w:spacing w:before="148" w:line="352" w:lineRule="auto"/>
        <w:ind w:left="17" w:right="160" w:firstLine="430"/>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）除专用合同条款另有约定外，发包人应在签发竣工付款证书后的</w:t>
      </w:r>
      <w:r>
        <w:rPr>
          <w:rFonts w:ascii="宋体" w:hAnsi="宋体" w:eastAsia="宋体" w:cs="宋体"/>
          <w:color w:val="auto"/>
          <w:spacing w:val="5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37"/>
          <w:w w:val="101"/>
          <w:sz w:val="21"/>
          <w:szCs w:val="21"/>
          <w:highlight w:val="none"/>
        </w:rPr>
        <w:t xml:space="preserve"> </w:t>
      </w:r>
      <w:r>
        <w:rPr>
          <w:rFonts w:ascii="宋体" w:hAnsi="宋体" w:eastAsia="宋体" w:cs="宋体"/>
          <w:color w:val="auto"/>
          <w:spacing w:val="-1"/>
          <w:sz w:val="21"/>
          <w:szCs w:val="21"/>
          <w:highlight w:val="none"/>
        </w:rPr>
        <w:t>天内，完成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对承包人的竣工付款。发包人逾期支付的，按照中国人民银行发布的同期同类</w:t>
      </w:r>
      <w:r>
        <w:rPr>
          <w:rFonts w:ascii="宋体" w:hAnsi="宋体" w:eastAsia="宋体" w:cs="宋体"/>
          <w:color w:val="auto"/>
          <w:spacing w:val="2"/>
          <w:sz w:val="21"/>
          <w:szCs w:val="21"/>
          <w:highlight w:val="none"/>
        </w:rPr>
        <w:t>贷款基准利</w:t>
      </w:r>
      <w:r>
        <w:rPr>
          <w:rFonts w:ascii="宋体" w:hAnsi="宋体" w:eastAsia="宋体" w:cs="宋体"/>
          <w:color w:val="auto"/>
          <w:sz w:val="21"/>
          <w:szCs w:val="21"/>
          <w:highlight w:val="none"/>
        </w:rPr>
        <w:t xml:space="preserve"> 率支付违约金；逾期支付超过</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z w:val="21"/>
          <w:szCs w:val="21"/>
          <w:highlight w:val="none"/>
        </w:rPr>
        <w:t xml:space="preserve">56 </w:t>
      </w:r>
      <w:r>
        <w:rPr>
          <w:rFonts w:ascii="宋体" w:hAnsi="宋体" w:eastAsia="宋体" w:cs="宋体"/>
          <w:color w:val="auto"/>
          <w:sz w:val="21"/>
          <w:szCs w:val="21"/>
          <w:highlight w:val="none"/>
        </w:rPr>
        <w:t>天的，按照中国人民银行发布的</w:t>
      </w:r>
      <w:r>
        <w:rPr>
          <w:rFonts w:ascii="宋体" w:hAnsi="宋体" w:eastAsia="宋体" w:cs="宋体"/>
          <w:color w:val="auto"/>
          <w:spacing w:val="-1"/>
          <w:sz w:val="21"/>
          <w:szCs w:val="21"/>
          <w:highlight w:val="none"/>
        </w:rPr>
        <w:t>同期同类贷款基准利率的</w:t>
      </w:r>
    </w:p>
    <w:p w14:paraId="4191FA32">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两倍支付违约金。</w:t>
      </w:r>
    </w:p>
    <w:p w14:paraId="3F2618C4">
      <w:pPr>
        <w:spacing w:before="152" w:line="352" w:lineRule="auto"/>
        <w:ind w:left="17" w:right="159" w:firstLine="43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）承包人对发包人签认的竣工付款证书有异议的，对于有异议部分应在收到发包人</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 xml:space="preserve">签认的竣工付款证书后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天内提出异议，并由合同当事人按照专用合同条款约定的方式和</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程序进行复核，或按照第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宋体" w:hAnsi="宋体" w:eastAsia="宋体" w:cs="宋体"/>
          <w:color w:val="auto"/>
          <w:sz w:val="21"/>
          <w:szCs w:val="21"/>
          <w:highlight w:val="none"/>
        </w:rPr>
        <w:t>条〔争议解决〕约定处理。对于无异议部分，发包人应</w:t>
      </w:r>
      <w:r>
        <w:rPr>
          <w:rFonts w:ascii="宋体" w:hAnsi="宋体" w:eastAsia="宋体" w:cs="宋体"/>
          <w:color w:val="auto"/>
          <w:spacing w:val="-1"/>
          <w:sz w:val="21"/>
          <w:szCs w:val="21"/>
          <w:highlight w:val="none"/>
        </w:rPr>
        <w:t>签发临</w:t>
      </w:r>
    </w:p>
    <w:p w14:paraId="0CEFF0B9">
      <w:pPr>
        <w:spacing w:before="1" w:line="219" w:lineRule="auto"/>
        <w:ind w:left="28"/>
        <w:rPr>
          <w:rFonts w:ascii="宋体" w:hAnsi="宋体" w:eastAsia="宋体" w:cs="宋体"/>
          <w:color w:val="auto"/>
          <w:sz w:val="21"/>
          <w:szCs w:val="21"/>
          <w:highlight w:val="none"/>
        </w:rPr>
      </w:pPr>
      <w:r>
        <w:rPr>
          <w:rFonts w:ascii="宋体" w:hAnsi="宋体" w:eastAsia="宋体" w:cs="宋体"/>
          <w:color w:val="auto"/>
          <w:sz w:val="21"/>
          <w:szCs w:val="21"/>
          <w:highlight w:val="none"/>
        </w:rPr>
        <w:t>时竣工付款证书，并按本款第（</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）项完成付款。承包人逾期未提出异议的，视为认可发包</w:t>
      </w:r>
    </w:p>
    <w:p w14:paraId="43755E0E">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人的审批结果。</w:t>
      </w:r>
    </w:p>
    <w:p w14:paraId="3B195A47">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14.3 甩项竣工协议</w:t>
      </w:r>
    </w:p>
    <w:p w14:paraId="50A58F92">
      <w:pPr>
        <w:spacing w:before="130"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发包人要求甩项竣工的，合同当事人应签订甩项竣工协议。</w:t>
      </w:r>
      <w:r>
        <w:rPr>
          <w:rFonts w:ascii="宋体" w:hAnsi="宋体" w:eastAsia="宋体" w:cs="宋体"/>
          <w:color w:val="auto"/>
          <w:spacing w:val="1"/>
          <w:position w:val="14"/>
          <w:sz w:val="21"/>
          <w:szCs w:val="21"/>
          <w:highlight w:val="none"/>
        </w:rPr>
        <w:t>在甩项竣工协议中应明确，</w:t>
      </w:r>
    </w:p>
    <w:p w14:paraId="62CE60AE">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合同当事人按照第 </w:t>
      </w:r>
      <w:r>
        <w:rPr>
          <w:rFonts w:ascii="Times New Roman" w:hAnsi="Times New Roman" w:eastAsia="Times New Roman" w:cs="Times New Roman"/>
          <w:color w:val="auto"/>
          <w:spacing w:val="-4"/>
          <w:sz w:val="21"/>
          <w:szCs w:val="21"/>
          <w:highlight w:val="none"/>
        </w:rPr>
        <w:t xml:space="preserve">14.1 </w:t>
      </w:r>
      <w:r>
        <w:rPr>
          <w:rFonts w:ascii="宋体" w:hAnsi="宋体" w:eastAsia="宋体" w:cs="宋体"/>
          <w:color w:val="auto"/>
          <w:spacing w:val="-4"/>
          <w:sz w:val="21"/>
          <w:szCs w:val="21"/>
          <w:highlight w:val="none"/>
        </w:rPr>
        <w:t xml:space="preserve">款〔竣工结算申请〕及 </w:t>
      </w:r>
      <w:r>
        <w:rPr>
          <w:rFonts w:ascii="Times New Roman" w:hAnsi="Times New Roman" w:eastAsia="Times New Roman" w:cs="Times New Roman"/>
          <w:color w:val="auto"/>
          <w:spacing w:val="-4"/>
          <w:sz w:val="21"/>
          <w:szCs w:val="21"/>
          <w:highlight w:val="none"/>
        </w:rPr>
        <w:t xml:space="preserve">14.2 </w:t>
      </w:r>
      <w:r>
        <w:rPr>
          <w:rFonts w:ascii="宋体" w:hAnsi="宋体" w:eastAsia="宋体" w:cs="宋体"/>
          <w:color w:val="auto"/>
          <w:spacing w:val="-4"/>
          <w:sz w:val="21"/>
          <w:szCs w:val="21"/>
          <w:highlight w:val="none"/>
        </w:rPr>
        <w:t>款〔竣工结算审核〕的约定， 对已</w:t>
      </w:r>
      <w:r>
        <w:rPr>
          <w:rFonts w:ascii="宋体" w:hAnsi="宋体" w:eastAsia="宋体" w:cs="宋体"/>
          <w:color w:val="auto"/>
          <w:spacing w:val="-5"/>
          <w:sz w:val="21"/>
          <w:szCs w:val="21"/>
          <w:highlight w:val="none"/>
        </w:rPr>
        <w:t>完合</w:t>
      </w:r>
    </w:p>
    <w:p w14:paraId="220B242F">
      <w:pPr>
        <w:spacing w:before="153"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格工程进行结算，并支付相应合同价款。</w:t>
      </w:r>
    </w:p>
    <w:p w14:paraId="454B8DC2">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14.4</w:t>
      </w:r>
      <w:r>
        <w:rPr>
          <w:rFonts w:ascii="黑体" w:hAnsi="黑体" w:eastAsia="黑体" w:cs="黑体"/>
          <w:color w:val="auto"/>
          <w:spacing w:val="21"/>
          <w:sz w:val="24"/>
          <w:szCs w:val="24"/>
          <w:highlight w:val="none"/>
        </w:rPr>
        <w:t xml:space="preserve"> </w:t>
      </w:r>
      <w:r>
        <w:rPr>
          <w:rFonts w:ascii="黑体" w:hAnsi="黑体" w:eastAsia="黑体" w:cs="黑体"/>
          <w:color w:val="auto"/>
          <w:spacing w:val="-5"/>
          <w:sz w:val="24"/>
          <w:szCs w:val="24"/>
          <w:highlight w:val="none"/>
        </w:rPr>
        <w:t>最终结清</w:t>
      </w:r>
    </w:p>
    <w:p w14:paraId="371E8152">
      <w:pPr>
        <w:spacing w:before="12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14.4.1 </w:t>
      </w:r>
      <w:r>
        <w:rPr>
          <w:rFonts w:ascii="宋体" w:hAnsi="宋体" w:eastAsia="宋体" w:cs="宋体"/>
          <w:color w:val="auto"/>
          <w:spacing w:val="-2"/>
          <w:sz w:val="21"/>
          <w:szCs w:val="21"/>
          <w:highlight w:val="none"/>
        </w:rPr>
        <w:t>最终结清申请单</w:t>
      </w:r>
    </w:p>
    <w:p w14:paraId="20DD1E8C">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）除专用合同条款另有约定外，承包人应在缺陷</w:t>
      </w:r>
      <w:r>
        <w:rPr>
          <w:rFonts w:ascii="宋体" w:hAnsi="宋体" w:eastAsia="宋体" w:cs="宋体"/>
          <w:color w:val="auto"/>
          <w:spacing w:val="-1"/>
          <w:sz w:val="21"/>
          <w:szCs w:val="21"/>
          <w:highlight w:val="none"/>
        </w:rPr>
        <w:t>责任期终止证书颁发后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天内，按</w:t>
      </w:r>
    </w:p>
    <w:p w14:paraId="570CEFE2">
      <w:pPr>
        <w:spacing w:before="153"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专用合同条款约定的份数向发包人提交最终结清申请单，并提供相关证明材料。</w:t>
      </w:r>
    </w:p>
    <w:p w14:paraId="0B63C5B2">
      <w:pPr>
        <w:spacing w:before="148"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除专用合同条款另有约定外，最终结清申请单应列明质量保证</w:t>
      </w:r>
      <w:r>
        <w:rPr>
          <w:rFonts w:ascii="宋体" w:hAnsi="宋体" w:eastAsia="宋体" w:cs="宋体"/>
          <w:color w:val="auto"/>
          <w:spacing w:val="2"/>
          <w:position w:val="14"/>
          <w:sz w:val="21"/>
          <w:szCs w:val="21"/>
          <w:highlight w:val="none"/>
        </w:rPr>
        <w:t>金、应扣除的质量保证</w:t>
      </w:r>
    </w:p>
    <w:p w14:paraId="7E9379A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金、缺陷责任期内发生的增减费用。</w:t>
      </w:r>
    </w:p>
    <w:p w14:paraId="6A123A5B">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）发包人对最终结清申请单内容有异议的，有权要求承包人进</w:t>
      </w:r>
      <w:r>
        <w:rPr>
          <w:rFonts w:ascii="宋体" w:hAnsi="宋体" w:eastAsia="宋体" w:cs="宋体"/>
          <w:color w:val="auto"/>
          <w:spacing w:val="-1"/>
          <w:position w:val="14"/>
          <w:sz w:val="21"/>
          <w:szCs w:val="21"/>
          <w:highlight w:val="none"/>
        </w:rPr>
        <w:t>行修正和提供补充资</w:t>
      </w:r>
    </w:p>
    <w:p w14:paraId="2DD67A8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料，承包人应向发包人提交修正后的最终结清申请单。</w:t>
      </w:r>
    </w:p>
    <w:p w14:paraId="697B39E6">
      <w:pPr>
        <w:spacing w:before="148"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14.4.2 </w:t>
      </w:r>
      <w:r>
        <w:rPr>
          <w:rFonts w:ascii="宋体" w:hAnsi="宋体" w:eastAsia="宋体" w:cs="宋体"/>
          <w:color w:val="auto"/>
          <w:spacing w:val="-2"/>
          <w:sz w:val="21"/>
          <w:szCs w:val="21"/>
          <w:highlight w:val="none"/>
        </w:rPr>
        <w:t>最终结清证书和支付</w:t>
      </w:r>
    </w:p>
    <w:p w14:paraId="1A18F299">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）除专用合同条款另有约定外，</w:t>
      </w:r>
      <w:r>
        <w:rPr>
          <w:rFonts w:ascii="宋体" w:hAnsi="宋体" w:eastAsia="宋体" w:cs="宋体"/>
          <w:color w:val="auto"/>
          <w:spacing w:val="84"/>
          <w:position w:val="14"/>
          <w:sz w:val="21"/>
          <w:szCs w:val="21"/>
          <w:highlight w:val="none"/>
        </w:rPr>
        <w:t xml:space="preserve"> </w:t>
      </w:r>
      <w:r>
        <w:rPr>
          <w:rFonts w:ascii="宋体" w:hAnsi="宋体" w:eastAsia="宋体" w:cs="宋体"/>
          <w:color w:val="auto"/>
          <w:position w:val="14"/>
          <w:sz w:val="21"/>
          <w:szCs w:val="21"/>
          <w:highlight w:val="none"/>
        </w:rPr>
        <w:t>发包人应在收到承包人提交的最终结清申请单后</w:t>
      </w:r>
    </w:p>
    <w:p w14:paraId="01C2A78D">
      <w:pPr>
        <w:spacing w:before="1" w:line="219" w:lineRule="auto"/>
        <w:ind w:left="3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宋体" w:hAnsi="宋体" w:eastAsia="宋体" w:cs="宋体"/>
          <w:color w:val="auto"/>
          <w:sz w:val="21"/>
          <w:szCs w:val="21"/>
          <w:highlight w:val="none"/>
        </w:rPr>
        <w:t>天内完成审批并向承包人颁发最终结清证书。发包人逾期未</w:t>
      </w:r>
      <w:r>
        <w:rPr>
          <w:rFonts w:ascii="宋体" w:hAnsi="宋体" w:eastAsia="宋体" w:cs="宋体"/>
          <w:color w:val="auto"/>
          <w:spacing w:val="-1"/>
          <w:sz w:val="21"/>
          <w:szCs w:val="21"/>
          <w:highlight w:val="none"/>
        </w:rPr>
        <w:t>完成审批，又未提出修改意</w:t>
      </w:r>
    </w:p>
    <w:p w14:paraId="7A1401B3">
      <w:pPr>
        <w:spacing w:line="219" w:lineRule="auto"/>
        <w:rPr>
          <w:rFonts w:ascii="宋体" w:hAnsi="宋体" w:eastAsia="宋体" w:cs="宋体"/>
          <w:color w:val="auto"/>
          <w:sz w:val="21"/>
          <w:szCs w:val="21"/>
          <w:highlight w:val="none"/>
        </w:rPr>
        <w:sectPr>
          <w:footerReference r:id="rId83" w:type="default"/>
          <w:pgSz w:w="11905" w:h="16839"/>
          <w:pgMar w:top="1431" w:right="1628" w:bottom="1004" w:left="1785" w:header="0" w:footer="828" w:gutter="0"/>
          <w:pgNumType w:fmt="decimal"/>
          <w:cols w:space="720" w:num="1"/>
        </w:sectPr>
      </w:pPr>
    </w:p>
    <w:p w14:paraId="5AB5179B">
      <w:pPr>
        <w:spacing w:before="149" w:line="398" w:lineRule="exact"/>
        <w:ind w:left="2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见的， 视为发包人同意承包人提交的最终结清申请单，</w:t>
      </w:r>
      <w:r>
        <w:rPr>
          <w:rFonts w:ascii="宋体" w:hAnsi="宋体" w:eastAsia="宋体" w:cs="宋体"/>
          <w:color w:val="auto"/>
          <w:spacing w:val="25"/>
          <w:position w:val="14"/>
          <w:sz w:val="21"/>
          <w:szCs w:val="21"/>
          <w:highlight w:val="none"/>
        </w:rPr>
        <w:t xml:space="preserve"> </w:t>
      </w:r>
      <w:r>
        <w:rPr>
          <w:rFonts w:ascii="宋体" w:hAnsi="宋体" w:eastAsia="宋体" w:cs="宋体"/>
          <w:color w:val="auto"/>
          <w:spacing w:val="-3"/>
          <w:position w:val="14"/>
          <w:sz w:val="21"/>
          <w:szCs w:val="21"/>
          <w:highlight w:val="none"/>
        </w:rPr>
        <w:t>且自发包人收到承</w:t>
      </w:r>
      <w:r>
        <w:rPr>
          <w:rFonts w:ascii="宋体" w:hAnsi="宋体" w:eastAsia="宋体" w:cs="宋体"/>
          <w:color w:val="auto"/>
          <w:spacing w:val="-4"/>
          <w:position w:val="14"/>
          <w:sz w:val="21"/>
          <w:szCs w:val="21"/>
          <w:highlight w:val="none"/>
        </w:rPr>
        <w:t>包人提交的最终</w:t>
      </w:r>
    </w:p>
    <w:p w14:paraId="6BB2184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结清申请单后</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15 </w:t>
      </w:r>
      <w:r>
        <w:rPr>
          <w:rFonts w:ascii="宋体" w:hAnsi="宋体" w:eastAsia="宋体" w:cs="宋体"/>
          <w:color w:val="auto"/>
          <w:spacing w:val="-2"/>
          <w:sz w:val="21"/>
          <w:szCs w:val="21"/>
          <w:highlight w:val="none"/>
        </w:rPr>
        <w:t>天起视为已颁发最终结清证书。</w:t>
      </w:r>
    </w:p>
    <w:p w14:paraId="703AF64B">
      <w:pPr>
        <w:spacing w:before="151" w:line="351" w:lineRule="auto"/>
        <w:ind w:left="21" w:right="185"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）除专用合同条款另有约定外，发包人应在颁发最终结清证书后</w:t>
      </w:r>
      <w:r>
        <w:rPr>
          <w:rFonts w:ascii="宋体" w:hAnsi="宋体" w:eastAsia="宋体" w:cs="宋体"/>
          <w:color w:val="auto"/>
          <w:spacing w:val="-13"/>
          <w:sz w:val="21"/>
          <w:szCs w:val="21"/>
          <w:highlight w:val="none"/>
        </w:rPr>
        <w:t xml:space="preserve"> </w:t>
      </w: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2"/>
          <w:sz w:val="21"/>
          <w:szCs w:val="21"/>
          <w:highlight w:val="none"/>
        </w:rPr>
        <w:t>天内完成支付。</w:t>
      </w:r>
      <w:r>
        <w:rPr>
          <w:rFonts w:ascii="宋体" w:hAnsi="宋体" w:eastAsia="宋体" w:cs="宋体"/>
          <w:color w:val="auto"/>
          <w:sz w:val="21"/>
          <w:szCs w:val="21"/>
          <w:highlight w:val="none"/>
        </w:rPr>
        <w:t xml:space="preserve"> 发包人逾期支付的，按照中国人民银行发布的同期同类贷款基准利率支付违约金； 逾期支</w:t>
      </w:r>
    </w:p>
    <w:p w14:paraId="1C14147B">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付超过</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宋体" w:hAnsi="宋体" w:eastAsia="宋体" w:cs="宋体"/>
          <w:color w:val="auto"/>
          <w:spacing w:val="-1"/>
          <w:sz w:val="21"/>
          <w:szCs w:val="21"/>
          <w:highlight w:val="none"/>
        </w:rPr>
        <w:t>天的，按照中国人民银行发布的同期同类贷款基准利率的两倍支付</w:t>
      </w:r>
      <w:r>
        <w:rPr>
          <w:rFonts w:ascii="宋体" w:hAnsi="宋体" w:eastAsia="宋体" w:cs="宋体"/>
          <w:color w:val="auto"/>
          <w:spacing w:val="-2"/>
          <w:sz w:val="21"/>
          <w:szCs w:val="21"/>
          <w:highlight w:val="none"/>
        </w:rPr>
        <w:t>违约金。</w:t>
      </w:r>
    </w:p>
    <w:p w14:paraId="7C3468F2">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 xml:space="preserve">）承包人对发包人颁发的最终结清证书有异议的，按第 </w:t>
      </w:r>
      <w:r>
        <w:rPr>
          <w:rFonts w:ascii="Times New Roman" w:hAnsi="Times New Roman" w:eastAsia="Times New Roman" w:cs="Times New Roman"/>
          <w:color w:val="auto"/>
          <w:position w:val="14"/>
          <w:sz w:val="21"/>
          <w:szCs w:val="21"/>
          <w:highlight w:val="none"/>
        </w:rPr>
        <w:t xml:space="preserve">20  </w:t>
      </w:r>
      <w:r>
        <w:rPr>
          <w:rFonts w:ascii="宋体" w:hAnsi="宋体" w:eastAsia="宋体" w:cs="宋体"/>
          <w:color w:val="auto"/>
          <w:position w:val="14"/>
          <w:sz w:val="21"/>
          <w:szCs w:val="21"/>
          <w:highlight w:val="none"/>
        </w:rPr>
        <w:t>条〔争议解决〕的约定</w:t>
      </w:r>
    </w:p>
    <w:p w14:paraId="20995F93">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办理。</w:t>
      </w:r>
    </w:p>
    <w:p w14:paraId="6856A114">
      <w:pPr>
        <w:spacing w:before="173" w:line="531" w:lineRule="exact"/>
        <w:ind w:left="39"/>
        <w:rPr>
          <w:rFonts w:ascii="黑体" w:hAnsi="黑体" w:eastAsia="黑体" w:cs="黑体"/>
          <w:color w:val="auto"/>
          <w:sz w:val="32"/>
          <w:szCs w:val="32"/>
          <w:highlight w:val="none"/>
        </w:rPr>
      </w:pPr>
      <w:r>
        <w:rPr>
          <w:rFonts w:ascii="黑体" w:hAnsi="黑体" w:eastAsia="黑体" w:cs="黑体"/>
          <w:color w:val="auto"/>
          <w:spacing w:val="-3"/>
          <w:position w:val="15"/>
          <w:sz w:val="32"/>
          <w:szCs w:val="32"/>
          <w:highlight w:val="none"/>
        </w:rPr>
        <w:t>15.缺陷责任与保修</w:t>
      </w:r>
    </w:p>
    <w:p w14:paraId="6BE2D8B4">
      <w:pPr>
        <w:spacing w:before="1"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15.1 工程保修的原则</w:t>
      </w:r>
    </w:p>
    <w:p w14:paraId="16153DF1">
      <w:pPr>
        <w:spacing w:before="129" w:line="274" w:lineRule="auto"/>
        <w:ind w:left="19" w:right="5" w:firstLine="421"/>
        <w:rPr>
          <w:rFonts w:ascii="黑体" w:hAnsi="黑体" w:eastAsia="黑体" w:cs="黑体"/>
          <w:color w:val="auto"/>
          <w:sz w:val="24"/>
          <w:szCs w:val="24"/>
          <w:highlight w:val="none"/>
        </w:rPr>
      </w:pPr>
      <w:r>
        <w:rPr>
          <w:rFonts w:ascii="宋体" w:hAnsi="宋体" w:eastAsia="宋体" w:cs="宋体"/>
          <w:color w:val="auto"/>
          <w:spacing w:val="-3"/>
          <w:sz w:val="21"/>
          <w:szCs w:val="21"/>
          <w:highlight w:val="none"/>
        </w:rPr>
        <w:t>在工程移交发包人后，</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因承包人原因产生的质</w:t>
      </w:r>
      <w:r>
        <w:rPr>
          <w:rFonts w:ascii="宋体" w:hAnsi="宋体" w:eastAsia="宋体" w:cs="宋体"/>
          <w:color w:val="auto"/>
          <w:spacing w:val="-4"/>
          <w:sz w:val="21"/>
          <w:szCs w:val="21"/>
          <w:highlight w:val="none"/>
        </w:rPr>
        <w:t xml:space="preserve">量缺陷， 承包人应承担质量缺陷责任和  </w:t>
      </w:r>
      <w:r>
        <w:rPr>
          <w:rFonts w:ascii="宋体" w:hAnsi="宋体" w:eastAsia="宋体" w:cs="宋体"/>
          <w:color w:val="auto"/>
          <w:spacing w:val="-1"/>
          <w:sz w:val="21"/>
          <w:szCs w:val="21"/>
          <w:highlight w:val="none"/>
        </w:rPr>
        <w:t>保修义务。缺陷责任期届满， 承包人仍应按合同约定的工程各部位保修年限承担保修义务。</w:t>
      </w:r>
      <w:r>
        <w:rPr>
          <w:rFonts w:ascii="宋体" w:hAnsi="宋体" w:eastAsia="宋体" w:cs="宋体"/>
          <w:color w:val="auto"/>
          <w:spacing w:val="17"/>
          <w:sz w:val="21"/>
          <w:szCs w:val="21"/>
          <w:highlight w:val="none"/>
        </w:rPr>
        <w:t xml:space="preserve"> </w:t>
      </w:r>
      <w:r>
        <w:rPr>
          <w:rFonts w:ascii="黑体" w:hAnsi="黑体" w:eastAsia="黑体" w:cs="黑体"/>
          <w:color w:val="auto"/>
          <w:spacing w:val="-1"/>
          <w:sz w:val="24"/>
          <w:szCs w:val="24"/>
          <w:highlight w:val="none"/>
        </w:rPr>
        <w:t>15.2 缺陷责任期</w:t>
      </w:r>
    </w:p>
    <w:p w14:paraId="2715C60A">
      <w:pPr>
        <w:spacing w:before="130"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15.2.1</w:t>
      </w:r>
      <w:r>
        <w:rPr>
          <w:rFonts w:ascii="Times New Roman" w:hAnsi="Times New Roman" w:eastAsia="Times New Roman" w:cs="Times New Roman"/>
          <w:color w:val="auto"/>
          <w:spacing w:val="37"/>
          <w:w w:val="101"/>
          <w:position w:val="14"/>
          <w:sz w:val="21"/>
          <w:szCs w:val="21"/>
          <w:highlight w:val="none"/>
        </w:rPr>
        <w:t xml:space="preserve"> </w:t>
      </w:r>
      <w:r>
        <w:rPr>
          <w:rFonts w:ascii="宋体" w:hAnsi="宋体" w:eastAsia="宋体" w:cs="宋体"/>
          <w:color w:val="auto"/>
          <w:spacing w:val="3"/>
          <w:position w:val="14"/>
          <w:sz w:val="21"/>
          <w:szCs w:val="21"/>
          <w:highlight w:val="none"/>
        </w:rPr>
        <w:t>缺陷责任期从工程通过竣工验收之日起计算，合同当事</w:t>
      </w:r>
      <w:r>
        <w:rPr>
          <w:rFonts w:ascii="宋体" w:hAnsi="宋体" w:eastAsia="宋体" w:cs="宋体"/>
          <w:color w:val="auto"/>
          <w:spacing w:val="2"/>
          <w:position w:val="14"/>
          <w:sz w:val="21"/>
          <w:szCs w:val="21"/>
          <w:highlight w:val="none"/>
        </w:rPr>
        <w:t>人应在专用合同条款约</w:t>
      </w:r>
    </w:p>
    <w:p w14:paraId="3FD17DFC">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定缺陷责任期的具体期限，但该期限最长不超过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24 </w:t>
      </w:r>
      <w:r>
        <w:rPr>
          <w:rFonts w:ascii="宋体" w:hAnsi="宋体" w:eastAsia="宋体" w:cs="宋体"/>
          <w:color w:val="auto"/>
          <w:spacing w:val="-2"/>
          <w:sz w:val="21"/>
          <w:szCs w:val="21"/>
          <w:highlight w:val="none"/>
        </w:rPr>
        <w:t>个月。</w:t>
      </w:r>
    </w:p>
    <w:p w14:paraId="6C075E95">
      <w:pPr>
        <w:spacing w:before="154" w:line="351" w:lineRule="auto"/>
        <w:ind w:left="20" w:right="180"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单位工程先于全部工程进行验收，经验收合格并交付使用的，该单位工程缺陷责任期</w:t>
      </w:r>
      <w:r>
        <w:rPr>
          <w:rFonts w:ascii="宋体" w:hAnsi="宋体" w:eastAsia="宋体" w:cs="宋体"/>
          <w:color w:val="auto"/>
          <w:spacing w:val="1"/>
          <w:sz w:val="21"/>
          <w:szCs w:val="21"/>
          <w:highlight w:val="none"/>
        </w:rPr>
        <w:t xml:space="preserve"> </w:t>
      </w:r>
      <w:r>
        <w:rPr>
          <w:rFonts w:ascii="宋体" w:hAnsi="宋体" w:eastAsia="宋体" w:cs="宋体"/>
          <w:color w:val="auto"/>
          <w:spacing w:val="3"/>
          <w:sz w:val="21"/>
          <w:szCs w:val="21"/>
          <w:highlight w:val="none"/>
        </w:rPr>
        <w:t>自单位工程验收合格之日起算。因承包人原因导致工程无法按合同约定期限</w:t>
      </w:r>
      <w:r>
        <w:rPr>
          <w:rFonts w:ascii="宋体" w:hAnsi="宋体" w:eastAsia="宋体" w:cs="宋体"/>
          <w:color w:val="auto"/>
          <w:spacing w:val="2"/>
          <w:sz w:val="21"/>
          <w:szCs w:val="21"/>
          <w:highlight w:val="none"/>
        </w:rPr>
        <w:t>进行竣工验收</w:t>
      </w:r>
      <w:r>
        <w:rPr>
          <w:rFonts w:ascii="宋体" w:hAnsi="宋体" w:eastAsia="宋体" w:cs="宋体"/>
          <w:color w:val="auto"/>
          <w:sz w:val="21"/>
          <w:szCs w:val="21"/>
          <w:highlight w:val="none"/>
        </w:rPr>
        <w:t xml:space="preserve"> 的，缺陷责任期从实际通过竣工验收之日起计算。 因发包人原因导致工程无法按合同约定</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期限进行竣工验收的，在承包人提交竣工验收报告</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90 </w:t>
      </w:r>
      <w:r>
        <w:rPr>
          <w:rFonts w:ascii="宋体" w:hAnsi="宋体" w:eastAsia="宋体" w:cs="宋体"/>
          <w:color w:val="auto"/>
          <w:spacing w:val="-1"/>
          <w:sz w:val="21"/>
          <w:szCs w:val="21"/>
          <w:highlight w:val="none"/>
        </w:rPr>
        <w:t>天后，工程自动进入缺陷责任期；发</w:t>
      </w:r>
    </w:p>
    <w:p w14:paraId="28EBAAB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包人未经竣工验收擅自使用工程的，缺陷责任期自工程转移占有之日起开始计算。</w:t>
      </w:r>
    </w:p>
    <w:p w14:paraId="6D44029C">
      <w:pPr>
        <w:spacing w:before="150" w:line="352" w:lineRule="auto"/>
        <w:ind w:left="18" w:right="181" w:firstLine="43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15.2.2</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z w:val="21"/>
          <w:szCs w:val="21"/>
          <w:highlight w:val="none"/>
        </w:rPr>
        <w:t xml:space="preserve">缺陷责任期内，由承包人原因造成的缺陷， 承包人应负责维修，并承担鉴定及 </w:t>
      </w:r>
      <w:r>
        <w:rPr>
          <w:rFonts w:ascii="宋体" w:hAnsi="宋体" w:eastAsia="宋体" w:cs="宋体"/>
          <w:color w:val="auto"/>
          <w:spacing w:val="3"/>
          <w:sz w:val="21"/>
          <w:szCs w:val="21"/>
          <w:highlight w:val="none"/>
        </w:rPr>
        <w:t>维修费用。如承包人不维修也不承担费用，发包人可按合同约定从保证金或</w:t>
      </w:r>
      <w:r>
        <w:rPr>
          <w:rFonts w:ascii="宋体" w:hAnsi="宋体" w:eastAsia="宋体" w:cs="宋体"/>
          <w:color w:val="auto"/>
          <w:spacing w:val="2"/>
          <w:sz w:val="21"/>
          <w:szCs w:val="21"/>
          <w:highlight w:val="none"/>
        </w:rPr>
        <w:t>银行保函中扣</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除，费用超出保证金额的，发包人可按合同约定向承包人进行索赔。承包人</w:t>
      </w:r>
      <w:r>
        <w:rPr>
          <w:rFonts w:ascii="宋体" w:hAnsi="宋体" w:eastAsia="宋体" w:cs="宋体"/>
          <w:color w:val="auto"/>
          <w:spacing w:val="2"/>
          <w:sz w:val="21"/>
          <w:szCs w:val="21"/>
          <w:highlight w:val="none"/>
        </w:rPr>
        <w:t>维修并承担相</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应费用后，不免除对工程的损失赔偿责任。发包人有权要求承包人延长缺陷责任期，</w:t>
      </w:r>
      <w:r>
        <w:rPr>
          <w:rFonts w:ascii="宋体" w:hAnsi="宋体" w:eastAsia="宋体" w:cs="宋体"/>
          <w:color w:val="auto"/>
          <w:spacing w:val="2"/>
          <w:sz w:val="21"/>
          <w:szCs w:val="21"/>
          <w:highlight w:val="none"/>
        </w:rPr>
        <w:t>并应</w:t>
      </w:r>
    </w:p>
    <w:p w14:paraId="5066FC97">
      <w:pPr>
        <w:spacing w:line="220"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在原缺陷责任期届满前发出延长通知。但缺陷责任期（含延长部分）</w:t>
      </w:r>
      <w:r>
        <w:rPr>
          <w:rFonts w:ascii="宋体" w:hAnsi="宋体" w:eastAsia="宋体" w:cs="宋体"/>
          <w:color w:val="auto"/>
          <w:spacing w:val="-16"/>
          <w:sz w:val="21"/>
          <w:szCs w:val="21"/>
          <w:highlight w:val="none"/>
        </w:rPr>
        <w:t xml:space="preserve"> </w:t>
      </w:r>
      <w:r>
        <w:rPr>
          <w:rFonts w:ascii="宋体" w:hAnsi="宋体" w:eastAsia="宋体" w:cs="宋体"/>
          <w:color w:val="auto"/>
          <w:spacing w:val="-3"/>
          <w:sz w:val="21"/>
          <w:szCs w:val="21"/>
          <w:highlight w:val="none"/>
        </w:rPr>
        <w:t>最长不能超过</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宋体" w:hAnsi="宋体" w:eastAsia="宋体" w:cs="宋体"/>
          <w:color w:val="auto"/>
          <w:spacing w:val="-3"/>
          <w:sz w:val="21"/>
          <w:szCs w:val="21"/>
          <w:highlight w:val="none"/>
        </w:rPr>
        <w:t>个月。</w:t>
      </w:r>
    </w:p>
    <w:p w14:paraId="43A947E0">
      <w:pPr>
        <w:spacing w:before="148" w:line="399" w:lineRule="exact"/>
        <w:ind w:left="466"/>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由他人原因造成的缺陷，发包人负责组织维修， 承包人不承担费用， 且发</w:t>
      </w:r>
      <w:r>
        <w:rPr>
          <w:rFonts w:ascii="宋体" w:hAnsi="宋体" w:eastAsia="宋体" w:cs="宋体"/>
          <w:color w:val="auto"/>
          <w:spacing w:val="-4"/>
          <w:position w:val="14"/>
          <w:sz w:val="21"/>
          <w:szCs w:val="21"/>
          <w:highlight w:val="none"/>
        </w:rPr>
        <w:t>包人不得从</w:t>
      </w:r>
    </w:p>
    <w:p w14:paraId="2F4B2A5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保证金中扣除费用。</w:t>
      </w:r>
    </w:p>
    <w:p w14:paraId="3B70E9D0">
      <w:pPr>
        <w:spacing w:before="153" w:line="39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15.2.3</w:t>
      </w:r>
      <w:r>
        <w:rPr>
          <w:rFonts w:ascii="Times New Roman" w:hAnsi="Times New Roman" w:eastAsia="Times New Roman" w:cs="Times New Roman"/>
          <w:color w:val="auto"/>
          <w:spacing w:val="39"/>
          <w:w w:val="101"/>
          <w:position w:val="14"/>
          <w:sz w:val="21"/>
          <w:szCs w:val="21"/>
          <w:highlight w:val="none"/>
        </w:rPr>
        <w:t xml:space="preserve"> </w:t>
      </w:r>
      <w:r>
        <w:rPr>
          <w:rFonts w:ascii="宋体" w:hAnsi="宋体" w:eastAsia="宋体" w:cs="宋体"/>
          <w:color w:val="auto"/>
          <w:spacing w:val="-1"/>
          <w:position w:val="14"/>
          <w:sz w:val="21"/>
          <w:szCs w:val="21"/>
          <w:highlight w:val="none"/>
        </w:rPr>
        <w:t>任何一项缺陷或损坏修复后， 经检查证明其影响了工程或工程设备的使用性能，</w:t>
      </w:r>
    </w:p>
    <w:p w14:paraId="7D6CB82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承包人应重新进行合同约定的试验和试运行，试验和试运行的全部费用应由责任方承担。</w:t>
      </w:r>
    </w:p>
    <w:p w14:paraId="6661E8ED">
      <w:pPr>
        <w:spacing w:before="146" w:line="353" w:lineRule="auto"/>
        <w:ind w:left="18" w:right="180" w:firstLine="43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15.2.4 </w:t>
      </w:r>
      <w:r>
        <w:rPr>
          <w:rFonts w:ascii="宋体" w:hAnsi="宋体" w:eastAsia="宋体" w:cs="宋体"/>
          <w:color w:val="auto"/>
          <w:spacing w:val="-1"/>
          <w:sz w:val="21"/>
          <w:szCs w:val="21"/>
          <w:highlight w:val="none"/>
        </w:rPr>
        <w:t>除专用合同条款另有约定外，</w:t>
      </w:r>
      <w:r>
        <w:rPr>
          <w:rFonts w:ascii="宋体" w:hAnsi="宋体" w:eastAsia="宋体" w:cs="宋体"/>
          <w:color w:val="auto"/>
          <w:spacing w:val="-2"/>
          <w:sz w:val="21"/>
          <w:szCs w:val="21"/>
          <w:highlight w:val="none"/>
        </w:rPr>
        <w:t>承包人应于缺陷责任期届满后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天内向发包人发出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缺陷责任期届满通知，发包人应在收到缺陷责任期满通知后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天内核实承包人是否履行缺</w:t>
      </w:r>
    </w:p>
    <w:p w14:paraId="5C44060D">
      <w:pPr>
        <w:spacing w:before="1" w:line="220" w:lineRule="auto"/>
        <w:ind w:left="31"/>
        <w:rPr>
          <w:rFonts w:ascii="宋体" w:hAnsi="宋体" w:eastAsia="宋体" w:cs="宋体"/>
          <w:color w:val="auto"/>
          <w:sz w:val="21"/>
          <w:szCs w:val="21"/>
          <w:highlight w:val="none"/>
        </w:rPr>
      </w:pPr>
      <w:r>
        <w:rPr>
          <w:rFonts w:ascii="宋体" w:hAnsi="宋体" w:eastAsia="宋体" w:cs="宋体"/>
          <w:color w:val="auto"/>
          <w:sz w:val="21"/>
          <w:szCs w:val="21"/>
          <w:highlight w:val="none"/>
        </w:rPr>
        <w:t>陷修复义务， 承包人未能履行缺陷修复义务的，发包人有权扣除相应金额的维修</w:t>
      </w:r>
      <w:r>
        <w:rPr>
          <w:rFonts w:ascii="宋体" w:hAnsi="宋体" w:eastAsia="宋体" w:cs="宋体"/>
          <w:color w:val="auto"/>
          <w:spacing w:val="-1"/>
          <w:sz w:val="21"/>
          <w:szCs w:val="21"/>
          <w:highlight w:val="none"/>
        </w:rPr>
        <w:t>费用。发</w:t>
      </w:r>
    </w:p>
    <w:p w14:paraId="2EA4B50B">
      <w:pPr>
        <w:spacing w:before="147"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包人应在收到缺陷责任期届满通知后</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宋体" w:hAnsi="宋体" w:eastAsia="宋体" w:cs="宋体"/>
          <w:color w:val="auto"/>
          <w:spacing w:val="-4"/>
          <w:sz w:val="21"/>
          <w:szCs w:val="21"/>
          <w:highlight w:val="none"/>
        </w:rPr>
        <w:t>天内， 向承包人颁发缺陷责任期终止证书。</w:t>
      </w:r>
    </w:p>
    <w:p w14:paraId="0ACFB919">
      <w:pPr>
        <w:spacing w:before="51" w:line="220"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15.3 质量保证金</w:t>
      </w:r>
    </w:p>
    <w:p w14:paraId="09B18110">
      <w:pPr>
        <w:spacing w:before="128" w:line="221"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经合同当事人协商一致扣留质量保证金的，应在专用合同条</w:t>
      </w:r>
      <w:r>
        <w:rPr>
          <w:rFonts w:ascii="宋体" w:hAnsi="宋体" w:eastAsia="宋体" w:cs="宋体"/>
          <w:color w:val="auto"/>
          <w:spacing w:val="-1"/>
          <w:sz w:val="21"/>
          <w:szCs w:val="21"/>
          <w:highlight w:val="none"/>
        </w:rPr>
        <w:t>款中予以明确。</w:t>
      </w:r>
    </w:p>
    <w:p w14:paraId="17EE8413">
      <w:pPr>
        <w:spacing w:line="221" w:lineRule="auto"/>
        <w:rPr>
          <w:rFonts w:ascii="宋体" w:hAnsi="宋体" w:eastAsia="宋体" w:cs="宋体"/>
          <w:color w:val="auto"/>
          <w:sz w:val="21"/>
          <w:szCs w:val="21"/>
          <w:highlight w:val="none"/>
        </w:rPr>
        <w:sectPr>
          <w:footerReference r:id="rId84" w:type="default"/>
          <w:pgSz w:w="11905" w:h="16839"/>
          <w:pgMar w:top="1431" w:right="1611" w:bottom="1004" w:left="1785" w:header="0" w:footer="829" w:gutter="0"/>
          <w:pgNumType w:fmt="decimal"/>
          <w:cols w:space="720" w:num="1"/>
        </w:sectPr>
      </w:pPr>
    </w:p>
    <w:p w14:paraId="2BC6161D">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在工程项目竣工前，承包人已经提供履约担保的，发包人不得同时预留工程质量保证</w:t>
      </w:r>
    </w:p>
    <w:p w14:paraId="050539DB">
      <w:pPr>
        <w:spacing w:line="227"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金。</w:t>
      </w:r>
    </w:p>
    <w:p w14:paraId="50F97141">
      <w:pPr>
        <w:spacing w:before="144"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15.3.1 </w:t>
      </w:r>
      <w:r>
        <w:rPr>
          <w:rFonts w:ascii="宋体" w:hAnsi="宋体" w:eastAsia="宋体" w:cs="宋体"/>
          <w:color w:val="auto"/>
          <w:spacing w:val="-1"/>
          <w:sz w:val="21"/>
          <w:szCs w:val="21"/>
          <w:highlight w:val="none"/>
        </w:rPr>
        <w:t>承包人提供质量保证金的方式</w:t>
      </w:r>
    </w:p>
    <w:p w14:paraId="7F37CF5B">
      <w:pPr>
        <w:spacing w:before="148" w:line="399" w:lineRule="exact"/>
        <w:ind w:left="44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承包人提供质量保证金有以下三种方式：</w:t>
      </w:r>
    </w:p>
    <w:p w14:paraId="1E65B3A4">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）质量保证金保函；</w:t>
      </w:r>
    </w:p>
    <w:p w14:paraId="0FCA6BCD">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）相应比例的工程款；</w:t>
      </w:r>
    </w:p>
    <w:p w14:paraId="010F8959">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）双方约定的其他方式。</w:t>
      </w:r>
    </w:p>
    <w:p w14:paraId="2D525AA1">
      <w:pPr>
        <w:spacing w:before="146" w:line="220"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质量保证金原则上采</w:t>
      </w:r>
      <w:r>
        <w:rPr>
          <w:rFonts w:ascii="宋体" w:hAnsi="宋体" w:eastAsia="宋体" w:cs="宋体"/>
          <w:color w:val="auto"/>
          <w:spacing w:val="-5"/>
          <w:sz w:val="21"/>
          <w:szCs w:val="21"/>
          <w:highlight w:val="none"/>
        </w:rPr>
        <w:t>用上述第（</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）种方式。</w:t>
      </w:r>
    </w:p>
    <w:p w14:paraId="19415730">
      <w:pPr>
        <w:spacing w:before="154"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15.3.2 </w:t>
      </w:r>
      <w:r>
        <w:rPr>
          <w:rFonts w:ascii="宋体" w:hAnsi="宋体" w:eastAsia="宋体" w:cs="宋体"/>
          <w:color w:val="auto"/>
          <w:spacing w:val="-2"/>
          <w:sz w:val="21"/>
          <w:szCs w:val="21"/>
          <w:highlight w:val="none"/>
        </w:rPr>
        <w:t>质量保证金的扣留</w:t>
      </w:r>
    </w:p>
    <w:p w14:paraId="63FC3A5B">
      <w:pPr>
        <w:spacing w:before="147"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质量保证金的扣留有以下三种方式：</w:t>
      </w:r>
    </w:p>
    <w:p w14:paraId="3D6324E6">
      <w:pPr>
        <w:spacing w:before="147" w:line="403"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）在支付工程进度款时逐次扣留，在此情形下，质量保证金的计算基数不包</w:t>
      </w:r>
      <w:r>
        <w:rPr>
          <w:rFonts w:ascii="宋体" w:hAnsi="宋体" w:eastAsia="宋体" w:cs="宋体"/>
          <w:color w:val="auto"/>
          <w:spacing w:val="-1"/>
          <w:position w:val="14"/>
          <w:sz w:val="21"/>
          <w:szCs w:val="21"/>
          <w:highlight w:val="none"/>
        </w:rPr>
        <w:t>括预付</w:t>
      </w:r>
    </w:p>
    <w:p w14:paraId="153E1CBF">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款的支付、扣回以及价格调整的金额；</w:t>
      </w:r>
    </w:p>
    <w:p w14:paraId="7BBCF1DE">
      <w:pPr>
        <w:spacing w:before="14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）工程竣工结算时一次性扣留质量保证</w:t>
      </w:r>
      <w:r>
        <w:rPr>
          <w:rFonts w:ascii="宋体" w:hAnsi="宋体" w:eastAsia="宋体" w:cs="宋体"/>
          <w:color w:val="auto"/>
          <w:spacing w:val="-3"/>
          <w:sz w:val="21"/>
          <w:szCs w:val="21"/>
          <w:highlight w:val="none"/>
        </w:rPr>
        <w:t>金；</w:t>
      </w:r>
    </w:p>
    <w:p w14:paraId="0697A6A2">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）双方约定的其他扣留方式。</w:t>
      </w:r>
    </w:p>
    <w:p w14:paraId="4D9667D3">
      <w:pPr>
        <w:spacing w:before="151"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 质量保证金的扣留原则上采</w:t>
      </w:r>
      <w:r>
        <w:rPr>
          <w:rFonts w:ascii="宋体" w:hAnsi="宋体" w:eastAsia="宋体" w:cs="宋体"/>
          <w:color w:val="auto"/>
          <w:spacing w:val="-4"/>
          <w:sz w:val="21"/>
          <w:szCs w:val="21"/>
          <w:highlight w:val="none"/>
        </w:rPr>
        <w:t>用上述第（</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）种方式。</w:t>
      </w:r>
    </w:p>
    <w:p w14:paraId="0F65E37F">
      <w:pPr>
        <w:spacing w:before="148" w:line="353" w:lineRule="auto"/>
        <w:ind w:left="18" w:right="3"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发包人累计扣留的质量保证金不得超过工程价款结算总额的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50"/>
          <w:w w:val="101"/>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。如承包人在发包人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签发竣工付款证书后</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天内提交质量保证金保函， 发包人应同时退还扣留的作为质量保证</w:t>
      </w:r>
    </w:p>
    <w:p w14:paraId="785063A0">
      <w:pPr>
        <w:spacing w:line="233"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金的工程价款；保函金额不得超过工程价款结算总额的</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3 %</w:t>
      </w:r>
      <w:r>
        <w:rPr>
          <w:rFonts w:ascii="宋体" w:hAnsi="宋体" w:eastAsia="宋体" w:cs="宋体"/>
          <w:color w:val="auto"/>
          <w:spacing w:val="-1"/>
          <w:sz w:val="21"/>
          <w:szCs w:val="21"/>
          <w:highlight w:val="none"/>
        </w:rPr>
        <w:t>。</w:t>
      </w:r>
    </w:p>
    <w:p w14:paraId="51627AA4">
      <w:pPr>
        <w:spacing w:before="133" w:line="398"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发包人在退还质量保证金的同时按照中国人民银行发布的同期同类贷款基准利率支付</w:t>
      </w:r>
    </w:p>
    <w:p w14:paraId="45B49E46">
      <w:pPr>
        <w:spacing w:before="1" w:line="222"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利息。</w:t>
      </w:r>
    </w:p>
    <w:p w14:paraId="32237D9E">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15.3.3 </w:t>
      </w:r>
      <w:r>
        <w:rPr>
          <w:rFonts w:ascii="宋体" w:hAnsi="宋体" w:eastAsia="宋体" w:cs="宋体"/>
          <w:color w:val="auto"/>
          <w:spacing w:val="-2"/>
          <w:sz w:val="21"/>
          <w:szCs w:val="21"/>
          <w:highlight w:val="none"/>
        </w:rPr>
        <w:t>质量保证金的退还</w:t>
      </w:r>
    </w:p>
    <w:p w14:paraId="70BD82A5">
      <w:pPr>
        <w:spacing w:before="146"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缺陷责任期内， 承包人认真履行合同约定的责</w:t>
      </w:r>
      <w:r>
        <w:rPr>
          <w:rFonts w:ascii="宋体" w:hAnsi="宋体" w:eastAsia="宋体" w:cs="宋体"/>
          <w:color w:val="auto"/>
          <w:spacing w:val="-3"/>
          <w:position w:val="14"/>
          <w:sz w:val="21"/>
          <w:szCs w:val="21"/>
          <w:highlight w:val="none"/>
        </w:rPr>
        <w:t>任，到期后， 承包人可向发包人申请返</w:t>
      </w:r>
    </w:p>
    <w:p w14:paraId="4B2111F3">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还保证金。</w:t>
      </w:r>
    </w:p>
    <w:p w14:paraId="2D5A6FA8">
      <w:pPr>
        <w:spacing w:before="154" w:line="351" w:lineRule="auto"/>
        <w:ind w:left="16" w:right="2"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发包人在接到承包人返还保证金申请后，应于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天内会同承包人按照合同约定</w:t>
      </w:r>
      <w:r>
        <w:rPr>
          <w:rFonts w:ascii="宋体" w:hAnsi="宋体" w:eastAsia="宋体" w:cs="宋体"/>
          <w:color w:val="auto"/>
          <w:spacing w:val="-2"/>
          <w:sz w:val="21"/>
          <w:szCs w:val="21"/>
          <w:highlight w:val="none"/>
        </w:rPr>
        <w:t>的内容</w:t>
      </w:r>
      <w:r>
        <w:rPr>
          <w:rFonts w:ascii="宋体" w:hAnsi="宋体" w:eastAsia="宋体" w:cs="宋体"/>
          <w:color w:val="auto"/>
          <w:sz w:val="21"/>
          <w:szCs w:val="21"/>
          <w:highlight w:val="none"/>
        </w:rPr>
        <w:t xml:space="preserve"> 进行核实。如无异议， 发包人应当按照约定将保证金返还给承包人。对返还期限没有约定</w:t>
      </w:r>
      <w:r>
        <w:rPr>
          <w:rFonts w:ascii="宋体" w:hAnsi="宋体" w:eastAsia="宋体" w:cs="宋体"/>
          <w:color w:val="auto"/>
          <w:spacing w:val="8"/>
          <w:sz w:val="21"/>
          <w:szCs w:val="21"/>
          <w:highlight w:val="none"/>
        </w:rPr>
        <w:t xml:space="preserve"> </w:t>
      </w:r>
      <w:r>
        <w:rPr>
          <w:rFonts w:ascii="宋体" w:hAnsi="宋体" w:eastAsia="宋体" w:cs="宋体"/>
          <w:color w:val="auto"/>
          <w:spacing w:val="-6"/>
          <w:sz w:val="21"/>
          <w:szCs w:val="21"/>
          <w:highlight w:val="none"/>
        </w:rPr>
        <w:t xml:space="preserve">或者约定不明确的， 发包人应当在核实后 </w:t>
      </w:r>
      <w:r>
        <w:rPr>
          <w:rFonts w:ascii="Times New Roman" w:hAnsi="Times New Roman" w:eastAsia="Times New Roman" w:cs="Times New Roman"/>
          <w:color w:val="auto"/>
          <w:spacing w:val="-6"/>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6"/>
          <w:sz w:val="21"/>
          <w:szCs w:val="21"/>
          <w:highlight w:val="none"/>
        </w:rPr>
        <w:t>天内将保证金返还承包人， 逾期未返还的，依</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法承担违约责任。发包人在接到承包人返还保证金申请后</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2"/>
          <w:sz w:val="21"/>
          <w:szCs w:val="21"/>
          <w:highlight w:val="none"/>
        </w:rPr>
        <w:t>天内不予答复，经催告后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2"/>
          <w:sz w:val="21"/>
          <w:szCs w:val="21"/>
          <w:highlight w:val="none"/>
        </w:rPr>
        <w:t>天</w:t>
      </w:r>
    </w:p>
    <w:p w14:paraId="61BD4D81">
      <w:pPr>
        <w:spacing w:line="220"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内仍不予答复，视同认可承包人的返还保证金申请。</w:t>
      </w:r>
    </w:p>
    <w:p w14:paraId="5A727C45">
      <w:pPr>
        <w:spacing w:before="14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发包人和承包人对保证金预留、返还以及工程维修质量、费用有争议的，按本合同第</w:t>
      </w:r>
    </w:p>
    <w:p w14:paraId="7C9663AF">
      <w:pPr>
        <w:spacing w:before="153" w:line="221" w:lineRule="auto"/>
        <w:ind w:left="1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条约定的争议和纠纷解决程序处理。</w:t>
      </w:r>
    </w:p>
    <w:p w14:paraId="334C4D37">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15.4</w:t>
      </w:r>
      <w:r>
        <w:rPr>
          <w:rFonts w:ascii="黑体" w:hAnsi="黑体" w:eastAsia="黑体" w:cs="黑体"/>
          <w:color w:val="auto"/>
          <w:spacing w:val="11"/>
          <w:sz w:val="24"/>
          <w:szCs w:val="24"/>
          <w:highlight w:val="none"/>
        </w:rPr>
        <w:t xml:space="preserve"> </w:t>
      </w:r>
      <w:r>
        <w:rPr>
          <w:rFonts w:ascii="黑体" w:hAnsi="黑体" w:eastAsia="黑体" w:cs="黑体"/>
          <w:color w:val="auto"/>
          <w:spacing w:val="-5"/>
          <w:sz w:val="24"/>
          <w:szCs w:val="24"/>
          <w:highlight w:val="none"/>
        </w:rPr>
        <w:t>保修</w:t>
      </w:r>
    </w:p>
    <w:p w14:paraId="112CB1DF">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15.4.1 </w:t>
      </w:r>
      <w:r>
        <w:rPr>
          <w:rFonts w:ascii="宋体" w:hAnsi="宋体" w:eastAsia="宋体" w:cs="宋体"/>
          <w:color w:val="auto"/>
          <w:spacing w:val="-3"/>
          <w:sz w:val="21"/>
          <w:szCs w:val="21"/>
          <w:highlight w:val="none"/>
        </w:rPr>
        <w:t>保修责任</w:t>
      </w:r>
    </w:p>
    <w:p w14:paraId="3308B169">
      <w:pPr>
        <w:spacing w:before="146" w:line="353" w:lineRule="auto"/>
        <w:ind w:left="17" w:right="6"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工程保修期从工程竣工验收合格之日起算，具体分部分项工程的保修期由合同当事人</w:t>
      </w:r>
      <w:r>
        <w:rPr>
          <w:rFonts w:ascii="宋体" w:hAnsi="宋体" w:eastAsia="宋体" w:cs="宋体"/>
          <w:color w:val="auto"/>
          <w:sz w:val="21"/>
          <w:szCs w:val="21"/>
          <w:highlight w:val="none"/>
        </w:rPr>
        <w:t xml:space="preserve"> 在专用合同条款中约定，但不得低于法定最低保修年限。在工程保修期内， 承包人应当根</w:t>
      </w:r>
    </w:p>
    <w:p w14:paraId="21FDB22D">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据有关法律规定以及合同约定承担保修责任。</w:t>
      </w:r>
    </w:p>
    <w:p w14:paraId="3A5D6620">
      <w:pPr>
        <w:spacing w:line="220" w:lineRule="auto"/>
        <w:rPr>
          <w:rFonts w:ascii="宋体" w:hAnsi="宋体" w:eastAsia="宋体" w:cs="宋体"/>
          <w:color w:val="auto"/>
          <w:sz w:val="21"/>
          <w:szCs w:val="21"/>
          <w:highlight w:val="none"/>
        </w:rPr>
        <w:sectPr>
          <w:footerReference r:id="rId85" w:type="default"/>
          <w:pgSz w:w="11905" w:h="16839"/>
          <w:pgMar w:top="1431" w:right="1785" w:bottom="1004" w:left="1785" w:header="0" w:footer="828" w:gutter="0"/>
          <w:pgNumType w:fmt="decimal"/>
          <w:cols w:space="720" w:num="1"/>
        </w:sectPr>
      </w:pPr>
    </w:p>
    <w:p w14:paraId="41C9F9F7">
      <w:pPr>
        <w:spacing w:before="148" w:line="221" w:lineRule="auto"/>
        <w:ind w:left="44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发包人未经竣工验收擅自使用工程的， 保修期自转移</w:t>
      </w:r>
      <w:r>
        <w:rPr>
          <w:rFonts w:ascii="宋体" w:hAnsi="宋体" w:eastAsia="宋体" w:cs="宋体"/>
          <w:color w:val="auto"/>
          <w:spacing w:val="-5"/>
          <w:sz w:val="21"/>
          <w:szCs w:val="21"/>
          <w:highlight w:val="none"/>
        </w:rPr>
        <w:t>占有之日起算。</w:t>
      </w:r>
    </w:p>
    <w:p w14:paraId="443765EE">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15.4.2 </w:t>
      </w:r>
      <w:r>
        <w:rPr>
          <w:rFonts w:ascii="宋体" w:hAnsi="宋体" w:eastAsia="宋体" w:cs="宋体"/>
          <w:color w:val="auto"/>
          <w:spacing w:val="-2"/>
          <w:sz w:val="21"/>
          <w:szCs w:val="21"/>
          <w:highlight w:val="none"/>
        </w:rPr>
        <w:t>修复费用</w:t>
      </w:r>
    </w:p>
    <w:p w14:paraId="714E097B">
      <w:pPr>
        <w:spacing w:before="151" w:line="221" w:lineRule="auto"/>
        <w:ind w:left="44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保修期内，</w:t>
      </w:r>
      <w:r>
        <w:rPr>
          <w:rFonts w:ascii="宋体" w:hAnsi="宋体" w:eastAsia="宋体" w:cs="宋体"/>
          <w:color w:val="auto"/>
          <w:spacing w:val="54"/>
          <w:sz w:val="21"/>
          <w:szCs w:val="21"/>
          <w:highlight w:val="none"/>
        </w:rPr>
        <w:t xml:space="preserve"> </w:t>
      </w:r>
      <w:r>
        <w:rPr>
          <w:rFonts w:ascii="宋体" w:hAnsi="宋体" w:eastAsia="宋体" w:cs="宋体"/>
          <w:color w:val="auto"/>
          <w:spacing w:val="-10"/>
          <w:sz w:val="21"/>
          <w:szCs w:val="21"/>
          <w:highlight w:val="none"/>
        </w:rPr>
        <w:t>修复的费用按照以下约定处理：</w:t>
      </w:r>
    </w:p>
    <w:p w14:paraId="607D58A1">
      <w:pPr>
        <w:spacing w:before="148" w:line="398"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）保修期内，因承包人原因造成工程的缺陷、损坏，承包人应负责修复，并</w:t>
      </w:r>
      <w:r>
        <w:rPr>
          <w:rFonts w:ascii="宋体" w:hAnsi="宋体" w:eastAsia="宋体" w:cs="宋体"/>
          <w:color w:val="auto"/>
          <w:spacing w:val="-1"/>
          <w:position w:val="14"/>
          <w:sz w:val="21"/>
          <w:szCs w:val="21"/>
          <w:highlight w:val="none"/>
        </w:rPr>
        <w:t>承担修</w:t>
      </w:r>
    </w:p>
    <w:p w14:paraId="4A382F41">
      <w:pPr>
        <w:spacing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复的费用以及因工程的缺陷、损坏造成的人身伤害和财产损失；</w:t>
      </w:r>
    </w:p>
    <w:p w14:paraId="4D894187">
      <w:pPr>
        <w:spacing w:before="153" w:line="398" w:lineRule="exact"/>
        <w:ind w:right="13"/>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）保修期内，因发包人使用不当造成工程的缺陷、损坏，可以委托承包人</w:t>
      </w:r>
      <w:r>
        <w:rPr>
          <w:rFonts w:ascii="宋体" w:hAnsi="宋体" w:eastAsia="宋体" w:cs="宋体"/>
          <w:color w:val="auto"/>
          <w:spacing w:val="-1"/>
          <w:position w:val="14"/>
          <w:sz w:val="21"/>
          <w:szCs w:val="21"/>
          <w:highlight w:val="none"/>
        </w:rPr>
        <w:t>修复，但</w:t>
      </w:r>
    </w:p>
    <w:p w14:paraId="5682F01B">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发包人应承担修复的费用，并支付承包人合理利润；</w:t>
      </w:r>
    </w:p>
    <w:p w14:paraId="02C88D4D">
      <w:pPr>
        <w:spacing w:before="148" w:line="352" w:lineRule="auto"/>
        <w:ind w:left="29" w:right="11"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）因其他原因造成工程的缺陷、损坏，可以委托承包人修复，发包人应承担</w:t>
      </w:r>
      <w:r>
        <w:rPr>
          <w:rFonts w:ascii="宋体" w:hAnsi="宋体" w:eastAsia="宋体" w:cs="宋体"/>
          <w:color w:val="auto"/>
          <w:spacing w:val="-1"/>
          <w:sz w:val="21"/>
          <w:szCs w:val="21"/>
          <w:highlight w:val="none"/>
        </w:rPr>
        <w:t>修复的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费用， 并支付承包人合理的利润， 因工程的缺陷、损坏造成的人身伤害和财产损失由责任</w:t>
      </w:r>
    </w:p>
    <w:p w14:paraId="04E473B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方承担。</w:t>
      </w:r>
    </w:p>
    <w:p w14:paraId="5578D5FE">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15.4.3 </w:t>
      </w:r>
      <w:r>
        <w:rPr>
          <w:rFonts w:ascii="宋体" w:hAnsi="宋体" w:eastAsia="宋体" w:cs="宋体"/>
          <w:color w:val="auto"/>
          <w:spacing w:val="-2"/>
          <w:sz w:val="21"/>
          <w:szCs w:val="21"/>
          <w:highlight w:val="none"/>
        </w:rPr>
        <w:t>修复通知</w:t>
      </w:r>
    </w:p>
    <w:p w14:paraId="365E7146">
      <w:pPr>
        <w:spacing w:before="152" w:line="352" w:lineRule="auto"/>
        <w:ind w:left="22" w:right="3" w:firstLine="4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在保修期内，发包人在使用过程中， 发现已接</w:t>
      </w:r>
      <w:r>
        <w:rPr>
          <w:rFonts w:ascii="宋体" w:hAnsi="宋体" w:eastAsia="宋体" w:cs="宋体"/>
          <w:color w:val="auto"/>
          <w:spacing w:val="-3"/>
          <w:sz w:val="21"/>
          <w:szCs w:val="21"/>
          <w:highlight w:val="none"/>
        </w:rPr>
        <w:t>收的工程存在缺陷或损坏的， 应书面通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知承包人予以修复，但情况紧急必须立即修复缺陷或损坏的，发包</w:t>
      </w:r>
      <w:r>
        <w:rPr>
          <w:rFonts w:ascii="宋体" w:hAnsi="宋体" w:eastAsia="宋体" w:cs="宋体"/>
          <w:color w:val="auto"/>
          <w:spacing w:val="2"/>
          <w:sz w:val="21"/>
          <w:szCs w:val="21"/>
          <w:highlight w:val="none"/>
        </w:rPr>
        <w:t>人可以口头通知承包人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并在口头通知后</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1"/>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小时内书面确认，承包人应在专用合同条款约定的合理期限内到达工程</w:t>
      </w:r>
    </w:p>
    <w:p w14:paraId="4846F6DF">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现场并修复缺陷或损坏。</w:t>
      </w:r>
    </w:p>
    <w:p w14:paraId="700464C5">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15.4.4</w:t>
      </w:r>
      <w:r>
        <w:rPr>
          <w:rFonts w:ascii="Times New Roman" w:hAnsi="Times New Roman" w:eastAsia="Times New Roman" w:cs="Times New Roman"/>
          <w:color w:val="auto"/>
          <w:spacing w:val="11"/>
          <w:sz w:val="21"/>
          <w:szCs w:val="21"/>
          <w:highlight w:val="none"/>
        </w:rPr>
        <w:t xml:space="preserve"> </w:t>
      </w:r>
      <w:r>
        <w:rPr>
          <w:rFonts w:ascii="宋体" w:hAnsi="宋体" w:eastAsia="宋体" w:cs="宋体"/>
          <w:color w:val="auto"/>
          <w:spacing w:val="-3"/>
          <w:sz w:val="21"/>
          <w:szCs w:val="21"/>
          <w:highlight w:val="none"/>
        </w:rPr>
        <w:t>未能修复</w:t>
      </w:r>
    </w:p>
    <w:p w14:paraId="479F41F1">
      <w:pPr>
        <w:spacing w:before="147" w:line="352" w:lineRule="auto"/>
        <w:ind w:left="20" w:right="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因承包人原因造成工程的缺陷或损坏，承包人拒绝维</w:t>
      </w:r>
      <w:r>
        <w:rPr>
          <w:rFonts w:ascii="宋体" w:hAnsi="宋体" w:eastAsia="宋体" w:cs="宋体"/>
          <w:color w:val="auto"/>
          <w:spacing w:val="2"/>
          <w:sz w:val="21"/>
          <w:szCs w:val="21"/>
          <w:highlight w:val="none"/>
        </w:rPr>
        <w:t>修或未能在合理期限内修复缺陷</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或损坏，且经发包人书面催告后仍未修复的， 发</w:t>
      </w:r>
      <w:r>
        <w:rPr>
          <w:rFonts w:ascii="宋体" w:hAnsi="宋体" w:eastAsia="宋体" w:cs="宋体"/>
          <w:color w:val="auto"/>
          <w:spacing w:val="-3"/>
          <w:sz w:val="21"/>
          <w:szCs w:val="21"/>
          <w:highlight w:val="none"/>
        </w:rPr>
        <w:t>包人有权自行修复或委托第三方修复， 所</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需费用由承包人承担。</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但修复范围超出缺陷或损坏范围的， 超出范围部分的修复费用由发</w:t>
      </w:r>
    </w:p>
    <w:p w14:paraId="60691FD2">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包人承担。</w:t>
      </w:r>
    </w:p>
    <w:p w14:paraId="2078CBC1">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15.4.5 </w:t>
      </w:r>
      <w:r>
        <w:rPr>
          <w:rFonts w:ascii="宋体" w:hAnsi="宋体" w:eastAsia="宋体" w:cs="宋体"/>
          <w:color w:val="auto"/>
          <w:spacing w:val="-2"/>
          <w:sz w:val="21"/>
          <w:szCs w:val="21"/>
          <w:highlight w:val="none"/>
        </w:rPr>
        <w:t>承包人出入权</w:t>
      </w:r>
    </w:p>
    <w:p w14:paraId="752E33C1">
      <w:pPr>
        <w:spacing w:before="146" w:line="352" w:lineRule="auto"/>
        <w:ind w:left="17" w:right="3"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在保修期内，为了修复缺陷或损坏， 承包人有</w:t>
      </w:r>
      <w:r>
        <w:rPr>
          <w:rFonts w:ascii="宋体" w:hAnsi="宋体" w:eastAsia="宋体" w:cs="宋体"/>
          <w:color w:val="auto"/>
          <w:spacing w:val="-3"/>
          <w:sz w:val="21"/>
          <w:szCs w:val="21"/>
          <w:highlight w:val="none"/>
        </w:rPr>
        <w:t>权出入工程现场， 除情况紧急必须立即</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修复缺陷或损坏外， 承包人应提前</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3"/>
          <w:sz w:val="21"/>
          <w:szCs w:val="21"/>
          <w:highlight w:val="none"/>
        </w:rPr>
        <w:t>小时通知发包人进场修复的时间。承包人进入工程现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场前应获得发包人同意，且不应影响发包人正常的生产经营，并应遵守发包人</w:t>
      </w:r>
      <w:r>
        <w:rPr>
          <w:rFonts w:ascii="宋体" w:hAnsi="宋体" w:eastAsia="宋体" w:cs="宋体"/>
          <w:color w:val="auto"/>
          <w:spacing w:val="2"/>
          <w:sz w:val="21"/>
          <w:szCs w:val="21"/>
          <w:highlight w:val="none"/>
        </w:rPr>
        <w:t>有关保安和</w:t>
      </w:r>
    </w:p>
    <w:p w14:paraId="10DAA99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保密等规定。</w:t>
      </w:r>
    </w:p>
    <w:p w14:paraId="1C23806E">
      <w:pPr>
        <w:spacing w:before="173" w:line="221"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16.违约</w:t>
      </w:r>
    </w:p>
    <w:p w14:paraId="2C38B354">
      <w:pPr>
        <w:spacing w:before="148"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16.1 发包人违约</w:t>
      </w:r>
    </w:p>
    <w:p w14:paraId="2090E3B3">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16.1.1 </w:t>
      </w:r>
      <w:r>
        <w:rPr>
          <w:rFonts w:ascii="宋体" w:hAnsi="宋体" w:eastAsia="宋体" w:cs="宋体"/>
          <w:color w:val="auto"/>
          <w:spacing w:val="-2"/>
          <w:sz w:val="21"/>
          <w:szCs w:val="21"/>
          <w:highlight w:val="none"/>
        </w:rPr>
        <w:t>发包人违约的情形</w:t>
      </w:r>
    </w:p>
    <w:p w14:paraId="3CB29269">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在合同履行过程中发生的下列情形，属于发包人违约：</w:t>
      </w:r>
    </w:p>
    <w:p w14:paraId="59BFDDB1">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）因发包人原因未能在计划开工日期前</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7 </w:t>
      </w:r>
      <w:r>
        <w:rPr>
          <w:rFonts w:ascii="宋体" w:hAnsi="宋体" w:eastAsia="宋体" w:cs="宋体"/>
          <w:color w:val="auto"/>
          <w:spacing w:val="-2"/>
          <w:position w:val="14"/>
          <w:sz w:val="21"/>
          <w:szCs w:val="21"/>
          <w:highlight w:val="none"/>
        </w:rPr>
        <w:t>天内下达开工通知的；</w:t>
      </w:r>
    </w:p>
    <w:p w14:paraId="6C0F67E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）因发包人原因未能按合同约定支付合同价款的；</w:t>
      </w:r>
    </w:p>
    <w:p w14:paraId="37D26327">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宋体" w:hAnsi="宋体" w:eastAsia="宋体" w:cs="宋体"/>
          <w:color w:val="auto"/>
          <w:spacing w:val="-1"/>
          <w:position w:val="14"/>
          <w:sz w:val="21"/>
          <w:szCs w:val="21"/>
          <w:highlight w:val="none"/>
        </w:rPr>
        <w:t xml:space="preserve">）发包人违反第 </w:t>
      </w:r>
      <w:r>
        <w:rPr>
          <w:rFonts w:ascii="Times New Roman" w:hAnsi="Times New Roman" w:eastAsia="Times New Roman" w:cs="Times New Roman"/>
          <w:color w:val="auto"/>
          <w:spacing w:val="-1"/>
          <w:position w:val="14"/>
          <w:sz w:val="21"/>
          <w:szCs w:val="21"/>
          <w:highlight w:val="none"/>
        </w:rPr>
        <w:t>10.1</w:t>
      </w:r>
      <w:r>
        <w:rPr>
          <w:rFonts w:ascii="Times New Roman" w:hAnsi="Times New Roman" w:eastAsia="Times New Roman" w:cs="Times New Roman"/>
          <w:color w:val="auto"/>
          <w:spacing w:val="43"/>
          <w:w w:val="101"/>
          <w:position w:val="14"/>
          <w:sz w:val="21"/>
          <w:szCs w:val="21"/>
          <w:highlight w:val="none"/>
        </w:rPr>
        <w:t xml:space="preserve"> </w:t>
      </w:r>
      <w:r>
        <w:rPr>
          <w:rFonts w:ascii="宋体" w:hAnsi="宋体" w:eastAsia="宋体" w:cs="宋体"/>
          <w:color w:val="auto"/>
          <w:spacing w:val="-1"/>
          <w:position w:val="14"/>
          <w:sz w:val="21"/>
          <w:szCs w:val="21"/>
          <w:highlight w:val="none"/>
        </w:rPr>
        <w:t>款〔变更的范围〕第（</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）项约定，自行实施被取消的工作或</w:t>
      </w:r>
    </w:p>
    <w:p w14:paraId="39500090">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转由他人实施的；</w:t>
      </w:r>
    </w:p>
    <w:p w14:paraId="0AF05936">
      <w:pPr>
        <w:spacing w:before="152" w:line="220" w:lineRule="auto"/>
        <w:ind w:right="1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）发包人提供的材料、工程设备的规格、数量或质量不符合合同约定，或因</w:t>
      </w:r>
      <w:r>
        <w:rPr>
          <w:rFonts w:ascii="宋体" w:hAnsi="宋体" w:eastAsia="宋体" w:cs="宋体"/>
          <w:color w:val="auto"/>
          <w:spacing w:val="-1"/>
          <w:sz w:val="21"/>
          <w:szCs w:val="21"/>
          <w:highlight w:val="none"/>
        </w:rPr>
        <w:t>发包人</w:t>
      </w:r>
    </w:p>
    <w:p w14:paraId="177C0AA6">
      <w:pPr>
        <w:spacing w:line="220" w:lineRule="auto"/>
        <w:rPr>
          <w:rFonts w:ascii="宋体" w:hAnsi="宋体" w:eastAsia="宋体" w:cs="宋体"/>
          <w:color w:val="auto"/>
          <w:sz w:val="21"/>
          <w:szCs w:val="21"/>
          <w:highlight w:val="none"/>
        </w:rPr>
        <w:sectPr>
          <w:footerReference r:id="rId86" w:type="default"/>
          <w:pgSz w:w="11905" w:h="16839"/>
          <w:pgMar w:top="1431" w:right="1785" w:bottom="1004" w:left="1785" w:header="0" w:footer="828" w:gutter="0"/>
          <w:pgNumType w:fmt="decimal"/>
          <w:cols w:space="720" w:num="1"/>
        </w:sectPr>
      </w:pPr>
    </w:p>
    <w:p w14:paraId="65503A1A">
      <w:pPr>
        <w:spacing w:before="149"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原因导致交货日期延误或交货地点变更等情况的；</w:t>
      </w:r>
    </w:p>
    <w:p w14:paraId="4FC83FEC">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）因发包人违反合同约定造成暂停施工</w:t>
      </w:r>
      <w:r>
        <w:rPr>
          <w:rFonts w:ascii="宋体" w:hAnsi="宋体" w:eastAsia="宋体" w:cs="宋体"/>
          <w:color w:val="auto"/>
          <w:spacing w:val="-3"/>
          <w:sz w:val="21"/>
          <w:szCs w:val="21"/>
          <w:highlight w:val="none"/>
        </w:rPr>
        <w:t>的；</w:t>
      </w:r>
    </w:p>
    <w:p w14:paraId="7C03FD6C">
      <w:pPr>
        <w:spacing w:before="151"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）发包人无正当理由没有在约定期限内发出复工指示</w:t>
      </w:r>
      <w:r>
        <w:rPr>
          <w:rFonts w:ascii="宋体" w:hAnsi="宋体" w:eastAsia="宋体" w:cs="宋体"/>
          <w:color w:val="auto"/>
          <w:spacing w:val="-1"/>
          <w:position w:val="14"/>
          <w:sz w:val="21"/>
          <w:szCs w:val="21"/>
          <w:highlight w:val="none"/>
        </w:rPr>
        <w:t>，导致承包人无法复工的；</w:t>
      </w:r>
    </w:p>
    <w:p w14:paraId="6AF0760D">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）发包人明确表示或者以其行为表明不履行合同主要义务的；</w:t>
      </w:r>
    </w:p>
    <w:p w14:paraId="65A0191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）发包人未能按照合同约定履行其他义务的。</w:t>
      </w:r>
    </w:p>
    <w:p w14:paraId="6F386679">
      <w:pPr>
        <w:spacing w:before="153" w:line="350" w:lineRule="auto"/>
        <w:ind w:left="18" w:right="12"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发包人发生除本项第（</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）目以外的违约情况时，</w:t>
      </w:r>
      <w:r>
        <w:rPr>
          <w:rFonts w:ascii="宋体" w:hAnsi="宋体" w:eastAsia="宋体" w:cs="宋体"/>
          <w:color w:val="auto"/>
          <w:spacing w:val="52"/>
          <w:sz w:val="21"/>
          <w:szCs w:val="21"/>
          <w:highlight w:val="none"/>
        </w:rPr>
        <w:t xml:space="preserve"> </w:t>
      </w:r>
      <w:r>
        <w:rPr>
          <w:rFonts w:ascii="宋体" w:hAnsi="宋体" w:eastAsia="宋体" w:cs="宋体"/>
          <w:color w:val="auto"/>
          <w:spacing w:val="-4"/>
          <w:sz w:val="21"/>
          <w:szCs w:val="21"/>
          <w:highlight w:val="none"/>
        </w:rPr>
        <w:t>承包人可向发包人发出通</w:t>
      </w:r>
      <w:r>
        <w:rPr>
          <w:rFonts w:ascii="宋体" w:hAnsi="宋体" w:eastAsia="宋体" w:cs="宋体"/>
          <w:color w:val="auto"/>
          <w:spacing w:val="-5"/>
          <w:sz w:val="21"/>
          <w:szCs w:val="21"/>
          <w:highlight w:val="none"/>
        </w:rPr>
        <w:t>知，要求发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包人采取有效措施纠正违约行为。发包人收到承包人通知后</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2"/>
          <w:sz w:val="21"/>
          <w:szCs w:val="21"/>
          <w:highlight w:val="none"/>
        </w:rPr>
        <w:t>天内仍不纠正违约行为的，</w:t>
      </w:r>
    </w:p>
    <w:p w14:paraId="07D7D05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承包人有权暂停相应部位工程施工，并通知监理人。</w:t>
      </w:r>
    </w:p>
    <w:p w14:paraId="1E47A85A">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16.1.2 </w:t>
      </w:r>
      <w:r>
        <w:rPr>
          <w:rFonts w:ascii="宋体" w:hAnsi="宋体" w:eastAsia="宋体" w:cs="宋体"/>
          <w:color w:val="auto"/>
          <w:spacing w:val="-2"/>
          <w:sz w:val="21"/>
          <w:szCs w:val="21"/>
          <w:highlight w:val="none"/>
        </w:rPr>
        <w:t>发包人违约的责任</w:t>
      </w:r>
    </w:p>
    <w:p w14:paraId="2BA13B15">
      <w:pPr>
        <w:spacing w:before="148" w:line="352" w:lineRule="auto"/>
        <w:ind w:left="35" w:right="6"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发包人应承担因其违约给承包人增加的费用和（或）延误的工期，并支付承包人合理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的利润。此外，合同当事人可在专用合同条款中另行约定发包人违约责任的承担方式和计</w:t>
      </w:r>
    </w:p>
    <w:p w14:paraId="352995A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算方法。</w:t>
      </w:r>
    </w:p>
    <w:p w14:paraId="7C944E24">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3"/>
          <w:sz w:val="21"/>
          <w:szCs w:val="21"/>
          <w:highlight w:val="none"/>
        </w:rPr>
        <w:t>因发包人违约解除合同</w:t>
      </w:r>
    </w:p>
    <w:p w14:paraId="5BCD485F">
      <w:pPr>
        <w:spacing w:before="146" w:line="352" w:lineRule="auto"/>
        <w:ind w:left="20" w:right="5" w:firstLine="43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除专用合同条款另有约定外，承包人按第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pacing w:val="-1"/>
          <w:sz w:val="21"/>
          <w:szCs w:val="21"/>
          <w:highlight w:val="none"/>
        </w:rPr>
        <w:t>项〔发包人违约的情形〕约定暂停施</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工满</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4"/>
          <w:sz w:val="21"/>
          <w:szCs w:val="21"/>
          <w:highlight w:val="none"/>
        </w:rPr>
        <w:t xml:space="preserve">天后，发包人仍不纠正其违约行为并致使合同目的不能实现的， 或出现第 </w:t>
      </w:r>
      <w:r>
        <w:rPr>
          <w:rFonts w:ascii="Times New Roman" w:hAnsi="Times New Roman" w:eastAsia="Times New Roman" w:cs="Times New Roman"/>
          <w:color w:val="auto"/>
          <w:spacing w:val="-4"/>
          <w:sz w:val="21"/>
          <w:szCs w:val="21"/>
          <w:highlight w:val="none"/>
        </w:rPr>
        <w:t xml:space="preserve">16.1.1 </w:t>
      </w:r>
      <w:r>
        <w:rPr>
          <w:rFonts w:ascii="宋体" w:hAnsi="宋体" w:eastAsia="宋体" w:cs="宋体"/>
          <w:color w:val="auto"/>
          <w:spacing w:val="-4"/>
          <w:sz w:val="21"/>
          <w:szCs w:val="21"/>
          <w:highlight w:val="none"/>
        </w:rPr>
        <w:t>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〔发包人违约的情形〕第（</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）目约定的违约情况，</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承包人有权解除合同，发包人应承担由</w:t>
      </w:r>
    </w:p>
    <w:p w14:paraId="68861A4D">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此增加的费用，并支付承包人合理的利润。</w:t>
      </w:r>
    </w:p>
    <w:p w14:paraId="16ECC0DB">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16.1.4</w:t>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3"/>
          <w:sz w:val="21"/>
          <w:szCs w:val="21"/>
          <w:highlight w:val="none"/>
        </w:rPr>
        <w:t>因发包人违约解除合同后的付款</w:t>
      </w:r>
    </w:p>
    <w:p w14:paraId="727F6480">
      <w:pPr>
        <w:spacing w:before="147"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承包人按照本款约定解除合同的，发包人应在解除合同后</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2</w:t>
      </w:r>
      <w:r>
        <w:rPr>
          <w:rFonts w:ascii="Times New Roman" w:hAnsi="Times New Roman" w:eastAsia="Times New Roman" w:cs="Times New Roman"/>
          <w:color w:val="auto"/>
          <w:spacing w:val="-1"/>
          <w:position w:val="14"/>
          <w:sz w:val="21"/>
          <w:szCs w:val="21"/>
          <w:highlight w:val="none"/>
        </w:rPr>
        <w:t xml:space="preserve">8 </w:t>
      </w:r>
      <w:r>
        <w:rPr>
          <w:rFonts w:ascii="宋体" w:hAnsi="宋体" w:eastAsia="宋体" w:cs="宋体"/>
          <w:color w:val="auto"/>
          <w:spacing w:val="-1"/>
          <w:position w:val="14"/>
          <w:sz w:val="21"/>
          <w:szCs w:val="21"/>
          <w:highlight w:val="none"/>
        </w:rPr>
        <w:t>天内支付下列款项，并解</w:t>
      </w:r>
    </w:p>
    <w:p w14:paraId="0AAAC133">
      <w:pPr>
        <w:spacing w:line="220" w:lineRule="auto"/>
        <w:ind w:left="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除履约担保：</w:t>
      </w:r>
    </w:p>
    <w:p w14:paraId="102ADC03">
      <w:pPr>
        <w:spacing w:before="153"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）合同解除前所完成工作的价款；</w:t>
      </w:r>
    </w:p>
    <w:p w14:paraId="50EB496C">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）承包人为工程施工订购并已付款的材料、工程设备和其他物品</w:t>
      </w:r>
      <w:r>
        <w:rPr>
          <w:rFonts w:ascii="宋体" w:hAnsi="宋体" w:eastAsia="宋体" w:cs="宋体"/>
          <w:color w:val="auto"/>
          <w:spacing w:val="-2"/>
          <w:position w:val="14"/>
          <w:sz w:val="21"/>
          <w:szCs w:val="21"/>
          <w:highlight w:val="none"/>
        </w:rPr>
        <w:t>的价款；</w:t>
      </w:r>
    </w:p>
    <w:p w14:paraId="1A674E6F">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）承包人撤离施工现场以及遣散承包人人员的款项；</w:t>
      </w:r>
    </w:p>
    <w:p w14:paraId="4716140A">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宋体" w:hAnsi="宋体" w:eastAsia="宋体" w:cs="宋体"/>
          <w:color w:val="auto"/>
          <w:spacing w:val="-2"/>
          <w:position w:val="14"/>
          <w:sz w:val="21"/>
          <w:szCs w:val="21"/>
          <w:highlight w:val="none"/>
        </w:rPr>
        <w:t>）按照合同约定在合同解除前应支付的违约金；</w:t>
      </w:r>
    </w:p>
    <w:p w14:paraId="6755D005">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）按照合同约定应当支付给承包人的其他款项；</w:t>
      </w:r>
    </w:p>
    <w:p w14:paraId="6BD07D7F">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6</w:t>
      </w:r>
      <w:r>
        <w:rPr>
          <w:rFonts w:ascii="宋体" w:hAnsi="宋体" w:eastAsia="宋体" w:cs="宋体"/>
          <w:color w:val="auto"/>
          <w:spacing w:val="-1"/>
          <w:position w:val="14"/>
          <w:sz w:val="21"/>
          <w:szCs w:val="21"/>
          <w:highlight w:val="none"/>
        </w:rPr>
        <w:t>）按照合同约定应退还的质量保证金；</w:t>
      </w:r>
    </w:p>
    <w:p w14:paraId="423002A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）因解除合同给承包人造成的损失。</w:t>
      </w:r>
    </w:p>
    <w:p w14:paraId="32BBFBFC">
      <w:pPr>
        <w:spacing w:before="147" w:line="399"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合同当事人未能就解除合同后的结清达成一致的，按照第</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20 </w:t>
      </w:r>
      <w:r>
        <w:rPr>
          <w:rFonts w:ascii="宋体" w:hAnsi="宋体" w:eastAsia="宋体" w:cs="宋体"/>
          <w:color w:val="auto"/>
          <w:position w:val="14"/>
          <w:sz w:val="21"/>
          <w:szCs w:val="21"/>
          <w:highlight w:val="none"/>
        </w:rPr>
        <w:t>条〔争</w:t>
      </w:r>
      <w:r>
        <w:rPr>
          <w:rFonts w:ascii="宋体" w:hAnsi="宋体" w:eastAsia="宋体" w:cs="宋体"/>
          <w:color w:val="auto"/>
          <w:spacing w:val="-1"/>
          <w:position w:val="14"/>
          <w:sz w:val="21"/>
          <w:szCs w:val="21"/>
          <w:highlight w:val="none"/>
        </w:rPr>
        <w:t>议解决〕的约定处</w:t>
      </w:r>
    </w:p>
    <w:p w14:paraId="35301F86">
      <w:pPr>
        <w:spacing w:line="23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理。</w:t>
      </w:r>
    </w:p>
    <w:p w14:paraId="0D96E872">
      <w:pPr>
        <w:spacing w:before="141" w:line="220" w:lineRule="auto"/>
        <w:ind w:right="12"/>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承包人应妥善做好已完工程和与工程有关的已购材料、工程设备的保护和移交</w:t>
      </w:r>
      <w:r>
        <w:rPr>
          <w:rFonts w:ascii="宋体" w:hAnsi="宋体" w:eastAsia="宋体" w:cs="宋体"/>
          <w:color w:val="auto"/>
          <w:spacing w:val="2"/>
          <w:sz w:val="21"/>
          <w:szCs w:val="21"/>
          <w:highlight w:val="none"/>
        </w:rPr>
        <w:t>工作，</w:t>
      </w:r>
    </w:p>
    <w:p w14:paraId="05B9DAF4">
      <w:pPr>
        <w:spacing w:before="149" w:line="220"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并将施工设备和人员撤出施工现场，发包人应为承包</w:t>
      </w:r>
      <w:r>
        <w:rPr>
          <w:rFonts w:ascii="宋体" w:hAnsi="宋体" w:eastAsia="宋体" w:cs="宋体"/>
          <w:color w:val="auto"/>
          <w:spacing w:val="-1"/>
          <w:sz w:val="21"/>
          <w:szCs w:val="21"/>
          <w:highlight w:val="none"/>
        </w:rPr>
        <w:t>人撤出提供必要条件。</w:t>
      </w:r>
    </w:p>
    <w:p w14:paraId="7381C4C4">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16.2 承包人违约</w:t>
      </w:r>
    </w:p>
    <w:p w14:paraId="0CC949D3">
      <w:pPr>
        <w:spacing w:before="12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承包人违约的情形</w:t>
      </w:r>
    </w:p>
    <w:p w14:paraId="7D69050E">
      <w:pPr>
        <w:spacing w:before="153" w:line="399"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在合同履行过程中发生的下列情形，属于承包人违约：</w:t>
      </w:r>
    </w:p>
    <w:p w14:paraId="123C1E47">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）承包人违反合同约定进行转包或违法分包的；</w:t>
      </w:r>
    </w:p>
    <w:p w14:paraId="457566F4">
      <w:pPr>
        <w:spacing w:line="220" w:lineRule="auto"/>
        <w:rPr>
          <w:rFonts w:ascii="宋体" w:hAnsi="宋体" w:eastAsia="宋体" w:cs="宋体"/>
          <w:color w:val="auto"/>
          <w:sz w:val="21"/>
          <w:szCs w:val="21"/>
          <w:highlight w:val="none"/>
        </w:rPr>
        <w:sectPr>
          <w:footerReference r:id="rId87" w:type="default"/>
          <w:pgSz w:w="11905" w:h="16839"/>
          <w:pgMar w:top="1431" w:right="1785" w:bottom="1004" w:left="1785" w:header="0" w:footer="828" w:gutter="0"/>
          <w:pgNumType w:fmt="decimal"/>
          <w:cols w:space="720" w:num="1"/>
        </w:sectPr>
      </w:pPr>
    </w:p>
    <w:p w14:paraId="63BB05D2">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）承包人违反合同约定采购和使用不合格的材</w:t>
      </w:r>
      <w:r>
        <w:rPr>
          <w:rFonts w:ascii="宋体" w:hAnsi="宋体" w:eastAsia="宋体" w:cs="宋体"/>
          <w:color w:val="auto"/>
          <w:spacing w:val="-2"/>
          <w:position w:val="14"/>
          <w:sz w:val="21"/>
          <w:szCs w:val="21"/>
          <w:highlight w:val="none"/>
        </w:rPr>
        <w:t>料和工程设备的；</w:t>
      </w:r>
    </w:p>
    <w:p w14:paraId="564C8DFC">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）因承包人原因导致工程质量不符合合同要求的；</w:t>
      </w:r>
    </w:p>
    <w:p w14:paraId="70597F0D">
      <w:pPr>
        <w:spacing w:before="152" w:line="399" w:lineRule="exact"/>
        <w:jc w:val="right"/>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w:t>
      </w:r>
      <w:r>
        <w:rPr>
          <w:rFonts w:ascii="Times New Roman" w:hAnsi="Times New Roman" w:eastAsia="Times New Roman" w:cs="Times New Roman"/>
          <w:color w:val="auto"/>
          <w:spacing w:val="-6"/>
          <w:position w:val="14"/>
          <w:sz w:val="21"/>
          <w:szCs w:val="21"/>
          <w:highlight w:val="none"/>
        </w:rPr>
        <w:t>4</w:t>
      </w:r>
      <w:r>
        <w:rPr>
          <w:rFonts w:ascii="宋体" w:hAnsi="宋体" w:eastAsia="宋体" w:cs="宋体"/>
          <w:color w:val="auto"/>
          <w:spacing w:val="-6"/>
          <w:position w:val="14"/>
          <w:sz w:val="21"/>
          <w:szCs w:val="21"/>
          <w:highlight w:val="none"/>
        </w:rPr>
        <w:t xml:space="preserve">）承包人违反第 </w:t>
      </w:r>
      <w:r>
        <w:rPr>
          <w:rFonts w:ascii="Times New Roman" w:hAnsi="Times New Roman" w:eastAsia="Times New Roman" w:cs="Times New Roman"/>
          <w:color w:val="auto"/>
          <w:spacing w:val="-6"/>
          <w:position w:val="14"/>
          <w:sz w:val="21"/>
          <w:szCs w:val="21"/>
          <w:highlight w:val="none"/>
        </w:rPr>
        <w:t>8.9</w:t>
      </w:r>
      <w:r>
        <w:rPr>
          <w:rFonts w:ascii="Times New Roman" w:hAnsi="Times New Roman" w:eastAsia="Times New Roman" w:cs="Times New Roman"/>
          <w:color w:val="auto"/>
          <w:spacing w:val="50"/>
          <w:position w:val="14"/>
          <w:sz w:val="21"/>
          <w:szCs w:val="21"/>
          <w:highlight w:val="none"/>
        </w:rPr>
        <w:t xml:space="preserve"> </w:t>
      </w:r>
      <w:r>
        <w:rPr>
          <w:rFonts w:ascii="宋体" w:hAnsi="宋体" w:eastAsia="宋体" w:cs="宋体"/>
          <w:color w:val="auto"/>
          <w:spacing w:val="-6"/>
          <w:position w:val="14"/>
          <w:sz w:val="21"/>
          <w:szCs w:val="21"/>
          <w:highlight w:val="none"/>
        </w:rPr>
        <w:t>款〔材料与设备专用要求〕 的约定，未经批准， 私自将已按照</w:t>
      </w:r>
    </w:p>
    <w:p w14:paraId="3BC2C41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合同约定进入施工现场的材料或设备撤离施工现场的；</w:t>
      </w:r>
    </w:p>
    <w:p w14:paraId="5DE53FE6">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）承包人未能按施工进度计划及时完成合同约定的</w:t>
      </w:r>
      <w:r>
        <w:rPr>
          <w:rFonts w:ascii="宋体" w:hAnsi="宋体" w:eastAsia="宋体" w:cs="宋体"/>
          <w:color w:val="auto"/>
          <w:spacing w:val="-2"/>
          <w:sz w:val="21"/>
          <w:szCs w:val="21"/>
          <w:highlight w:val="none"/>
        </w:rPr>
        <w:t>工作，造成工期延误的；</w:t>
      </w:r>
    </w:p>
    <w:p w14:paraId="0265F937">
      <w:pPr>
        <w:spacing w:before="152"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）承包人在缺陷责任期及保修期内，未能在合理期限对工程缺陷进行修复</w:t>
      </w:r>
      <w:r>
        <w:rPr>
          <w:rFonts w:ascii="宋体" w:hAnsi="宋体" w:eastAsia="宋体" w:cs="宋体"/>
          <w:color w:val="auto"/>
          <w:spacing w:val="-1"/>
          <w:position w:val="14"/>
          <w:sz w:val="21"/>
          <w:szCs w:val="21"/>
          <w:highlight w:val="none"/>
        </w:rPr>
        <w:t>，或拒绝</w:t>
      </w:r>
    </w:p>
    <w:p w14:paraId="31014B41">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按发包人要求进行修复的；</w:t>
      </w:r>
    </w:p>
    <w:p w14:paraId="13D1D529">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）承包人明确表示或者以其行为表明不履行合同主要义务的；</w:t>
      </w:r>
    </w:p>
    <w:p w14:paraId="04F322AB">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）承包人未能按照合同约定履行其他义务的。</w:t>
      </w:r>
    </w:p>
    <w:p w14:paraId="62EEA47B">
      <w:pPr>
        <w:spacing w:before="148" w:line="398" w:lineRule="exact"/>
        <w:ind w:right="10"/>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承包人发生除本项第（</w:t>
      </w:r>
      <w:r>
        <w:rPr>
          <w:rFonts w:ascii="Times New Roman" w:hAnsi="Times New Roman" w:eastAsia="Times New Roman" w:cs="Times New Roman"/>
          <w:color w:val="auto"/>
          <w:position w:val="14"/>
          <w:sz w:val="21"/>
          <w:szCs w:val="21"/>
          <w:highlight w:val="none"/>
        </w:rPr>
        <w:t>7</w:t>
      </w:r>
      <w:r>
        <w:rPr>
          <w:rFonts w:ascii="宋体" w:hAnsi="宋体" w:eastAsia="宋体" w:cs="宋体"/>
          <w:color w:val="auto"/>
          <w:position w:val="14"/>
          <w:sz w:val="21"/>
          <w:szCs w:val="21"/>
          <w:highlight w:val="none"/>
        </w:rPr>
        <w:t>）目约定以外的其他违约情况时，监理人可向承包人发出整改</w:t>
      </w:r>
    </w:p>
    <w:p w14:paraId="04207E55">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通知，要求其在指定的期限内改正。</w:t>
      </w:r>
    </w:p>
    <w:p w14:paraId="38F91223">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16.2.2 </w:t>
      </w:r>
      <w:r>
        <w:rPr>
          <w:rFonts w:ascii="宋体" w:hAnsi="宋体" w:eastAsia="宋体" w:cs="宋体"/>
          <w:color w:val="auto"/>
          <w:spacing w:val="-2"/>
          <w:sz w:val="21"/>
          <w:szCs w:val="21"/>
          <w:highlight w:val="none"/>
        </w:rPr>
        <w:t>承包人违约的责任</w:t>
      </w:r>
    </w:p>
    <w:p w14:paraId="1251208C">
      <w:pPr>
        <w:spacing w:before="149" w:line="398" w:lineRule="exact"/>
        <w:ind w:right="2"/>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承包人应承担因其违约行为而增加的费用和（或）延误的工期。此外，合同当事人可</w:t>
      </w:r>
    </w:p>
    <w:p w14:paraId="64E3778E">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在专用合同条款中另行约定承包人违约责任的承担方式和计算方法。</w:t>
      </w:r>
    </w:p>
    <w:p w14:paraId="235A657B">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3"/>
          <w:sz w:val="21"/>
          <w:szCs w:val="21"/>
          <w:highlight w:val="none"/>
        </w:rPr>
        <w:t>因承包人违约解除合同</w:t>
      </w:r>
    </w:p>
    <w:p w14:paraId="57679E31">
      <w:pPr>
        <w:spacing w:before="148" w:line="352" w:lineRule="auto"/>
        <w:ind w:left="18" w:right="5" w:firstLine="4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w:t>
      </w:r>
      <w:r>
        <w:rPr>
          <w:rFonts w:ascii="宋体" w:hAnsi="宋体" w:eastAsia="宋体" w:cs="宋体"/>
          <w:color w:val="auto"/>
          <w:spacing w:val="37"/>
          <w:sz w:val="21"/>
          <w:szCs w:val="21"/>
          <w:highlight w:val="none"/>
        </w:rPr>
        <w:t xml:space="preserve"> </w:t>
      </w:r>
      <w:r>
        <w:rPr>
          <w:rFonts w:ascii="宋体" w:hAnsi="宋体" w:eastAsia="宋体" w:cs="宋体"/>
          <w:color w:val="auto"/>
          <w:spacing w:val="-5"/>
          <w:sz w:val="21"/>
          <w:szCs w:val="21"/>
          <w:highlight w:val="none"/>
        </w:rPr>
        <w:t xml:space="preserve">出现第 </w:t>
      </w:r>
      <w:r>
        <w:rPr>
          <w:rFonts w:ascii="Times New Roman" w:hAnsi="Times New Roman" w:eastAsia="Times New Roman" w:cs="Times New Roman"/>
          <w:color w:val="auto"/>
          <w:spacing w:val="-5"/>
          <w:sz w:val="21"/>
          <w:szCs w:val="21"/>
          <w:highlight w:val="none"/>
        </w:rPr>
        <w:t>16.2.1</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5"/>
          <w:sz w:val="21"/>
          <w:szCs w:val="21"/>
          <w:highlight w:val="none"/>
        </w:rPr>
        <w:t>项〔承包人违约的情形〕第（</w:t>
      </w:r>
      <w:r>
        <w:rPr>
          <w:rFonts w:ascii="Times New Roman" w:hAnsi="Times New Roman" w:eastAsia="Times New Roman" w:cs="Times New Roman"/>
          <w:color w:val="auto"/>
          <w:spacing w:val="-5"/>
          <w:sz w:val="21"/>
          <w:szCs w:val="21"/>
          <w:highlight w:val="none"/>
        </w:rPr>
        <w:t>7</w:t>
      </w:r>
      <w:r>
        <w:rPr>
          <w:rFonts w:ascii="宋体" w:hAnsi="宋体" w:eastAsia="宋体" w:cs="宋体"/>
          <w:color w:val="auto"/>
          <w:spacing w:val="-5"/>
          <w:sz w:val="21"/>
          <w:szCs w:val="21"/>
          <w:highlight w:val="none"/>
        </w:rPr>
        <w:t>）目约定的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违约情况时， 或监理人发出整改通知后， 承包人在</w:t>
      </w:r>
      <w:r>
        <w:rPr>
          <w:rFonts w:ascii="宋体" w:hAnsi="宋体" w:eastAsia="宋体" w:cs="宋体"/>
          <w:color w:val="auto"/>
          <w:spacing w:val="-3"/>
          <w:sz w:val="21"/>
          <w:szCs w:val="21"/>
          <w:highlight w:val="none"/>
        </w:rPr>
        <w:t>指定的合理期限内仍不纠正违约行为并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致使合同目的不能实现的，发包人有权解除合同。合同解除后，</w:t>
      </w:r>
      <w:r>
        <w:rPr>
          <w:rFonts w:ascii="宋体" w:hAnsi="宋体" w:eastAsia="宋体" w:cs="宋体"/>
          <w:color w:val="auto"/>
          <w:spacing w:val="2"/>
          <w:sz w:val="21"/>
          <w:szCs w:val="21"/>
          <w:highlight w:val="none"/>
        </w:rPr>
        <w:t>因继续完成工程的需要，</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发包人有权使用承包人在施工现场的材料、设备、临时工程、承包人文件和</w:t>
      </w:r>
      <w:r>
        <w:rPr>
          <w:rFonts w:ascii="宋体" w:hAnsi="宋体" w:eastAsia="宋体" w:cs="宋体"/>
          <w:color w:val="auto"/>
          <w:spacing w:val="2"/>
          <w:sz w:val="21"/>
          <w:szCs w:val="21"/>
          <w:highlight w:val="none"/>
        </w:rPr>
        <w:t>由承包人或以</w:t>
      </w:r>
      <w:r>
        <w:rPr>
          <w:rFonts w:ascii="宋体" w:hAnsi="宋体" w:eastAsia="宋体" w:cs="宋体"/>
          <w:color w:val="auto"/>
          <w:sz w:val="21"/>
          <w:szCs w:val="21"/>
          <w:highlight w:val="none"/>
        </w:rPr>
        <w:t xml:space="preserve"> 其名义编制的其他文件，合同当事人应在专用合同条款约定相应费用的承担方式。 发包人</w:t>
      </w:r>
    </w:p>
    <w:p w14:paraId="669542F2">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继续使用的行为不免除或减轻承包人应承担的违约责</w:t>
      </w:r>
      <w:r>
        <w:rPr>
          <w:rFonts w:ascii="宋体" w:hAnsi="宋体" w:eastAsia="宋体" w:cs="宋体"/>
          <w:color w:val="auto"/>
          <w:spacing w:val="-2"/>
          <w:sz w:val="21"/>
          <w:szCs w:val="21"/>
          <w:highlight w:val="none"/>
        </w:rPr>
        <w:t>任。</w:t>
      </w:r>
    </w:p>
    <w:p w14:paraId="2BC73092">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16.2.4</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3"/>
          <w:sz w:val="21"/>
          <w:szCs w:val="21"/>
          <w:highlight w:val="none"/>
        </w:rPr>
        <w:t>因承包人违约解除合同后的处理</w:t>
      </w:r>
    </w:p>
    <w:p w14:paraId="1745D6E8">
      <w:pPr>
        <w:spacing w:before="147" w:line="404" w:lineRule="exact"/>
        <w:ind w:right="7"/>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因承包人原因导致合同解除的，则合同当事人应在合同解除后</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28</w:t>
      </w:r>
      <w:r>
        <w:rPr>
          <w:rFonts w:ascii="Times New Roman" w:hAnsi="Times New Roman" w:eastAsia="Times New Roman" w:cs="Times New Roman"/>
          <w:color w:val="auto"/>
          <w:spacing w:val="13"/>
          <w:position w:val="14"/>
          <w:sz w:val="21"/>
          <w:szCs w:val="21"/>
          <w:highlight w:val="none"/>
        </w:rPr>
        <w:t xml:space="preserve"> </w:t>
      </w:r>
      <w:r>
        <w:rPr>
          <w:rFonts w:ascii="宋体" w:hAnsi="宋体" w:eastAsia="宋体" w:cs="宋体"/>
          <w:color w:val="auto"/>
          <w:spacing w:val="-1"/>
          <w:position w:val="14"/>
          <w:sz w:val="21"/>
          <w:szCs w:val="21"/>
          <w:highlight w:val="none"/>
        </w:rPr>
        <w:t>天内完成</w:t>
      </w:r>
      <w:r>
        <w:rPr>
          <w:rFonts w:ascii="宋体" w:hAnsi="宋体" w:eastAsia="宋体" w:cs="宋体"/>
          <w:color w:val="auto"/>
          <w:spacing w:val="-2"/>
          <w:position w:val="14"/>
          <w:sz w:val="21"/>
          <w:szCs w:val="21"/>
          <w:highlight w:val="none"/>
        </w:rPr>
        <w:t>估价、付款</w:t>
      </w:r>
    </w:p>
    <w:p w14:paraId="077A8B73">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和清算，并按以下约定执行：</w:t>
      </w:r>
    </w:p>
    <w:p w14:paraId="150F9F1E">
      <w:pPr>
        <w:spacing w:before="148" w:line="399"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 xml:space="preserve">）合同解除后，按第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7"/>
          <w:w w:val="101"/>
          <w:position w:val="14"/>
          <w:sz w:val="21"/>
          <w:szCs w:val="21"/>
          <w:highlight w:val="none"/>
        </w:rPr>
        <w:t xml:space="preserve"> </w:t>
      </w:r>
      <w:r>
        <w:rPr>
          <w:rFonts w:ascii="宋体" w:hAnsi="宋体" w:eastAsia="宋体" w:cs="宋体"/>
          <w:color w:val="auto"/>
          <w:spacing w:val="-1"/>
          <w:position w:val="14"/>
          <w:sz w:val="21"/>
          <w:szCs w:val="21"/>
          <w:highlight w:val="none"/>
        </w:rPr>
        <w:t>款〔商定或确定〕商定或确定承包人实际完成工作对应的</w:t>
      </w:r>
    </w:p>
    <w:p w14:paraId="5A601930">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合同价款，</w:t>
      </w:r>
      <w:r>
        <w:rPr>
          <w:rFonts w:ascii="宋体" w:hAnsi="宋体" w:eastAsia="宋体" w:cs="宋体"/>
          <w:color w:val="auto"/>
          <w:spacing w:val="75"/>
          <w:sz w:val="21"/>
          <w:szCs w:val="21"/>
          <w:highlight w:val="none"/>
        </w:rPr>
        <w:t xml:space="preserve"> </w:t>
      </w:r>
      <w:r>
        <w:rPr>
          <w:rFonts w:ascii="宋体" w:hAnsi="宋体" w:eastAsia="宋体" w:cs="宋体"/>
          <w:color w:val="auto"/>
          <w:spacing w:val="-6"/>
          <w:sz w:val="21"/>
          <w:szCs w:val="21"/>
          <w:highlight w:val="none"/>
        </w:rPr>
        <w:t>以及承包人已提供的材料、工程设备、施工设备和临</w:t>
      </w:r>
      <w:r>
        <w:rPr>
          <w:rFonts w:ascii="宋体" w:hAnsi="宋体" w:eastAsia="宋体" w:cs="宋体"/>
          <w:color w:val="auto"/>
          <w:spacing w:val="-7"/>
          <w:sz w:val="21"/>
          <w:szCs w:val="21"/>
          <w:highlight w:val="none"/>
        </w:rPr>
        <w:t>时工程等的价值；</w:t>
      </w:r>
    </w:p>
    <w:p w14:paraId="30C335A4">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）合同解除后，承包人应支付的违约金；</w:t>
      </w:r>
    </w:p>
    <w:p w14:paraId="0923EF3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）合同解除后，因解除合同给发包人造成的损失；</w:t>
      </w:r>
    </w:p>
    <w:p w14:paraId="191C2E70">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）合同解除后，承包人应按照发包人要求和监理人的指示完成现场的清理和撤离；</w:t>
      </w:r>
    </w:p>
    <w:p w14:paraId="7DC6E17E">
      <w:pPr>
        <w:spacing w:before="153" w:line="399" w:lineRule="exact"/>
        <w:ind w:right="12"/>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5</w:t>
      </w:r>
      <w:r>
        <w:rPr>
          <w:rFonts w:ascii="宋体" w:hAnsi="宋体" w:eastAsia="宋体" w:cs="宋体"/>
          <w:color w:val="auto"/>
          <w:spacing w:val="-5"/>
          <w:position w:val="14"/>
          <w:sz w:val="21"/>
          <w:szCs w:val="21"/>
          <w:highlight w:val="none"/>
        </w:rPr>
        <w:t>）发包人和承包人应在合同解除后进行清算，</w:t>
      </w:r>
      <w:r>
        <w:rPr>
          <w:rFonts w:ascii="宋体" w:hAnsi="宋体" w:eastAsia="宋体" w:cs="宋体"/>
          <w:color w:val="auto"/>
          <w:spacing w:val="82"/>
          <w:position w:val="14"/>
          <w:sz w:val="21"/>
          <w:szCs w:val="21"/>
          <w:highlight w:val="none"/>
        </w:rPr>
        <w:t xml:space="preserve"> </w:t>
      </w:r>
      <w:r>
        <w:rPr>
          <w:rFonts w:ascii="宋体" w:hAnsi="宋体" w:eastAsia="宋体" w:cs="宋体"/>
          <w:color w:val="auto"/>
          <w:spacing w:val="-5"/>
          <w:position w:val="14"/>
          <w:sz w:val="21"/>
          <w:szCs w:val="21"/>
          <w:highlight w:val="none"/>
        </w:rPr>
        <w:t>出具最终结清付款证书，结清全部款</w:t>
      </w:r>
    </w:p>
    <w:p w14:paraId="239FEA2E">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项。</w:t>
      </w:r>
    </w:p>
    <w:p w14:paraId="1AAD671B">
      <w:pPr>
        <w:spacing w:before="147" w:line="352" w:lineRule="auto"/>
        <w:ind w:left="21" w:right="4"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因承包人违约解除合同的， 发包人有权暂停对承包人的付款，查清各项</w:t>
      </w:r>
      <w:r>
        <w:rPr>
          <w:rFonts w:ascii="宋体" w:hAnsi="宋体" w:eastAsia="宋体" w:cs="宋体"/>
          <w:color w:val="auto"/>
          <w:spacing w:val="-1"/>
          <w:sz w:val="21"/>
          <w:szCs w:val="21"/>
          <w:highlight w:val="none"/>
        </w:rPr>
        <w:t>付款和已扣款</w:t>
      </w:r>
      <w:r>
        <w:rPr>
          <w:rFonts w:ascii="宋体" w:hAnsi="宋体" w:eastAsia="宋体" w:cs="宋体"/>
          <w:color w:val="auto"/>
          <w:sz w:val="21"/>
          <w:szCs w:val="21"/>
          <w:highlight w:val="none"/>
        </w:rPr>
        <w:t xml:space="preserve"> 项。发包人和承包人未能就合同解除后的清算和款项支付达成</w:t>
      </w:r>
      <w:r>
        <w:rPr>
          <w:rFonts w:ascii="宋体" w:hAnsi="宋体" w:eastAsia="宋体" w:cs="宋体"/>
          <w:color w:val="auto"/>
          <w:spacing w:val="-1"/>
          <w:sz w:val="21"/>
          <w:szCs w:val="21"/>
          <w:highlight w:val="none"/>
        </w:rPr>
        <w:t>一致的，按照第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条〔争议</w:t>
      </w:r>
    </w:p>
    <w:p w14:paraId="736496C8">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解决〕的约定处理。</w:t>
      </w:r>
    </w:p>
    <w:p w14:paraId="7D113402">
      <w:pPr>
        <w:spacing w:line="220" w:lineRule="auto"/>
        <w:rPr>
          <w:rFonts w:ascii="宋体" w:hAnsi="宋体" w:eastAsia="宋体" w:cs="宋体"/>
          <w:color w:val="auto"/>
          <w:sz w:val="21"/>
          <w:szCs w:val="21"/>
          <w:highlight w:val="none"/>
        </w:rPr>
        <w:sectPr>
          <w:footerReference r:id="rId88" w:type="default"/>
          <w:pgSz w:w="11905" w:h="16839"/>
          <w:pgMar w:top="1431" w:right="1785" w:bottom="1004" w:left="1785" w:header="0" w:footer="828" w:gutter="0"/>
          <w:pgNumType w:fmt="decimal"/>
          <w:cols w:space="720" w:num="1"/>
        </w:sectPr>
      </w:pPr>
    </w:p>
    <w:p w14:paraId="5AFB29B9">
      <w:pPr>
        <w:spacing w:before="14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16.2.5 </w:t>
      </w:r>
      <w:r>
        <w:rPr>
          <w:rFonts w:ascii="宋体" w:hAnsi="宋体" w:eastAsia="宋体" w:cs="宋体"/>
          <w:color w:val="auto"/>
          <w:spacing w:val="-2"/>
          <w:sz w:val="21"/>
          <w:szCs w:val="21"/>
          <w:highlight w:val="none"/>
        </w:rPr>
        <w:t>采购合同权益转让</w:t>
      </w:r>
    </w:p>
    <w:p w14:paraId="4A925A22">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因承包人违约解除合同的， 发包人有权要求承包人将其为实施合同</w:t>
      </w:r>
      <w:r>
        <w:rPr>
          <w:rFonts w:ascii="宋体" w:hAnsi="宋体" w:eastAsia="宋体" w:cs="宋体"/>
          <w:color w:val="auto"/>
          <w:spacing w:val="-1"/>
          <w:position w:val="14"/>
          <w:sz w:val="21"/>
          <w:szCs w:val="21"/>
          <w:highlight w:val="none"/>
        </w:rPr>
        <w:t>而签订的材料和设</w:t>
      </w:r>
    </w:p>
    <w:p w14:paraId="194A15DB">
      <w:pPr>
        <w:spacing w:line="219" w:lineRule="auto"/>
        <w:ind w:right="2"/>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备的采购合同的权益转让给发包人，承包人应在收到解除合同通知后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3"/>
          <w:w w:val="101"/>
          <w:sz w:val="21"/>
          <w:szCs w:val="21"/>
          <w:highlight w:val="none"/>
        </w:rPr>
        <w:t xml:space="preserve"> </w:t>
      </w:r>
      <w:r>
        <w:rPr>
          <w:rFonts w:ascii="宋体" w:hAnsi="宋体" w:eastAsia="宋体" w:cs="宋体"/>
          <w:color w:val="auto"/>
          <w:spacing w:val="-4"/>
          <w:sz w:val="21"/>
          <w:szCs w:val="21"/>
          <w:highlight w:val="none"/>
        </w:rPr>
        <w:t>天内， 协助发包人</w:t>
      </w:r>
    </w:p>
    <w:p w14:paraId="227AA6A6">
      <w:pPr>
        <w:spacing w:before="148"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与采购合同的供应商达成相关的转让协议。</w:t>
      </w:r>
    </w:p>
    <w:p w14:paraId="3CC580E7">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16.3 第三人造成的违约</w:t>
      </w:r>
    </w:p>
    <w:p w14:paraId="11ACA1C0">
      <w:pPr>
        <w:spacing w:before="130"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在履行合同过程中， 一方当事人因第三人的原因造成违约的，应当向对方当事人承担</w:t>
      </w:r>
    </w:p>
    <w:p w14:paraId="483AF138">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违约责任。</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一方当事人和第三人之间的纠纷，依照法律规定或者按照约定解决。</w:t>
      </w:r>
    </w:p>
    <w:p w14:paraId="275608F3">
      <w:pPr>
        <w:spacing w:before="174" w:line="219"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17.不可抗力</w:t>
      </w:r>
    </w:p>
    <w:p w14:paraId="4F47D653">
      <w:pPr>
        <w:spacing w:before="1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17.1 不可抗力的确认</w:t>
      </w:r>
    </w:p>
    <w:p w14:paraId="291F4487">
      <w:pPr>
        <w:spacing w:before="129" w:line="353" w:lineRule="auto"/>
        <w:ind w:left="23" w:right="6"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不可抗力是指合同当事人在签订合同时不可预见，在合同履行过程中不可避免且不能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克服的自然灾害和社会性突发事件，如地震、海啸、瘟疫、骚乱</w:t>
      </w:r>
      <w:r>
        <w:rPr>
          <w:rFonts w:ascii="宋体" w:hAnsi="宋体" w:eastAsia="宋体" w:cs="宋体"/>
          <w:color w:val="auto"/>
          <w:spacing w:val="2"/>
          <w:sz w:val="21"/>
          <w:szCs w:val="21"/>
          <w:highlight w:val="none"/>
        </w:rPr>
        <w:t>、戒严、暴动、战争和专</w:t>
      </w:r>
    </w:p>
    <w:p w14:paraId="1E94B80B">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用合同条款中约定的其他情形。</w:t>
      </w:r>
    </w:p>
    <w:p w14:paraId="3D13E4F8">
      <w:pPr>
        <w:spacing w:before="148" w:line="352" w:lineRule="auto"/>
        <w:ind w:left="17" w:right="6"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不可抗力发生后，发包人和承包人应收集证明不可抗力发生及不可抗力造成损失的证</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据，并及时认真统计所造成的损失。合同当事人对是否属于不可抗力或其损失</w:t>
      </w:r>
      <w:r>
        <w:rPr>
          <w:rFonts w:ascii="宋体" w:hAnsi="宋体" w:eastAsia="宋体" w:cs="宋体"/>
          <w:color w:val="auto"/>
          <w:spacing w:val="2"/>
          <w:sz w:val="21"/>
          <w:szCs w:val="21"/>
          <w:highlight w:val="none"/>
        </w:rPr>
        <w:t>的意见不一</w:t>
      </w:r>
    </w:p>
    <w:p w14:paraId="25B53E0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致的，由监理人按第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款〔商定或确定〕的约定处理。发生争议时，按第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20</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条〔争议解</w:t>
      </w:r>
    </w:p>
    <w:p w14:paraId="4D5F0EBC">
      <w:pPr>
        <w:spacing w:before="147" w:line="221"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决〕的约定处理。</w:t>
      </w:r>
    </w:p>
    <w:p w14:paraId="2D38D6DA">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17.2 不可抗力的通知</w:t>
      </w:r>
    </w:p>
    <w:p w14:paraId="6DB96F7F">
      <w:pPr>
        <w:spacing w:before="130"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合同一方当事人遇到不可抗力事件， 使其履</w:t>
      </w:r>
      <w:r>
        <w:rPr>
          <w:rFonts w:ascii="宋体" w:hAnsi="宋体" w:eastAsia="宋体" w:cs="宋体"/>
          <w:color w:val="auto"/>
          <w:spacing w:val="-3"/>
          <w:position w:val="14"/>
          <w:sz w:val="21"/>
          <w:szCs w:val="21"/>
          <w:highlight w:val="none"/>
        </w:rPr>
        <w:t>行合同义务受到阻碍时， 应立即通知合同</w:t>
      </w:r>
    </w:p>
    <w:p w14:paraId="5D725663">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另一方当事人和监理人，书面说明不可抗力和受阻碍的详细情况，并提供必要的证明。</w:t>
      </w:r>
    </w:p>
    <w:p w14:paraId="162DB30A">
      <w:pPr>
        <w:spacing w:before="148"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不可抗力持续发生的， 合同一方当事人应及时向合同另一方当事人和监理人提交中间</w:t>
      </w:r>
    </w:p>
    <w:p w14:paraId="15BA3B9D">
      <w:pPr>
        <w:spacing w:line="219" w:lineRule="auto"/>
        <w:ind w:right="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报告，说明不可抗力和履行合同受阻的情况，并于不可抗力事件结束后</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w:t>
      </w:r>
      <w:r>
        <w:rPr>
          <w:rFonts w:ascii="宋体" w:hAnsi="宋体" w:eastAsia="宋体" w:cs="宋体"/>
          <w:color w:val="auto"/>
          <w:spacing w:val="-1"/>
          <w:sz w:val="21"/>
          <w:szCs w:val="21"/>
          <w:highlight w:val="none"/>
        </w:rPr>
        <w:t>提交最终报</w:t>
      </w:r>
    </w:p>
    <w:p w14:paraId="4BC9DB98">
      <w:pPr>
        <w:spacing w:before="154"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告及有关资料。</w:t>
      </w:r>
    </w:p>
    <w:p w14:paraId="494DAEB6">
      <w:pPr>
        <w:spacing w:before="48"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17.3 不可抗力后果的承担</w:t>
      </w:r>
    </w:p>
    <w:p w14:paraId="4DC04B8B">
      <w:pPr>
        <w:spacing w:before="130" w:line="398"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17.3.1</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spacing w:val="3"/>
          <w:position w:val="14"/>
          <w:sz w:val="21"/>
          <w:szCs w:val="21"/>
          <w:highlight w:val="none"/>
        </w:rPr>
        <w:t>不可抗力引起的后果及造成的损失由合同</w:t>
      </w:r>
      <w:r>
        <w:rPr>
          <w:rFonts w:ascii="宋体" w:hAnsi="宋体" w:eastAsia="宋体" w:cs="宋体"/>
          <w:color w:val="auto"/>
          <w:spacing w:val="2"/>
          <w:position w:val="14"/>
          <w:sz w:val="21"/>
          <w:szCs w:val="21"/>
          <w:highlight w:val="none"/>
        </w:rPr>
        <w:t>当事人按照法律规定及合同约定各自</w:t>
      </w:r>
    </w:p>
    <w:p w14:paraId="44505F0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承担。 不可抗力发生前已完成的工程应当按照合同约定进行计量支付。</w:t>
      </w:r>
    </w:p>
    <w:p w14:paraId="317207B3">
      <w:pPr>
        <w:spacing w:before="153" w:line="398" w:lineRule="exact"/>
        <w:ind w:right="27"/>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17.3.2</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position w:val="14"/>
          <w:sz w:val="21"/>
          <w:szCs w:val="21"/>
          <w:highlight w:val="none"/>
        </w:rPr>
        <w:t>不可抗力导致的人员伤亡、财产损失、费</w:t>
      </w:r>
      <w:r>
        <w:rPr>
          <w:rFonts w:ascii="宋体" w:hAnsi="宋体" w:eastAsia="宋体" w:cs="宋体"/>
          <w:color w:val="auto"/>
          <w:spacing w:val="-1"/>
          <w:position w:val="14"/>
          <w:sz w:val="21"/>
          <w:szCs w:val="21"/>
          <w:highlight w:val="none"/>
        </w:rPr>
        <w:t>用增加和（或） 工期延误等后果，由</w:t>
      </w:r>
    </w:p>
    <w:p w14:paraId="17CA111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合同当事人按以下原则承担：</w:t>
      </w:r>
    </w:p>
    <w:p w14:paraId="1B9656F6">
      <w:pPr>
        <w:spacing w:before="147" w:line="403" w:lineRule="exact"/>
        <w:ind w:right="1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）永久工程、已运至施工现场的材料和工程设备的损坏，以及因工</w:t>
      </w:r>
      <w:r>
        <w:rPr>
          <w:rFonts w:ascii="宋体" w:hAnsi="宋体" w:eastAsia="宋体" w:cs="宋体"/>
          <w:color w:val="auto"/>
          <w:spacing w:val="-1"/>
          <w:position w:val="14"/>
          <w:sz w:val="21"/>
          <w:szCs w:val="21"/>
          <w:highlight w:val="none"/>
        </w:rPr>
        <w:t>程损坏造成的第</w:t>
      </w:r>
    </w:p>
    <w:p w14:paraId="0AC5D0A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三人人员伤亡和财产损失由发包人承担；</w:t>
      </w:r>
    </w:p>
    <w:p w14:paraId="494D4A6D">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）承包人施工设备的损坏由承包人承担；</w:t>
      </w:r>
    </w:p>
    <w:p w14:paraId="18629304">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）发包人和承包人承担各自人员伤亡和财产的损失；</w:t>
      </w:r>
    </w:p>
    <w:p w14:paraId="7DA4D060">
      <w:pPr>
        <w:spacing w:before="153" w:line="350" w:lineRule="auto"/>
        <w:ind w:left="31" w:right="11" w:firstLine="41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）因不可抗力影响承包人履行合同约定的义务，已经引起或将引起工期延误</w:t>
      </w:r>
      <w:r>
        <w:rPr>
          <w:rFonts w:ascii="宋体" w:hAnsi="宋体" w:eastAsia="宋体" w:cs="宋体"/>
          <w:color w:val="auto"/>
          <w:spacing w:val="-1"/>
          <w:sz w:val="21"/>
          <w:szCs w:val="21"/>
          <w:highlight w:val="none"/>
        </w:rPr>
        <w:t>的，应</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当顺延工期，</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rPr>
        <w:t>由此导致承包人停工的费用损失由发包人和承包人合理分担， 停工期间必须</w:t>
      </w:r>
    </w:p>
    <w:p w14:paraId="194906F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支付的工人工资由发包人承担；</w:t>
      </w:r>
    </w:p>
    <w:p w14:paraId="6522430C">
      <w:pPr>
        <w:spacing w:before="152" w:line="221" w:lineRule="auto"/>
        <w:ind w:right="25"/>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）因不可抗力引起或将引起工期延误，发包人</w:t>
      </w:r>
      <w:r>
        <w:rPr>
          <w:rFonts w:ascii="宋体" w:hAnsi="宋体" w:eastAsia="宋体" w:cs="宋体"/>
          <w:color w:val="auto"/>
          <w:spacing w:val="-1"/>
          <w:sz w:val="21"/>
          <w:szCs w:val="21"/>
          <w:highlight w:val="none"/>
        </w:rPr>
        <w:t>要求赶工的，由此增加的赶工费用由</w:t>
      </w:r>
    </w:p>
    <w:p w14:paraId="00A95843">
      <w:pPr>
        <w:spacing w:line="221" w:lineRule="auto"/>
        <w:rPr>
          <w:rFonts w:ascii="宋体" w:hAnsi="宋体" w:eastAsia="宋体" w:cs="宋体"/>
          <w:color w:val="auto"/>
          <w:sz w:val="21"/>
          <w:szCs w:val="21"/>
          <w:highlight w:val="none"/>
        </w:rPr>
        <w:sectPr>
          <w:footerReference r:id="rId89" w:type="default"/>
          <w:pgSz w:w="11905" w:h="16839"/>
          <w:pgMar w:top="1431" w:right="1785" w:bottom="1004" w:left="1785" w:header="0" w:footer="828" w:gutter="0"/>
          <w:pgNumType w:fmt="decimal"/>
          <w:cols w:space="720" w:num="1"/>
        </w:sectPr>
      </w:pPr>
    </w:p>
    <w:p w14:paraId="6E60163F">
      <w:pPr>
        <w:spacing w:before="148" w:line="221"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发包人承担；</w:t>
      </w:r>
    </w:p>
    <w:p w14:paraId="0606FC9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）承包人在停工期间按照发包人要求照管、清理和修复工程的费用由发包人承担。</w:t>
      </w:r>
    </w:p>
    <w:p w14:paraId="36204ED6">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不可抗力发生后，合同当事人均应采取措施尽量避免和减少损失的扩大，任何一方当</w:t>
      </w:r>
    </w:p>
    <w:p w14:paraId="1AFC1798">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事人没有采取有效措施导致损失扩大的，应对扩大的损失承担责任。</w:t>
      </w:r>
    </w:p>
    <w:p w14:paraId="0E8736C2">
      <w:pPr>
        <w:spacing w:before="148"/>
        <w:ind w:left="31" w:firstLine="426"/>
        <w:rPr>
          <w:rFonts w:ascii="黑体" w:hAnsi="黑体" w:eastAsia="黑体" w:cs="黑体"/>
          <w:color w:val="auto"/>
          <w:sz w:val="24"/>
          <w:szCs w:val="24"/>
          <w:highlight w:val="none"/>
        </w:rPr>
      </w:pPr>
      <w:r>
        <w:rPr>
          <w:rFonts w:ascii="宋体" w:hAnsi="宋体" w:eastAsia="宋体" w:cs="宋体"/>
          <w:color w:val="auto"/>
          <w:spacing w:val="2"/>
          <w:sz w:val="21"/>
          <w:szCs w:val="21"/>
          <w:highlight w:val="none"/>
        </w:rPr>
        <w:t>因合同一方迟延履行合同义务，在迟延履行期间遭遇不可抗力的，</w:t>
      </w:r>
      <w:r>
        <w:rPr>
          <w:rFonts w:ascii="宋体" w:hAnsi="宋体" w:eastAsia="宋体" w:cs="宋体"/>
          <w:color w:val="auto"/>
          <w:spacing w:val="1"/>
          <w:sz w:val="21"/>
          <w:szCs w:val="21"/>
          <w:highlight w:val="none"/>
        </w:rPr>
        <w:t>不免除其违约责任。</w:t>
      </w:r>
      <w:r>
        <w:rPr>
          <w:rFonts w:ascii="宋体" w:hAnsi="宋体" w:eastAsia="宋体" w:cs="宋体"/>
          <w:color w:val="auto"/>
          <w:sz w:val="21"/>
          <w:szCs w:val="21"/>
          <w:highlight w:val="none"/>
        </w:rPr>
        <w:t xml:space="preserve"> </w:t>
      </w:r>
      <w:r>
        <w:rPr>
          <w:rFonts w:ascii="黑体" w:hAnsi="黑体" w:eastAsia="黑体" w:cs="黑体"/>
          <w:color w:val="auto"/>
          <w:spacing w:val="-4"/>
          <w:sz w:val="24"/>
          <w:szCs w:val="24"/>
          <w:highlight w:val="none"/>
        </w:rPr>
        <w:t>17.4</w:t>
      </w:r>
      <w:r>
        <w:rPr>
          <w:rFonts w:ascii="黑体" w:hAnsi="黑体" w:eastAsia="黑体" w:cs="黑体"/>
          <w:color w:val="auto"/>
          <w:spacing w:val="32"/>
          <w:sz w:val="24"/>
          <w:szCs w:val="24"/>
          <w:highlight w:val="none"/>
        </w:rPr>
        <w:t xml:space="preserve"> </w:t>
      </w:r>
      <w:r>
        <w:rPr>
          <w:rFonts w:ascii="黑体" w:hAnsi="黑体" w:eastAsia="黑体" w:cs="黑体"/>
          <w:color w:val="auto"/>
          <w:spacing w:val="-4"/>
          <w:sz w:val="24"/>
          <w:szCs w:val="24"/>
          <w:highlight w:val="none"/>
        </w:rPr>
        <w:t>因不可抗力解除合同</w:t>
      </w:r>
    </w:p>
    <w:p w14:paraId="13D0405A">
      <w:pPr>
        <w:spacing w:before="131" w:line="350" w:lineRule="auto"/>
        <w:ind w:left="19" w:right="175" w:firstLine="4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因不可抗力导致合同无法履行连续超过</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84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2"/>
          <w:sz w:val="21"/>
          <w:szCs w:val="21"/>
          <w:highlight w:val="none"/>
        </w:rPr>
        <w:t xml:space="preserve">天或累计超过 </w:t>
      </w:r>
      <w:r>
        <w:rPr>
          <w:rFonts w:ascii="Times New Roman" w:hAnsi="Times New Roman" w:eastAsia="Times New Roman" w:cs="Times New Roman"/>
          <w:color w:val="auto"/>
          <w:spacing w:val="-2"/>
          <w:sz w:val="21"/>
          <w:szCs w:val="21"/>
          <w:highlight w:val="none"/>
        </w:rPr>
        <w:t xml:space="preserve">140 </w:t>
      </w:r>
      <w:r>
        <w:rPr>
          <w:rFonts w:ascii="宋体" w:hAnsi="宋体" w:eastAsia="宋体" w:cs="宋体"/>
          <w:color w:val="auto"/>
          <w:spacing w:val="-3"/>
          <w:sz w:val="21"/>
          <w:szCs w:val="21"/>
          <w:highlight w:val="none"/>
        </w:rPr>
        <w:t>天的，发包人和承包人均</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有权解除合同。合同解除后，</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由双方当事人按照第</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pacing w:val="-4"/>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款〔商定或确定〕商定或确定发包人</w:t>
      </w:r>
    </w:p>
    <w:p w14:paraId="08331C64">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应支付的款项，该款项包括：</w:t>
      </w:r>
    </w:p>
    <w:p w14:paraId="3E0235EC">
      <w:pPr>
        <w:spacing w:before="152"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）合同解除前承包人已完成工作的价款；</w:t>
      </w:r>
    </w:p>
    <w:p w14:paraId="2FE2604B">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）承包人为工程订购的并已交付给承包人，或承包人有责任接受交付的材料、</w:t>
      </w:r>
      <w:r>
        <w:rPr>
          <w:rFonts w:ascii="宋体" w:hAnsi="宋体" w:eastAsia="宋体" w:cs="宋体"/>
          <w:color w:val="auto"/>
          <w:spacing w:val="-1"/>
          <w:position w:val="14"/>
          <w:sz w:val="21"/>
          <w:szCs w:val="21"/>
          <w:highlight w:val="none"/>
        </w:rPr>
        <w:t>工程</w:t>
      </w:r>
    </w:p>
    <w:p w14:paraId="7BD5DF44">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设备和其他物品的价款；</w:t>
      </w:r>
    </w:p>
    <w:p w14:paraId="6674F213">
      <w:pPr>
        <w:spacing w:before="154"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）发包人要求承包人退货或解除订货合同而产生的费用</w:t>
      </w:r>
      <w:r>
        <w:rPr>
          <w:rFonts w:ascii="宋体" w:hAnsi="宋体" w:eastAsia="宋体" w:cs="宋体"/>
          <w:color w:val="auto"/>
          <w:spacing w:val="-1"/>
          <w:sz w:val="21"/>
          <w:szCs w:val="21"/>
          <w:highlight w:val="none"/>
        </w:rPr>
        <w:t>，或因不能退货或解除合同</w:t>
      </w:r>
    </w:p>
    <w:p w14:paraId="4D239464">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而产生的损失；</w:t>
      </w:r>
    </w:p>
    <w:p w14:paraId="503EC52A">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）承包人撤离施工现场以及遣散承包人人员的费用；</w:t>
      </w:r>
    </w:p>
    <w:p w14:paraId="2CF47F0A">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5</w:t>
      </w:r>
      <w:r>
        <w:rPr>
          <w:rFonts w:ascii="宋体" w:hAnsi="宋体" w:eastAsia="宋体" w:cs="宋体"/>
          <w:color w:val="auto"/>
          <w:spacing w:val="-2"/>
          <w:position w:val="14"/>
          <w:sz w:val="21"/>
          <w:szCs w:val="21"/>
          <w:highlight w:val="none"/>
        </w:rPr>
        <w:t>）按照合同约定在合同解除前应支付给承包人的其他款项；</w:t>
      </w:r>
    </w:p>
    <w:p w14:paraId="1DF40F1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）扣减承包人按照合同约定应向发包人支付的款项；</w:t>
      </w:r>
    </w:p>
    <w:p w14:paraId="10ADE1F4">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）双方商定或确定的其他款项。</w:t>
      </w:r>
    </w:p>
    <w:p w14:paraId="22CEA91B">
      <w:pPr>
        <w:spacing w:before="151"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 合同解除后，发包</w:t>
      </w:r>
      <w:r>
        <w:rPr>
          <w:rFonts w:ascii="宋体" w:hAnsi="宋体" w:eastAsia="宋体" w:cs="宋体"/>
          <w:color w:val="auto"/>
          <w:spacing w:val="-4"/>
          <w:position w:val="14"/>
          <w:sz w:val="21"/>
          <w:szCs w:val="21"/>
          <w:highlight w:val="none"/>
        </w:rPr>
        <w:t>人应在商定或确定上述款项后</w:t>
      </w:r>
      <w:r>
        <w:rPr>
          <w:rFonts w:ascii="宋体" w:hAnsi="宋体" w:eastAsia="宋体" w:cs="宋体"/>
          <w:color w:val="auto"/>
          <w:spacing w:val="-30"/>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28</w:t>
      </w:r>
      <w:r>
        <w:rPr>
          <w:rFonts w:ascii="Times New Roman" w:hAnsi="Times New Roman" w:eastAsia="Times New Roman" w:cs="Times New Roman"/>
          <w:color w:val="auto"/>
          <w:spacing w:val="13"/>
          <w:w w:val="101"/>
          <w:position w:val="14"/>
          <w:sz w:val="21"/>
          <w:szCs w:val="21"/>
          <w:highlight w:val="none"/>
        </w:rPr>
        <w:t xml:space="preserve"> </w:t>
      </w:r>
      <w:r>
        <w:rPr>
          <w:rFonts w:ascii="宋体" w:hAnsi="宋体" w:eastAsia="宋体" w:cs="宋体"/>
          <w:color w:val="auto"/>
          <w:spacing w:val="-4"/>
          <w:position w:val="14"/>
          <w:sz w:val="21"/>
          <w:szCs w:val="21"/>
          <w:highlight w:val="none"/>
        </w:rPr>
        <w:t>天内</w:t>
      </w:r>
    </w:p>
    <w:p w14:paraId="48AA020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完成上述款项的支付。</w:t>
      </w:r>
    </w:p>
    <w:p w14:paraId="26E265B3">
      <w:pPr>
        <w:spacing w:before="174"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18.保险</w:t>
      </w:r>
    </w:p>
    <w:p w14:paraId="0D698FE7">
      <w:pPr>
        <w:spacing w:before="144"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18.1 工程保险</w:t>
      </w:r>
    </w:p>
    <w:p w14:paraId="680291AC">
      <w:pPr>
        <w:spacing w:before="128" w:line="221"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除专用合同条款另有约定外，发包人应投保建筑工程一切险或安装工程一切险</w:t>
      </w:r>
      <w:r>
        <w:rPr>
          <w:rFonts w:ascii="宋体" w:hAnsi="宋体" w:eastAsia="宋体" w:cs="宋体"/>
          <w:color w:val="auto"/>
          <w:spacing w:val="-1"/>
          <w:sz w:val="21"/>
          <w:szCs w:val="21"/>
          <w:highlight w:val="none"/>
        </w:rPr>
        <w:t>； 发包</w:t>
      </w:r>
    </w:p>
    <w:p w14:paraId="71662645">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人委托承包人投保的，因投保产生的保险费和其他相关费用</w:t>
      </w:r>
      <w:r>
        <w:rPr>
          <w:rFonts w:ascii="宋体" w:hAnsi="宋体" w:eastAsia="宋体" w:cs="宋体"/>
          <w:color w:val="auto"/>
          <w:spacing w:val="-1"/>
          <w:sz w:val="21"/>
          <w:szCs w:val="21"/>
          <w:highlight w:val="none"/>
        </w:rPr>
        <w:t>由发包人承担。</w:t>
      </w:r>
    </w:p>
    <w:p w14:paraId="30B7F998">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18.2 工伤保险</w:t>
      </w:r>
    </w:p>
    <w:p w14:paraId="25703936">
      <w:pPr>
        <w:spacing w:before="129" w:line="352" w:lineRule="auto"/>
        <w:ind w:left="29" w:right="185" w:firstLine="427"/>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18.2.1</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z w:val="21"/>
          <w:szCs w:val="21"/>
          <w:highlight w:val="none"/>
        </w:rPr>
        <w:t>发包人应依照法律规定参加工伤保险， 并为在施工现场的全部员工办理工伤保 险，缴纳工伤保险费， 并要求监理人及由发包人为履行合同聘请的第三方依法</w:t>
      </w:r>
      <w:r>
        <w:rPr>
          <w:rFonts w:ascii="宋体" w:hAnsi="宋体" w:eastAsia="宋体" w:cs="宋体"/>
          <w:color w:val="auto"/>
          <w:spacing w:val="-1"/>
          <w:sz w:val="21"/>
          <w:szCs w:val="21"/>
          <w:highlight w:val="none"/>
        </w:rPr>
        <w:t>参加工伤保</w:t>
      </w:r>
    </w:p>
    <w:p w14:paraId="6E8D8FD9">
      <w:pPr>
        <w:spacing w:line="221" w:lineRule="auto"/>
        <w:ind w:left="29"/>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险。</w:t>
      </w:r>
    </w:p>
    <w:p w14:paraId="08DA11B5">
      <w:pPr>
        <w:spacing w:before="147"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18.2.2</w:t>
      </w:r>
      <w:r>
        <w:rPr>
          <w:rFonts w:ascii="Times New Roman" w:hAnsi="Times New Roman" w:eastAsia="Times New Roman" w:cs="Times New Roman"/>
          <w:color w:val="auto"/>
          <w:spacing w:val="39"/>
          <w:w w:val="101"/>
          <w:position w:val="14"/>
          <w:sz w:val="21"/>
          <w:szCs w:val="21"/>
          <w:highlight w:val="none"/>
        </w:rPr>
        <w:t xml:space="preserve"> </w:t>
      </w:r>
      <w:r>
        <w:rPr>
          <w:rFonts w:ascii="宋体" w:hAnsi="宋体" w:eastAsia="宋体" w:cs="宋体"/>
          <w:color w:val="auto"/>
          <w:position w:val="14"/>
          <w:sz w:val="21"/>
          <w:szCs w:val="21"/>
          <w:highlight w:val="none"/>
        </w:rPr>
        <w:t>承包人应依照法律规定参加工伤保险， 并为其履行合同的全部员工办理工伤保</w:t>
      </w:r>
    </w:p>
    <w:p w14:paraId="38790CD0">
      <w:pPr>
        <w:spacing w:before="1" w:line="219" w:lineRule="auto"/>
        <w:ind w:left="29"/>
        <w:rPr>
          <w:rFonts w:ascii="宋体" w:hAnsi="宋体" w:eastAsia="宋体" w:cs="宋体"/>
          <w:color w:val="auto"/>
          <w:sz w:val="21"/>
          <w:szCs w:val="21"/>
          <w:highlight w:val="none"/>
        </w:rPr>
      </w:pPr>
      <w:r>
        <w:rPr>
          <w:rFonts w:ascii="宋体" w:hAnsi="宋体" w:eastAsia="宋体" w:cs="宋体"/>
          <w:color w:val="auto"/>
          <w:sz w:val="21"/>
          <w:szCs w:val="21"/>
          <w:highlight w:val="none"/>
        </w:rPr>
        <w:t>险，缴纳工伤保险费， 并要求分包人及由承包人为履行合同聘请的第三方依法</w:t>
      </w:r>
      <w:r>
        <w:rPr>
          <w:rFonts w:ascii="宋体" w:hAnsi="宋体" w:eastAsia="宋体" w:cs="宋体"/>
          <w:color w:val="auto"/>
          <w:spacing w:val="-1"/>
          <w:sz w:val="21"/>
          <w:szCs w:val="21"/>
          <w:highlight w:val="none"/>
        </w:rPr>
        <w:t>参加工伤保</w:t>
      </w:r>
    </w:p>
    <w:p w14:paraId="31708AED">
      <w:pPr>
        <w:spacing w:before="153" w:line="221" w:lineRule="auto"/>
        <w:ind w:left="29"/>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险。</w:t>
      </w:r>
    </w:p>
    <w:p w14:paraId="75D0B9AF">
      <w:pPr>
        <w:spacing w:before="45" w:line="220"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18.3</w:t>
      </w:r>
      <w:r>
        <w:rPr>
          <w:rFonts w:ascii="黑体" w:hAnsi="黑体" w:eastAsia="黑体" w:cs="黑体"/>
          <w:color w:val="auto"/>
          <w:spacing w:val="12"/>
          <w:sz w:val="24"/>
          <w:szCs w:val="24"/>
          <w:highlight w:val="none"/>
        </w:rPr>
        <w:t xml:space="preserve"> </w:t>
      </w:r>
      <w:r>
        <w:rPr>
          <w:rFonts w:ascii="黑体" w:hAnsi="黑体" w:eastAsia="黑体" w:cs="黑体"/>
          <w:color w:val="auto"/>
          <w:spacing w:val="-4"/>
          <w:sz w:val="24"/>
          <w:szCs w:val="24"/>
          <w:highlight w:val="none"/>
        </w:rPr>
        <w:t>其他保险</w:t>
      </w:r>
    </w:p>
    <w:p w14:paraId="30B5DA41">
      <w:pPr>
        <w:spacing w:before="128" w:line="398"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发包人和承包人可以为其施工现场的全部人员办理意外伤害保险并支付保险费， 包括</w:t>
      </w:r>
    </w:p>
    <w:p w14:paraId="6CECB30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其员工及为履行合同聘请的第三方的人员，具体事项由合同当事人在专用合同条款约定。</w:t>
      </w:r>
    </w:p>
    <w:p w14:paraId="5EEF7D43">
      <w:pPr>
        <w:spacing w:before="152"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承包人应为其施工设备等办理财产保险。</w:t>
      </w:r>
    </w:p>
    <w:p w14:paraId="4C3E629D">
      <w:pPr>
        <w:spacing w:line="221" w:lineRule="auto"/>
        <w:rPr>
          <w:rFonts w:ascii="宋体" w:hAnsi="宋体" w:eastAsia="宋体" w:cs="宋体"/>
          <w:color w:val="auto"/>
          <w:sz w:val="21"/>
          <w:szCs w:val="21"/>
          <w:highlight w:val="none"/>
        </w:rPr>
        <w:sectPr>
          <w:footerReference r:id="rId90" w:type="default"/>
          <w:pgSz w:w="11905" w:h="16839"/>
          <w:pgMar w:top="1431" w:right="1612" w:bottom="1004" w:left="1785" w:header="0" w:footer="828" w:gutter="0"/>
          <w:pgNumType w:fmt="decimal"/>
          <w:cols w:space="720" w:num="1"/>
        </w:sectPr>
      </w:pPr>
    </w:p>
    <w:p w14:paraId="278DDFFC">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18.4 持续保险</w:t>
      </w:r>
    </w:p>
    <w:p w14:paraId="5EDD2CD4">
      <w:pPr>
        <w:spacing w:before="127" w:line="221"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合同当事人应与保险人保持联系，使保险人能够随时了解工程实施中的变动，并确保</w:t>
      </w:r>
    </w:p>
    <w:p w14:paraId="39126CE5">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按保险合同条款要求持续保险。</w:t>
      </w:r>
    </w:p>
    <w:p w14:paraId="7F07A13E">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18.5 保险凭证</w:t>
      </w:r>
    </w:p>
    <w:p w14:paraId="4FE25707">
      <w:pPr>
        <w:spacing w:before="129" w:line="241" w:lineRule="auto"/>
        <w:ind w:left="31" w:right="160" w:firstLine="410"/>
        <w:rPr>
          <w:rFonts w:ascii="黑体" w:hAnsi="黑体" w:eastAsia="黑体" w:cs="黑体"/>
          <w:color w:val="auto"/>
          <w:sz w:val="24"/>
          <w:szCs w:val="24"/>
          <w:highlight w:val="none"/>
        </w:rPr>
      </w:pPr>
      <w:r>
        <w:rPr>
          <w:rFonts w:ascii="宋体" w:hAnsi="宋体" w:eastAsia="宋体" w:cs="宋体"/>
          <w:color w:val="auto"/>
          <w:spacing w:val="-1"/>
          <w:sz w:val="21"/>
          <w:szCs w:val="21"/>
          <w:highlight w:val="none"/>
        </w:rPr>
        <w:t>合同当事人应及时向另一方当事人提交其已投保的各项保险的凭证和保险单</w:t>
      </w:r>
      <w:r>
        <w:rPr>
          <w:rFonts w:ascii="宋体" w:hAnsi="宋体" w:eastAsia="宋体" w:cs="宋体"/>
          <w:color w:val="auto"/>
          <w:spacing w:val="-2"/>
          <w:sz w:val="21"/>
          <w:szCs w:val="21"/>
          <w:highlight w:val="none"/>
        </w:rPr>
        <w:t>复印件。</w:t>
      </w:r>
      <w:r>
        <w:rPr>
          <w:rFonts w:ascii="宋体" w:hAnsi="宋体" w:eastAsia="宋体" w:cs="宋体"/>
          <w:color w:val="auto"/>
          <w:sz w:val="21"/>
          <w:szCs w:val="21"/>
          <w:highlight w:val="none"/>
        </w:rPr>
        <w:t xml:space="preserve"> </w:t>
      </w:r>
      <w:r>
        <w:rPr>
          <w:rFonts w:ascii="黑体" w:hAnsi="黑体" w:eastAsia="黑体" w:cs="黑体"/>
          <w:color w:val="auto"/>
          <w:spacing w:val="-2"/>
          <w:sz w:val="24"/>
          <w:szCs w:val="24"/>
          <w:highlight w:val="none"/>
        </w:rPr>
        <w:t>18.6 未按约定投保的补救</w:t>
      </w:r>
    </w:p>
    <w:p w14:paraId="1D8284CA">
      <w:pPr>
        <w:spacing w:before="129" w:line="350" w:lineRule="auto"/>
        <w:ind w:left="20" w:right="7" w:firstLine="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18.6.1</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3"/>
          <w:sz w:val="21"/>
          <w:szCs w:val="21"/>
          <w:highlight w:val="none"/>
        </w:rPr>
        <w:t>发包人未按合同约定办理保险，或未能使</w:t>
      </w:r>
      <w:r>
        <w:rPr>
          <w:rFonts w:ascii="宋体" w:hAnsi="宋体" w:eastAsia="宋体" w:cs="宋体"/>
          <w:color w:val="auto"/>
          <w:spacing w:val="2"/>
          <w:sz w:val="21"/>
          <w:szCs w:val="21"/>
          <w:highlight w:val="none"/>
        </w:rPr>
        <w:t>保险持续有效的，则承包人可代为办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理，所需费用由发包人承担。发包人未按合同约定办理保</w:t>
      </w:r>
      <w:r>
        <w:rPr>
          <w:rFonts w:ascii="宋体" w:hAnsi="宋体" w:eastAsia="宋体" w:cs="宋体"/>
          <w:color w:val="auto"/>
          <w:spacing w:val="2"/>
          <w:sz w:val="21"/>
          <w:szCs w:val="21"/>
          <w:highlight w:val="none"/>
        </w:rPr>
        <w:t>险，导致未能得到足额赔偿的，</w:t>
      </w:r>
    </w:p>
    <w:p w14:paraId="78937570">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由发包人负责补足。</w:t>
      </w:r>
    </w:p>
    <w:p w14:paraId="447DDB7E">
      <w:pPr>
        <w:spacing w:before="152" w:line="398" w:lineRule="exact"/>
        <w:ind w:right="7"/>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18.6.2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spacing w:val="3"/>
          <w:position w:val="14"/>
          <w:sz w:val="21"/>
          <w:szCs w:val="21"/>
          <w:highlight w:val="none"/>
        </w:rPr>
        <w:t>承包人未按合同约定办理保险，或未能使保险持</w:t>
      </w:r>
      <w:r>
        <w:rPr>
          <w:rFonts w:ascii="宋体" w:hAnsi="宋体" w:eastAsia="宋体" w:cs="宋体"/>
          <w:color w:val="auto"/>
          <w:spacing w:val="2"/>
          <w:position w:val="14"/>
          <w:sz w:val="21"/>
          <w:szCs w:val="21"/>
          <w:highlight w:val="none"/>
        </w:rPr>
        <w:t>续有效的，则发包人可代为办</w:t>
      </w:r>
    </w:p>
    <w:p w14:paraId="4DAAAEF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理，所需费用由承包人承担。承包人未按合同约定办理保</w:t>
      </w:r>
      <w:r>
        <w:rPr>
          <w:rFonts w:ascii="宋体" w:hAnsi="宋体" w:eastAsia="宋体" w:cs="宋体"/>
          <w:color w:val="auto"/>
          <w:spacing w:val="2"/>
          <w:sz w:val="21"/>
          <w:szCs w:val="21"/>
          <w:highlight w:val="none"/>
        </w:rPr>
        <w:t>险，导致未能得到足额赔偿的，</w:t>
      </w:r>
    </w:p>
    <w:p w14:paraId="7C305FF9">
      <w:pPr>
        <w:spacing w:before="147" w:line="221" w:lineRule="auto"/>
        <w:ind w:left="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由承包人负责补足。</w:t>
      </w:r>
    </w:p>
    <w:p w14:paraId="00B77E40">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18.7 通知义务</w:t>
      </w:r>
    </w:p>
    <w:p w14:paraId="1EFD773E">
      <w:pPr>
        <w:spacing w:before="130" w:line="352" w:lineRule="auto"/>
        <w:ind w:left="18" w:right="6" w:firstLine="43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除专用合同条款另有约定外，发包人变更除工伤保险之外的保</w:t>
      </w:r>
      <w:r>
        <w:rPr>
          <w:rFonts w:ascii="宋体" w:hAnsi="宋体" w:eastAsia="宋体" w:cs="宋体"/>
          <w:color w:val="auto"/>
          <w:spacing w:val="2"/>
          <w:sz w:val="21"/>
          <w:szCs w:val="21"/>
          <w:highlight w:val="none"/>
        </w:rPr>
        <w:t>险合同时，应事先征得</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承包人同意， 并通知监理人； 承包人变更除工伤保</w:t>
      </w:r>
      <w:r>
        <w:rPr>
          <w:rFonts w:ascii="宋体" w:hAnsi="宋体" w:eastAsia="宋体" w:cs="宋体"/>
          <w:color w:val="auto"/>
          <w:spacing w:val="-3"/>
          <w:sz w:val="21"/>
          <w:szCs w:val="21"/>
          <w:highlight w:val="none"/>
        </w:rPr>
        <w:t>险之外的保险合同时，应事先征得发包</w:t>
      </w:r>
    </w:p>
    <w:p w14:paraId="677BC60A">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人同意，并通知监理人。</w:t>
      </w:r>
    </w:p>
    <w:p w14:paraId="42353399">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保险事故发生时，投保人应按照保险合同规定的条件和期限及时向保险人报告。发包</w:t>
      </w:r>
    </w:p>
    <w:p w14:paraId="73EDC46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人和承包人应当在知道保险事故发生后及时通知对方。</w:t>
      </w:r>
    </w:p>
    <w:p w14:paraId="618AAE35">
      <w:pPr>
        <w:spacing w:before="172"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19.索赔</w:t>
      </w:r>
    </w:p>
    <w:p w14:paraId="622B8F9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19.1</w:t>
      </w:r>
      <w:r>
        <w:rPr>
          <w:rFonts w:ascii="黑体" w:hAnsi="黑体" w:eastAsia="黑体" w:cs="黑体"/>
          <w:color w:val="auto"/>
          <w:spacing w:val="-54"/>
          <w:sz w:val="24"/>
          <w:szCs w:val="24"/>
          <w:highlight w:val="none"/>
        </w:rPr>
        <w:t xml:space="preserve"> </w:t>
      </w:r>
      <w:r>
        <w:rPr>
          <w:rFonts w:ascii="黑体" w:hAnsi="黑体" w:eastAsia="黑体" w:cs="黑体"/>
          <w:color w:val="auto"/>
          <w:spacing w:val="-3"/>
          <w:sz w:val="24"/>
          <w:szCs w:val="24"/>
          <w:highlight w:val="none"/>
        </w:rPr>
        <w:t>承包人的索赔</w:t>
      </w:r>
    </w:p>
    <w:p w14:paraId="0676C3A2">
      <w:pPr>
        <w:spacing w:before="129"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根据合同约定， 承包人认为有权得到追加付款和（或） 延长工期的， 应按以下程序向</w:t>
      </w:r>
    </w:p>
    <w:p w14:paraId="0883DE0F">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发包人提出索赔：</w:t>
      </w:r>
    </w:p>
    <w:p w14:paraId="7D14D576">
      <w:pPr>
        <w:spacing w:before="149" w:line="352" w:lineRule="auto"/>
        <w:ind w:left="22" w:right="2"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）承包人应在知道或应当知道索赔事件发生后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天内，向监理人递交索赔意向通</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知书，并说明发生索赔事件的事由；承包人未在前述</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3"/>
          <w:sz w:val="21"/>
          <w:szCs w:val="21"/>
          <w:highlight w:val="none"/>
        </w:rPr>
        <w:t xml:space="preserve">天内发出索赔意向通知书的， </w:t>
      </w:r>
      <w:r>
        <w:rPr>
          <w:rFonts w:ascii="宋体" w:hAnsi="宋体" w:eastAsia="宋体" w:cs="宋体"/>
          <w:color w:val="auto"/>
          <w:spacing w:val="-4"/>
          <w:sz w:val="21"/>
          <w:szCs w:val="21"/>
          <w:highlight w:val="none"/>
        </w:rPr>
        <w:t>丧失</w:t>
      </w:r>
    </w:p>
    <w:p w14:paraId="29D07CF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要求追加付款和（或）延长工期的权利；</w:t>
      </w:r>
    </w:p>
    <w:p w14:paraId="0AA44CCC">
      <w:pPr>
        <w:spacing w:before="149" w:line="352" w:lineRule="auto"/>
        <w:ind w:left="16" w:right="7" w:firstLine="43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 xml:space="preserve">）承包人应在发出索赔意向通知书后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3"/>
          <w:sz w:val="21"/>
          <w:szCs w:val="21"/>
          <w:highlight w:val="none"/>
        </w:rPr>
        <w:t>天内， 向监理人正式递交索赔报告；索赔</w:t>
      </w:r>
      <w:r>
        <w:rPr>
          <w:rFonts w:ascii="宋体" w:hAnsi="宋体" w:eastAsia="宋体" w:cs="宋体"/>
          <w:color w:val="auto"/>
          <w:sz w:val="21"/>
          <w:szCs w:val="21"/>
          <w:highlight w:val="none"/>
        </w:rPr>
        <w:t xml:space="preserve"> 报告应详细说明索赔理由以及要求追加的付款金额和（或） 延长的工期，并附必要的记录</w:t>
      </w:r>
    </w:p>
    <w:p w14:paraId="70744DE7">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和证明材料；</w:t>
      </w:r>
    </w:p>
    <w:p w14:paraId="0895AC7B">
      <w:pPr>
        <w:spacing w:before="149" w:line="398" w:lineRule="exact"/>
        <w:ind w:right="1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3</w:t>
      </w:r>
      <w:r>
        <w:rPr>
          <w:rFonts w:ascii="宋体" w:hAnsi="宋体" w:eastAsia="宋体" w:cs="宋体"/>
          <w:color w:val="auto"/>
          <w:spacing w:val="-4"/>
          <w:position w:val="14"/>
          <w:sz w:val="21"/>
          <w:szCs w:val="21"/>
          <w:highlight w:val="none"/>
        </w:rPr>
        <w:t>）索赔事件具有持续影响的，</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4"/>
          <w:position w:val="14"/>
          <w:sz w:val="21"/>
          <w:szCs w:val="21"/>
          <w:highlight w:val="none"/>
        </w:rPr>
        <w:t>承包人应按合理时间间隔继续递交延</w:t>
      </w:r>
      <w:r>
        <w:rPr>
          <w:rFonts w:ascii="宋体" w:hAnsi="宋体" w:eastAsia="宋体" w:cs="宋体"/>
          <w:color w:val="auto"/>
          <w:spacing w:val="-5"/>
          <w:position w:val="14"/>
          <w:sz w:val="21"/>
          <w:szCs w:val="21"/>
          <w:highlight w:val="none"/>
        </w:rPr>
        <w:t>续索赔通知，说</w:t>
      </w:r>
    </w:p>
    <w:p w14:paraId="76A09038">
      <w:pPr>
        <w:spacing w:before="1" w:line="220"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明持续影响的实际情况和记录，列出累计的追加付款金额和（或）工期延长天数；</w:t>
      </w:r>
    </w:p>
    <w:p w14:paraId="764AE90D">
      <w:pPr>
        <w:spacing w:before="152" w:line="219" w:lineRule="auto"/>
        <w:ind w:right="7"/>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 xml:space="preserve">）在索赔事件影响结束后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天内，承包人应向监理人递交最终索赔报告，说明最</w:t>
      </w:r>
    </w:p>
    <w:p w14:paraId="350A9842">
      <w:pPr>
        <w:spacing w:before="149"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终要求索赔的追加付款金额和（或）延长的工期，并附必要的记录和证明材料。</w:t>
      </w:r>
    </w:p>
    <w:p w14:paraId="6650B398">
      <w:pPr>
        <w:spacing w:before="47" w:line="414" w:lineRule="exact"/>
        <w:ind w:left="31"/>
        <w:rPr>
          <w:rFonts w:ascii="黑体" w:hAnsi="黑体" w:eastAsia="黑体" w:cs="黑体"/>
          <w:color w:val="auto"/>
          <w:sz w:val="24"/>
          <w:szCs w:val="24"/>
          <w:highlight w:val="none"/>
        </w:rPr>
      </w:pPr>
      <w:r>
        <w:rPr>
          <w:rFonts w:ascii="黑体" w:hAnsi="黑体" w:eastAsia="黑体" w:cs="黑体"/>
          <w:color w:val="auto"/>
          <w:spacing w:val="-2"/>
          <w:position w:val="12"/>
          <w:sz w:val="24"/>
          <w:szCs w:val="24"/>
          <w:highlight w:val="none"/>
        </w:rPr>
        <w:t>19.2 对承包人索赔的处理</w:t>
      </w:r>
    </w:p>
    <w:p w14:paraId="181CBCA1">
      <w:pPr>
        <w:spacing w:line="220"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对承包人索赔的处理如下：</w:t>
      </w:r>
    </w:p>
    <w:p w14:paraId="58CEBE0C">
      <w:pPr>
        <w:spacing w:before="153" w:line="219" w:lineRule="auto"/>
        <w:ind w:right="7"/>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）监理人应在收到索赔报告后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1"/>
          <w:sz w:val="21"/>
          <w:szCs w:val="21"/>
          <w:highlight w:val="none"/>
        </w:rPr>
        <w:t>天内完成审查并报送发包人。监理人对索赔报告</w:t>
      </w:r>
    </w:p>
    <w:p w14:paraId="71BFAEF3">
      <w:pPr>
        <w:spacing w:line="219" w:lineRule="auto"/>
        <w:rPr>
          <w:rFonts w:ascii="宋体" w:hAnsi="宋体" w:eastAsia="宋体" w:cs="宋体"/>
          <w:color w:val="auto"/>
          <w:sz w:val="21"/>
          <w:szCs w:val="21"/>
          <w:highlight w:val="none"/>
        </w:rPr>
        <w:sectPr>
          <w:footerReference r:id="rId91" w:type="default"/>
          <w:pgSz w:w="11905" w:h="16839"/>
          <w:pgMar w:top="1431" w:right="1785" w:bottom="1004" w:left="1785" w:header="0" w:footer="828" w:gutter="0"/>
          <w:pgNumType w:fmt="decimal"/>
          <w:cols w:space="720" w:num="1"/>
        </w:sectPr>
      </w:pPr>
    </w:p>
    <w:p w14:paraId="71AE9710">
      <w:pPr>
        <w:spacing w:before="149"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存在异议的，有权要求承包人提交全部原始记录副本；</w:t>
      </w:r>
    </w:p>
    <w:p w14:paraId="0E4A75F3">
      <w:pPr>
        <w:spacing w:before="147" w:line="353" w:lineRule="auto"/>
        <w:ind w:left="19" w:right="1" w:firstLine="428"/>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）发包人应在监理人收到索赔报告或有关索赔的进一步证明材料后的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天内，由</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监理人向承包人出具经发包人签认的索赔处理结果。发包人逾期答复的，则</w:t>
      </w:r>
      <w:r>
        <w:rPr>
          <w:rFonts w:ascii="宋体" w:hAnsi="宋体" w:eastAsia="宋体" w:cs="宋体"/>
          <w:color w:val="auto"/>
          <w:spacing w:val="2"/>
          <w:sz w:val="21"/>
          <w:szCs w:val="21"/>
          <w:highlight w:val="none"/>
        </w:rPr>
        <w:t>视为认可承包</w:t>
      </w:r>
    </w:p>
    <w:p w14:paraId="18AB15ED">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人的索赔要求；</w:t>
      </w:r>
    </w:p>
    <w:p w14:paraId="1E7B857B">
      <w:pPr>
        <w:spacing w:before="147" w:line="221" w:lineRule="auto"/>
        <w:ind w:right="11"/>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）承包人接受索赔处理结果的，索赔款项在当期进度款中进行</w:t>
      </w:r>
      <w:r>
        <w:rPr>
          <w:rFonts w:ascii="宋体" w:hAnsi="宋体" w:eastAsia="宋体" w:cs="宋体"/>
          <w:color w:val="auto"/>
          <w:spacing w:val="-5"/>
          <w:sz w:val="21"/>
          <w:szCs w:val="21"/>
          <w:highlight w:val="none"/>
        </w:rPr>
        <w:t>支付；</w:t>
      </w:r>
      <w:r>
        <w:rPr>
          <w:rFonts w:ascii="宋体" w:hAnsi="宋体" w:eastAsia="宋体" w:cs="宋体"/>
          <w:color w:val="auto"/>
          <w:spacing w:val="53"/>
          <w:sz w:val="21"/>
          <w:szCs w:val="21"/>
          <w:highlight w:val="none"/>
        </w:rPr>
        <w:t xml:space="preserve"> </w:t>
      </w:r>
      <w:r>
        <w:rPr>
          <w:rFonts w:ascii="宋体" w:hAnsi="宋体" w:eastAsia="宋体" w:cs="宋体"/>
          <w:color w:val="auto"/>
          <w:spacing w:val="-5"/>
          <w:sz w:val="21"/>
          <w:szCs w:val="21"/>
          <w:highlight w:val="none"/>
        </w:rPr>
        <w:t>承包人不接受</w:t>
      </w:r>
    </w:p>
    <w:p w14:paraId="58FFBB64">
      <w:pPr>
        <w:spacing w:before="151" w:line="221"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索赔处理结果的，按照第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条〔争议解决〕约定处理。</w:t>
      </w:r>
    </w:p>
    <w:p w14:paraId="3A08E498">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19.3</w:t>
      </w:r>
      <w:r>
        <w:rPr>
          <w:rFonts w:ascii="黑体" w:hAnsi="黑体" w:eastAsia="黑体" w:cs="黑体"/>
          <w:color w:val="auto"/>
          <w:spacing w:val="-43"/>
          <w:sz w:val="24"/>
          <w:szCs w:val="24"/>
          <w:highlight w:val="none"/>
        </w:rPr>
        <w:t xml:space="preserve"> </w:t>
      </w:r>
      <w:r>
        <w:rPr>
          <w:rFonts w:ascii="黑体" w:hAnsi="黑体" w:eastAsia="黑体" w:cs="黑体"/>
          <w:color w:val="auto"/>
          <w:spacing w:val="-4"/>
          <w:sz w:val="24"/>
          <w:szCs w:val="24"/>
          <w:highlight w:val="none"/>
        </w:rPr>
        <w:t>发包人的索赔</w:t>
      </w:r>
    </w:p>
    <w:p w14:paraId="25C1D7C9">
      <w:pPr>
        <w:spacing w:before="130"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根据合同约定， 发包人认为有权得到赔付金额和（或） 延长缺陷责任期的， 监理人应</w:t>
      </w:r>
    </w:p>
    <w:p w14:paraId="1CFE9AB0">
      <w:pPr>
        <w:spacing w:before="1" w:line="219" w:lineRule="auto"/>
        <w:ind w:left="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向承包人发出通知并附有详细的证明。</w:t>
      </w:r>
    </w:p>
    <w:p w14:paraId="071D4BD2">
      <w:pPr>
        <w:spacing w:before="154" w:line="350" w:lineRule="auto"/>
        <w:ind w:left="18" w:right="2"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发包人应在知道或应当知道索赔事件发生后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天内通过监</w:t>
      </w:r>
      <w:r>
        <w:rPr>
          <w:rFonts w:ascii="宋体" w:hAnsi="宋体" w:eastAsia="宋体" w:cs="宋体"/>
          <w:color w:val="auto"/>
          <w:spacing w:val="-1"/>
          <w:sz w:val="21"/>
          <w:szCs w:val="21"/>
          <w:highlight w:val="none"/>
        </w:rPr>
        <w:t>理人向承包人提出索赔意向</w:t>
      </w:r>
      <w:r>
        <w:rPr>
          <w:rFonts w:ascii="宋体" w:hAnsi="宋体" w:eastAsia="宋体" w:cs="宋体"/>
          <w:color w:val="auto"/>
          <w:sz w:val="21"/>
          <w:szCs w:val="21"/>
          <w:highlight w:val="none"/>
        </w:rPr>
        <w:t xml:space="preserve"> 通知书，发包人未在前述</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z w:val="21"/>
          <w:szCs w:val="21"/>
          <w:highlight w:val="none"/>
        </w:rPr>
        <w:t>天内发出索赔意向</w:t>
      </w:r>
      <w:r>
        <w:rPr>
          <w:rFonts w:ascii="宋体" w:hAnsi="宋体" w:eastAsia="宋体" w:cs="宋体"/>
          <w:color w:val="auto"/>
          <w:spacing w:val="-1"/>
          <w:sz w:val="21"/>
          <w:szCs w:val="21"/>
          <w:highlight w:val="none"/>
        </w:rPr>
        <w:t>通知书的，丧失要求赔付金额和（或）延长</w:t>
      </w:r>
    </w:p>
    <w:p w14:paraId="36C8526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缺陷责任期的权利。发包人应在发出索赔意向通知书后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天内，通过监理</w:t>
      </w:r>
      <w:r>
        <w:rPr>
          <w:rFonts w:ascii="宋体" w:hAnsi="宋体" w:eastAsia="宋体" w:cs="宋体"/>
          <w:color w:val="auto"/>
          <w:spacing w:val="-1"/>
          <w:sz w:val="21"/>
          <w:szCs w:val="21"/>
          <w:highlight w:val="none"/>
        </w:rPr>
        <w:t>人向承包人正式</w:t>
      </w:r>
    </w:p>
    <w:p w14:paraId="1F156A5B">
      <w:pPr>
        <w:spacing w:before="154"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递交索赔报告。</w:t>
      </w:r>
    </w:p>
    <w:p w14:paraId="030EE123">
      <w:pPr>
        <w:spacing w:before="48" w:line="413" w:lineRule="exact"/>
        <w:ind w:left="31"/>
        <w:rPr>
          <w:rFonts w:ascii="黑体" w:hAnsi="黑体" w:eastAsia="黑体" w:cs="黑体"/>
          <w:color w:val="auto"/>
          <w:sz w:val="24"/>
          <w:szCs w:val="24"/>
          <w:highlight w:val="none"/>
        </w:rPr>
      </w:pPr>
      <w:r>
        <w:rPr>
          <w:rFonts w:ascii="黑体" w:hAnsi="黑体" w:eastAsia="黑体" w:cs="黑体"/>
          <w:color w:val="auto"/>
          <w:spacing w:val="-2"/>
          <w:position w:val="12"/>
          <w:sz w:val="24"/>
          <w:szCs w:val="24"/>
          <w:highlight w:val="none"/>
        </w:rPr>
        <w:t>19.4 对发包人索赔的处理</w:t>
      </w:r>
    </w:p>
    <w:p w14:paraId="6C2869B2">
      <w:pPr>
        <w:spacing w:before="1" w:line="220"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对发包人索赔的处理如下：</w:t>
      </w:r>
    </w:p>
    <w:p w14:paraId="07DAF926">
      <w:pPr>
        <w:spacing w:before="147"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）承包人收到发包人提交的索赔报告后，应及时审查索赔报告的内容、查验</w:t>
      </w:r>
      <w:r>
        <w:rPr>
          <w:rFonts w:ascii="宋体" w:hAnsi="宋体" w:eastAsia="宋体" w:cs="宋体"/>
          <w:color w:val="auto"/>
          <w:spacing w:val="-1"/>
          <w:position w:val="14"/>
          <w:sz w:val="21"/>
          <w:szCs w:val="21"/>
          <w:highlight w:val="none"/>
        </w:rPr>
        <w:t>发包人</w:t>
      </w:r>
    </w:p>
    <w:p w14:paraId="009AA09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证明材料；</w:t>
      </w:r>
    </w:p>
    <w:p w14:paraId="32D32C19">
      <w:pPr>
        <w:spacing w:before="154" w:line="350" w:lineRule="auto"/>
        <w:ind w:left="23" w:right="1"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）承包人应在收到索赔报告或有关索赔的进一步证明材料后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天内，将索赔处理</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结果答复发包人。如果承包人未在上述期限内作出答复的， 则视为对发包人索赔要求的认</w:t>
      </w:r>
    </w:p>
    <w:p w14:paraId="1B49792C">
      <w:pPr>
        <w:spacing w:before="1" w:line="222"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可；</w:t>
      </w:r>
    </w:p>
    <w:p w14:paraId="446D5A70">
      <w:pPr>
        <w:spacing w:before="149" w:line="399"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）承包人接受索赔处理结果的，发包人可从应支付给承包人的合同价款中扣</w:t>
      </w:r>
      <w:r>
        <w:rPr>
          <w:rFonts w:ascii="宋体" w:hAnsi="宋体" w:eastAsia="宋体" w:cs="宋体"/>
          <w:color w:val="auto"/>
          <w:spacing w:val="-1"/>
          <w:position w:val="14"/>
          <w:sz w:val="21"/>
          <w:szCs w:val="21"/>
          <w:highlight w:val="none"/>
        </w:rPr>
        <w:t>除赔付</w:t>
      </w:r>
    </w:p>
    <w:p w14:paraId="750BE967">
      <w:pPr>
        <w:spacing w:before="1" w:line="220" w:lineRule="auto"/>
        <w:ind w:right="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的金额或延长缺陷责任期；发包人不接受索赔处理结果的，按第</w:t>
      </w:r>
      <w:r>
        <w:rPr>
          <w:rFonts w:ascii="宋体" w:hAnsi="宋体" w:eastAsia="宋体" w:cs="宋体"/>
          <w:color w:val="auto"/>
          <w:spacing w:val="-1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条〔争议解决〕约定处</w:t>
      </w:r>
    </w:p>
    <w:p w14:paraId="69EE87DD">
      <w:pPr>
        <w:spacing w:before="147" w:line="231"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理。</w:t>
      </w:r>
    </w:p>
    <w:p w14:paraId="73DEDAB4">
      <w:pPr>
        <w:spacing w:before="39"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19.5 提出索赔的期限</w:t>
      </w:r>
    </w:p>
    <w:p w14:paraId="51A2FFEB">
      <w:pPr>
        <w:spacing w:before="129" w:line="398"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）承包人按第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14.2</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1"/>
          <w:position w:val="14"/>
          <w:sz w:val="21"/>
          <w:szCs w:val="21"/>
          <w:highlight w:val="none"/>
        </w:rPr>
        <w:t>款〔竣工结算审核〕约定接收竣工付款证书后，应被视为已</w:t>
      </w:r>
      <w:r>
        <w:rPr>
          <w:rFonts w:ascii="宋体" w:hAnsi="宋体" w:eastAsia="宋体" w:cs="宋体"/>
          <w:color w:val="auto"/>
          <w:spacing w:val="-2"/>
          <w:position w:val="14"/>
          <w:sz w:val="21"/>
          <w:szCs w:val="21"/>
          <w:highlight w:val="none"/>
        </w:rPr>
        <w:t>无权</w:t>
      </w:r>
    </w:p>
    <w:p w14:paraId="4128FB0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再提出在工程接收证书颁发前所发生的任何索赔。</w:t>
      </w:r>
    </w:p>
    <w:p w14:paraId="31F79F80">
      <w:pPr>
        <w:spacing w:before="149" w:line="404"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）承包人按第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14.4</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1"/>
          <w:position w:val="14"/>
          <w:sz w:val="21"/>
          <w:szCs w:val="21"/>
          <w:highlight w:val="none"/>
        </w:rPr>
        <w:t>款〔最终结清〕提交的最终结清申请单中，只限于提出工程</w:t>
      </w:r>
      <w:r>
        <w:rPr>
          <w:rFonts w:ascii="宋体" w:hAnsi="宋体" w:eastAsia="宋体" w:cs="宋体"/>
          <w:color w:val="auto"/>
          <w:spacing w:val="-2"/>
          <w:position w:val="14"/>
          <w:sz w:val="21"/>
          <w:szCs w:val="21"/>
          <w:highlight w:val="none"/>
        </w:rPr>
        <w:t>接收</w:t>
      </w:r>
    </w:p>
    <w:p w14:paraId="4D0FAF8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证书颁发后发生的索赔。提出索赔的期限自接受最终结清证书时终止。</w:t>
      </w:r>
    </w:p>
    <w:p w14:paraId="2EB713E8">
      <w:pPr>
        <w:spacing w:before="174" w:line="526" w:lineRule="exact"/>
        <w:ind w:left="20"/>
        <w:rPr>
          <w:rFonts w:ascii="黑体" w:hAnsi="黑体" w:eastAsia="黑体" w:cs="黑体"/>
          <w:color w:val="auto"/>
          <w:sz w:val="32"/>
          <w:szCs w:val="32"/>
          <w:highlight w:val="none"/>
        </w:rPr>
      </w:pPr>
      <w:r>
        <w:rPr>
          <w:rFonts w:ascii="黑体" w:hAnsi="黑体" w:eastAsia="黑体" w:cs="黑体"/>
          <w:color w:val="auto"/>
          <w:spacing w:val="-1"/>
          <w:position w:val="14"/>
          <w:sz w:val="32"/>
          <w:szCs w:val="32"/>
          <w:highlight w:val="none"/>
        </w:rPr>
        <w:t>20.争议解决</w:t>
      </w:r>
    </w:p>
    <w:p w14:paraId="7C97C4E2">
      <w:pPr>
        <w:spacing w:before="1"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20.1</w:t>
      </w:r>
      <w:r>
        <w:rPr>
          <w:rFonts w:ascii="黑体" w:hAnsi="黑体" w:eastAsia="黑体" w:cs="黑体"/>
          <w:color w:val="auto"/>
          <w:spacing w:val="-48"/>
          <w:sz w:val="24"/>
          <w:szCs w:val="24"/>
          <w:highlight w:val="none"/>
        </w:rPr>
        <w:t xml:space="preserve"> </w:t>
      </w:r>
      <w:r>
        <w:rPr>
          <w:rFonts w:ascii="黑体" w:hAnsi="黑体" w:eastAsia="黑体" w:cs="黑体"/>
          <w:color w:val="auto"/>
          <w:spacing w:val="-3"/>
          <w:sz w:val="24"/>
          <w:szCs w:val="24"/>
          <w:highlight w:val="none"/>
        </w:rPr>
        <w:t>和解</w:t>
      </w:r>
    </w:p>
    <w:p w14:paraId="406BFD53">
      <w:pPr>
        <w:spacing w:before="12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合同当事人可以就争议自行和解，自行和解达成协议的经双方签字并盖章后作为合同</w:t>
      </w:r>
    </w:p>
    <w:p w14:paraId="451CA997">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补充文件，</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双方均应遵照执行。</w:t>
      </w:r>
    </w:p>
    <w:p w14:paraId="2D212B72">
      <w:pPr>
        <w:spacing w:before="45" w:line="220"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20.2</w:t>
      </w:r>
      <w:r>
        <w:rPr>
          <w:rFonts w:ascii="黑体" w:hAnsi="黑体" w:eastAsia="黑体" w:cs="黑体"/>
          <w:color w:val="auto"/>
          <w:spacing w:val="-47"/>
          <w:sz w:val="24"/>
          <w:szCs w:val="24"/>
          <w:highlight w:val="none"/>
        </w:rPr>
        <w:t xml:space="preserve"> </w:t>
      </w:r>
      <w:r>
        <w:rPr>
          <w:rFonts w:ascii="黑体" w:hAnsi="黑体" w:eastAsia="黑体" w:cs="黑体"/>
          <w:color w:val="auto"/>
          <w:spacing w:val="-3"/>
          <w:sz w:val="24"/>
          <w:szCs w:val="24"/>
          <w:highlight w:val="none"/>
        </w:rPr>
        <w:t>调解</w:t>
      </w:r>
    </w:p>
    <w:p w14:paraId="458B3CCC">
      <w:pPr>
        <w:spacing w:before="128" w:line="399"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合同当事人可以就争议请求建设行政主管部门、行业协会或其他第三方进行调解，调</w:t>
      </w:r>
    </w:p>
    <w:p w14:paraId="388052E4">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解达成协议的，经双方签字并盖章后作为合同补充文件，双方均应遵照执行。</w:t>
      </w:r>
    </w:p>
    <w:p w14:paraId="62F72D59">
      <w:pPr>
        <w:spacing w:line="219" w:lineRule="auto"/>
        <w:rPr>
          <w:rFonts w:ascii="宋体" w:hAnsi="宋体" w:eastAsia="宋体" w:cs="宋体"/>
          <w:color w:val="auto"/>
          <w:sz w:val="21"/>
          <w:szCs w:val="21"/>
          <w:highlight w:val="none"/>
        </w:rPr>
        <w:sectPr>
          <w:footerReference r:id="rId92" w:type="default"/>
          <w:pgSz w:w="11905" w:h="16839"/>
          <w:pgMar w:top="1431" w:right="1785" w:bottom="1004" w:left="1785" w:header="0" w:footer="828" w:gutter="0"/>
          <w:pgNumType w:fmt="decimal"/>
          <w:cols w:space="720" w:num="1"/>
        </w:sectPr>
      </w:pPr>
    </w:p>
    <w:p w14:paraId="4A7F176F">
      <w:pPr>
        <w:spacing w:before="47"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20.3</w:t>
      </w:r>
      <w:r>
        <w:rPr>
          <w:rFonts w:ascii="黑体" w:hAnsi="黑体" w:eastAsia="黑体" w:cs="黑体"/>
          <w:color w:val="auto"/>
          <w:spacing w:val="-43"/>
          <w:sz w:val="24"/>
          <w:szCs w:val="24"/>
          <w:highlight w:val="none"/>
        </w:rPr>
        <w:t xml:space="preserve"> </w:t>
      </w:r>
      <w:r>
        <w:rPr>
          <w:rFonts w:ascii="黑体" w:hAnsi="黑体" w:eastAsia="黑体" w:cs="黑体"/>
          <w:color w:val="auto"/>
          <w:spacing w:val="-3"/>
          <w:sz w:val="24"/>
          <w:szCs w:val="24"/>
          <w:highlight w:val="none"/>
        </w:rPr>
        <w:t>争议评审</w:t>
      </w:r>
    </w:p>
    <w:p w14:paraId="47301F53">
      <w:pPr>
        <w:spacing w:before="129"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合同当事人在专用合同条款中约定采取争议评审方式解决争议以及评审规则，并按下</w:t>
      </w:r>
    </w:p>
    <w:p w14:paraId="644C279F">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列约定执行：</w:t>
      </w:r>
    </w:p>
    <w:p w14:paraId="5B0A2253">
      <w:pPr>
        <w:spacing w:before="152"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20.3.1 </w:t>
      </w:r>
      <w:r>
        <w:rPr>
          <w:rFonts w:ascii="宋体" w:hAnsi="宋体" w:eastAsia="宋体" w:cs="宋体"/>
          <w:color w:val="auto"/>
          <w:sz w:val="21"/>
          <w:szCs w:val="21"/>
          <w:highlight w:val="none"/>
        </w:rPr>
        <w:t>争议评审小组的确定</w:t>
      </w:r>
    </w:p>
    <w:p w14:paraId="646384F0">
      <w:pPr>
        <w:spacing w:before="148" w:line="352"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合同当事人可以共同选择一名或三名争议评审员，组成争议评审小组。除专用合同条</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 xml:space="preserve">款另有约定外，合同当事人应当自合同签订后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天内，或者争议发</w:t>
      </w:r>
      <w:r>
        <w:rPr>
          <w:rFonts w:ascii="宋体" w:hAnsi="宋体" w:eastAsia="宋体" w:cs="宋体"/>
          <w:color w:val="auto"/>
          <w:spacing w:val="-2"/>
          <w:sz w:val="21"/>
          <w:szCs w:val="21"/>
          <w:highlight w:val="none"/>
        </w:rPr>
        <w:t xml:space="preserve">生后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2"/>
          <w:sz w:val="21"/>
          <w:szCs w:val="21"/>
          <w:highlight w:val="none"/>
        </w:rPr>
        <w:t>天内，选定争</w:t>
      </w:r>
    </w:p>
    <w:p w14:paraId="202EEBAE">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议评审员。</w:t>
      </w:r>
    </w:p>
    <w:p w14:paraId="2FC91C0B">
      <w:pPr>
        <w:spacing w:before="148" w:line="352" w:lineRule="auto"/>
        <w:ind w:left="21" w:right="174" w:firstLine="418"/>
        <w:rPr>
          <w:rFonts w:ascii="宋体" w:hAnsi="宋体" w:eastAsia="宋体" w:cs="宋体"/>
          <w:color w:val="auto"/>
          <w:sz w:val="21"/>
          <w:szCs w:val="21"/>
          <w:highlight w:val="none"/>
        </w:rPr>
      </w:pPr>
      <w:r>
        <w:rPr>
          <w:rFonts w:ascii="宋体" w:hAnsi="宋体" w:eastAsia="宋体" w:cs="宋体"/>
          <w:color w:val="auto"/>
          <w:sz w:val="21"/>
          <w:szCs w:val="21"/>
          <w:highlight w:val="none"/>
        </w:rPr>
        <w:t>选择一名争议评审员的，由合同当事人共同确定；选择三名争议评审员的， 各自选定</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一名， 第三名成员为首席争议评审员，由合同当事人共同确定或由合同当事人委托已选定</w:t>
      </w:r>
    </w:p>
    <w:p w14:paraId="13A300CF">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的争议评审员共同确定，或由专用合同条款约定的评审机构指定第三名首席争议评</w:t>
      </w:r>
      <w:r>
        <w:rPr>
          <w:rFonts w:ascii="宋体" w:hAnsi="宋体" w:eastAsia="宋体" w:cs="宋体"/>
          <w:color w:val="auto"/>
          <w:spacing w:val="-2"/>
          <w:sz w:val="21"/>
          <w:szCs w:val="21"/>
          <w:highlight w:val="none"/>
        </w:rPr>
        <w:t>审员。</w:t>
      </w:r>
    </w:p>
    <w:p w14:paraId="66693577">
      <w:pPr>
        <w:spacing w:before="148" w:line="221"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评审员报酬由发包人和承</w:t>
      </w:r>
      <w:r>
        <w:rPr>
          <w:rFonts w:ascii="宋体" w:hAnsi="宋体" w:eastAsia="宋体" w:cs="宋体"/>
          <w:color w:val="auto"/>
          <w:spacing w:val="-5"/>
          <w:sz w:val="21"/>
          <w:szCs w:val="21"/>
          <w:highlight w:val="none"/>
        </w:rPr>
        <w:t>包人各承担一半。</w:t>
      </w:r>
    </w:p>
    <w:p w14:paraId="1F4B57DD">
      <w:pPr>
        <w:spacing w:before="147"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20.3.2 </w:t>
      </w:r>
      <w:r>
        <w:rPr>
          <w:rFonts w:ascii="宋体" w:hAnsi="宋体" w:eastAsia="宋体" w:cs="宋体"/>
          <w:color w:val="auto"/>
          <w:sz w:val="21"/>
          <w:szCs w:val="21"/>
          <w:highlight w:val="none"/>
        </w:rPr>
        <w:t>争议评审小组的决定</w:t>
      </w:r>
    </w:p>
    <w:p w14:paraId="1C8C709C">
      <w:pPr>
        <w:spacing w:before="153" w:line="221"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合同当事人可在任何时间将与合同有关的任何争议共同提请争议评审小组进</w:t>
      </w:r>
      <w:r>
        <w:rPr>
          <w:rFonts w:ascii="宋体" w:hAnsi="宋体" w:eastAsia="宋体" w:cs="宋体"/>
          <w:color w:val="auto"/>
          <w:spacing w:val="2"/>
          <w:sz w:val="21"/>
          <w:szCs w:val="21"/>
          <w:highlight w:val="none"/>
        </w:rPr>
        <w:t>行评审。</w:t>
      </w:r>
    </w:p>
    <w:p w14:paraId="787B61DA">
      <w:pPr>
        <w:spacing w:before="148" w:line="352" w:lineRule="auto"/>
        <w:ind w:left="19" w:firstLine="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争议评审小组应秉持客观、公正原则，充分听取合同当事人的意见，依据相关法律、</w:t>
      </w:r>
      <w:r>
        <w:rPr>
          <w:rFonts w:ascii="宋体" w:hAnsi="宋体" w:eastAsia="宋体" w:cs="宋体"/>
          <w:color w:val="auto"/>
          <w:spacing w:val="1"/>
          <w:sz w:val="21"/>
          <w:szCs w:val="21"/>
          <w:highlight w:val="none"/>
        </w:rPr>
        <w:t>规范、</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标准、案例经验及商业惯例等，自收到争议评审申请报告后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天内作出书面决定，并说明</w:t>
      </w:r>
    </w:p>
    <w:p w14:paraId="6DB095E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理由。合同当事人可以在专用合同条款中对本项事项</w:t>
      </w:r>
      <w:r>
        <w:rPr>
          <w:rFonts w:ascii="宋体" w:hAnsi="宋体" w:eastAsia="宋体" w:cs="宋体"/>
          <w:color w:val="auto"/>
          <w:spacing w:val="-2"/>
          <w:sz w:val="21"/>
          <w:szCs w:val="21"/>
          <w:highlight w:val="none"/>
        </w:rPr>
        <w:t>另行约定。</w:t>
      </w:r>
    </w:p>
    <w:p w14:paraId="309CFCB1">
      <w:pPr>
        <w:spacing w:before="14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20.3.3 </w:t>
      </w:r>
      <w:r>
        <w:rPr>
          <w:rFonts w:ascii="宋体" w:hAnsi="宋体" w:eastAsia="宋体" w:cs="宋体"/>
          <w:color w:val="auto"/>
          <w:sz w:val="21"/>
          <w:szCs w:val="21"/>
          <w:highlight w:val="none"/>
        </w:rPr>
        <w:t>争议评审小组决定的效力</w:t>
      </w:r>
    </w:p>
    <w:p w14:paraId="1DFFEBDF">
      <w:pPr>
        <w:spacing w:before="148" w:line="403" w:lineRule="exact"/>
        <w:ind w:left="445"/>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争议评审小组作出的书面决定经合同当事人签字确认后，对双方具有约束力，双</w:t>
      </w:r>
      <w:r>
        <w:rPr>
          <w:rFonts w:ascii="宋体" w:hAnsi="宋体" w:eastAsia="宋体" w:cs="宋体"/>
          <w:color w:val="auto"/>
          <w:spacing w:val="2"/>
          <w:position w:val="14"/>
          <w:sz w:val="21"/>
          <w:szCs w:val="21"/>
          <w:highlight w:val="none"/>
        </w:rPr>
        <w:t>方应</w:t>
      </w:r>
    </w:p>
    <w:p w14:paraId="41F9BCDA">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遵照执行。</w:t>
      </w:r>
    </w:p>
    <w:p w14:paraId="7278F3EE">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任何一方当事人不接受争议评审小组决定或不履行争议评审小组决定的，双方可选择</w:t>
      </w:r>
    </w:p>
    <w:p w14:paraId="63E09388">
      <w:pPr>
        <w:spacing w:before="148"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采用其他争议解决方式。</w:t>
      </w:r>
    </w:p>
    <w:p w14:paraId="15624F1E">
      <w:pPr>
        <w:spacing w:before="47" w:line="217"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20.4</w:t>
      </w:r>
      <w:r>
        <w:rPr>
          <w:rFonts w:ascii="黑体" w:hAnsi="黑体" w:eastAsia="黑体" w:cs="黑体"/>
          <w:color w:val="auto"/>
          <w:spacing w:val="-49"/>
          <w:sz w:val="24"/>
          <w:szCs w:val="24"/>
          <w:highlight w:val="none"/>
        </w:rPr>
        <w:t xml:space="preserve"> </w:t>
      </w:r>
      <w:r>
        <w:rPr>
          <w:rFonts w:ascii="黑体" w:hAnsi="黑体" w:eastAsia="黑体" w:cs="黑体"/>
          <w:color w:val="auto"/>
          <w:spacing w:val="-2"/>
          <w:sz w:val="24"/>
          <w:szCs w:val="24"/>
          <w:highlight w:val="none"/>
        </w:rPr>
        <w:t>仲裁或诉讼</w:t>
      </w:r>
    </w:p>
    <w:p w14:paraId="2C05F784">
      <w:pPr>
        <w:spacing w:before="131" w:line="404"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因合同及合同有关事项产生的争议， 合同当事人可以在专用合同条</w:t>
      </w:r>
      <w:r>
        <w:rPr>
          <w:rFonts w:ascii="宋体" w:hAnsi="宋体" w:eastAsia="宋体" w:cs="宋体"/>
          <w:color w:val="auto"/>
          <w:spacing w:val="-1"/>
          <w:position w:val="14"/>
          <w:sz w:val="21"/>
          <w:szCs w:val="21"/>
          <w:highlight w:val="none"/>
        </w:rPr>
        <w:t>款中约定以下一种</w:t>
      </w:r>
    </w:p>
    <w:p w14:paraId="1D0CFB72">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方式解决争议：</w:t>
      </w:r>
    </w:p>
    <w:p w14:paraId="34780AC5">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）向约定的仲裁委员会申请仲裁；</w:t>
      </w:r>
    </w:p>
    <w:p w14:paraId="47FAFD4F">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）向有管辖权的人民法院起诉。</w:t>
      </w:r>
    </w:p>
    <w:p w14:paraId="3DA256C3">
      <w:pPr>
        <w:spacing w:before="52" w:line="218"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20.5</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争议解决条款效力</w:t>
      </w:r>
    </w:p>
    <w:p w14:paraId="6277DDEE">
      <w:pPr>
        <w:spacing w:before="130"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合同有关争议解决的条款独立存在， 合同的变更、解除、终止、无效或者被撤销均不</w:t>
      </w:r>
    </w:p>
    <w:p w14:paraId="01D195A3">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影响其效力。</w:t>
      </w:r>
    </w:p>
    <w:p w14:paraId="01263A0F">
      <w:pPr>
        <w:spacing w:line="220" w:lineRule="auto"/>
        <w:rPr>
          <w:rFonts w:ascii="宋体" w:hAnsi="宋体" w:eastAsia="宋体" w:cs="宋体"/>
          <w:color w:val="auto"/>
          <w:sz w:val="21"/>
          <w:szCs w:val="21"/>
          <w:highlight w:val="none"/>
        </w:rPr>
        <w:sectPr>
          <w:footerReference r:id="rId93" w:type="default"/>
          <w:pgSz w:w="11905" w:h="16839"/>
          <w:pgMar w:top="1431" w:right="1617" w:bottom="1004" w:left="1785" w:header="0" w:footer="828" w:gutter="0"/>
          <w:pgNumType w:fmt="decimal"/>
          <w:cols w:space="720" w:num="1"/>
        </w:sectPr>
      </w:pPr>
    </w:p>
    <w:p w14:paraId="19C32C0F">
      <w:pPr>
        <w:pStyle w:val="5"/>
        <w:rPr>
          <w:color w:val="auto"/>
          <w:highlight w:val="none"/>
        </w:rPr>
      </w:pPr>
    </w:p>
    <w:p w14:paraId="5C1596C2">
      <w:pPr>
        <w:pStyle w:val="5"/>
        <w:rPr>
          <w:color w:val="auto"/>
          <w:highlight w:val="none"/>
        </w:rPr>
      </w:pPr>
    </w:p>
    <w:p w14:paraId="22BDA925">
      <w:pPr>
        <w:pStyle w:val="5"/>
        <w:rPr>
          <w:color w:val="auto"/>
          <w:highlight w:val="none"/>
        </w:rPr>
      </w:pPr>
    </w:p>
    <w:p w14:paraId="5BB2B193">
      <w:pPr>
        <w:pStyle w:val="5"/>
        <w:rPr>
          <w:color w:val="auto"/>
          <w:highlight w:val="none"/>
        </w:rPr>
      </w:pPr>
    </w:p>
    <w:p w14:paraId="0E54224F">
      <w:pPr>
        <w:pStyle w:val="5"/>
        <w:rPr>
          <w:color w:val="auto"/>
          <w:highlight w:val="none"/>
        </w:rPr>
      </w:pPr>
    </w:p>
    <w:p w14:paraId="361472C9">
      <w:pPr>
        <w:pStyle w:val="5"/>
        <w:rPr>
          <w:color w:val="auto"/>
          <w:highlight w:val="none"/>
        </w:rPr>
      </w:pPr>
    </w:p>
    <w:p w14:paraId="505996A6">
      <w:pPr>
        <w:pStyle w:val="5"/>
        <w:rPr>
          <w:color w:val="auto"/>
          <w:highlight w:val="none"/>
        </w:rPr>
      </w:pPr>
    </w:p>
    <w:p w14:paraId="65F4C09A">
      <w:pPr>
        <w:pStyle w:val="5"/>
        <w:rPr>
          <w:color w:val="auto"/>
          <w:highlight w:val="none"/>
        </w:rPr>
      </w:pPr>
    </w:p>
    <w:p w14:paraId="10B0B939">
      <w:pPr>
        <w:pStyle w:val="5"/>
        <w:rPr>
          <w:color w:val="auto"/>
          <w:highlight w:val="none"/>
        </w:rPr>
      </w:pPr>
    </w:p>
    <w:p w14:paraId="257F0898">
      <w:pPr>
        <w:pStyle w:val="5"/>
        <w:rPr>
          <w:color w:val="auto"/>
          <w:highlight w:val="none"/>
        </w:rPr>
      </w:pPr>
    </w:p>
    <w:p w14:paraId="4F1D9B70">
      <w:pPr>
        <w:pStyle w:val="5"/>
        <w:rPr>
          <w:color w:val="auto"/>
          <w:highlight w:val="none"/>
        </w:rPr>
      </w:pPr>
    </w:p>
    <w:p w14:paraId="4A863C6F">
      <w:pPr>
        <w:pStyle w:val="5"/>
        <w:rPr>
          <w:color w:val="auto"/>
          <w:highlight w:val="none"/>
        </w:rPr>
      </w:pPr>
    </w:p>
    <w:p w14:paraId="2CC2F55C">
      <w:pPr>
        <w:spacing w:before="88" w:line="225" w:lineRule="auto"/>
        <w:ind w:left="2744"/>
        <w:outlineLvl w:val="1"/>
        <w:rPr>
          <w:rFonts w:ascii="黑体" w:hAnsi="黑体" w:eastAsia="黑体" w:cs="黑体"/>
          <w:color w:val="auto"/>
          <w:sz w:val="27"/>
          <w:szCs w:val="27"/>
          <w:highlight w:val="none"/>
        </w:rPr>
      </w:pPr>
      <w:bookmarkStart w:id="638" w:name="_Toc453"/>
      <w:bookmarkStart w:id="639" w:name="_Toc6228"/>
      <w:bookmarkStart w:id="640" w:name="_Toc13205"/>
      <w:bookmarkStart w:id="641" w:name="_Toc19121"/>
      <w:r>
        <w:rPr>
          <w:rFonts w:ascii="黑体" w:hAnsi="黑体" w:eastAsia="黑体" w:cs="黑体"/>
          <w:color w:val="auto"/>
          <w:spacing w:val="6"/>
          <w:sz w:val="27"/>
          <w:szCs w:val="27"/>
          <w:highlight w:val="none"/>
        </w:rPr>
        <w:t>第三部分</w:t>
      </w:r>
      <w:r>
        <w:rPr>
          <w:rFonts w:ascii="黑体" w:hAnsi="黑体" w:eastAsia="黑体" w:cs="黑体"/>
          <w:color w:val="auto"/>
          <w:spacing w:val="-42"/>
          <w:sz w:val="27"/>
          <w:szCs w:val="27"/>
          <w:highlight w:val="none"/>
        </w:rPr>
        <w:t xml:space="preserve"> </w:t>
      </w:r>
      <w:r>
        <w:rPr>
          <w:rFonts w:ascii="黑体" w:hAnsi="黑体" w:eastAsia="黑体" w:cs="黑体"/>
          <w:color w:val="auto"/>
          <w:spacing w:val="6"/>
          <w:sz w:val="27"/>
          <w:szCs w:val="27"/>
          <w:highlight w:val="none"/>
        </w:rPr>
        <w:t>专用合同条款</w:t>
      </w:r>
      <w:bookmarkEnd w:id="638"/>
      <w:bookmarkEnd w:id="639"/>
      <w:bookmarkEnd w:id="640"/>
      <w:bookmarkEnd w:id="641"/>
    </w:p>
    <w:p w14:paraId="1B681E5A">
      <w:pPr>
        <w:spacing w:line="225" w:lineRule="auto"/>
        <w:rPr>
          <w:rFonts w:ascii="黑体" w:hAnsi="黑体" w:eastAsia="黑体" w:cs="黑体"/>
          <w:color w:val="auto"/>
          <w:sz w:val="27"/>
          <w:szCs w:val="27"/>
          <w:highlight w:val="none"/>
        </w:rPr>
        <w:sectPr>
          <w:footerReference r:id="rId94" w:type="default"/>
          <w:pgSz w:w="11905" w:h="16839"/>
          <w:pgMar w:top="1431" w:right="1785" w:bottom="1004" w:left="1785" w:header="0" w:footer="828" w:gutter="0"/>
          <w:pgNumType w:fmt="decimal"/>
          <w:cols w:space="720" w:num="1"/>
        </w:sectPr>
      </w:pPr>
    </w:p>
    <w:p w14:paraId="06DBEA25">
      <w:pPr>
        <w:spacing w:before="91" w:line="226" w:lineRule="auto"/>
        <w:ind w:left="3344"/>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专用合同条款</w:t>
      </w:r>
    </w:p>
    <w:p w14:paraId="6B319B38">
      <w:pPr>
        <w:pStyle w:val="5"/>
        <w:spacing w:line="447" w:lineRule="auto"/>
        <w:rPr>
          <w:color w:val="auto"/>
          <w:highlight w:val="none"/>
        </w:rPr>
      </w:pPr>
    </w:p>
    <w:p w14:paraId="22F8A5A2">
      <w:pPr>
        <w:pStyle w:val="22"/>
        <w:spacing w:before="120" w:after="120" w:line="360" w:lineRule="auto"/>
        <w:outlineLvl w:val="9"/>
        <w:rPr>
          <w:rStyle w:val="14"/>
          <w:rFonts w:ascii="宋体" w:hAnsi="宋体" w:eastAsia="宋体"/>
          <w:b w:val="0"/>
          <w:color w:val="auto"/>
          <w:sz w:val="24"/>
          <w:szCs w:val="24"/>
          <w:highlight w:val="none"/>
        </w:rPr>
      </w:pPr>
      <w:bookmarkStart w:id="642" w:name="_Toc12656"/>
      <w:bookmarkStart w:id="643" w:name="_Toc256000322"/>
      <w:bookmarkStart w:id="644" w:name="_Toc256001055"/>
      <w:bookmarkStart w:id="645" w:name="_Toc69461142"/>
      <w:bookmarkStart w:id="646" w:name="_Toc256001285"/>
      <w:bookmarkStart w:id="647" w:name="_Toc256000818"/>
      <w:bookmarkStart w:id="648" w:name="_Toc5946"/>
      <w:bookmarkStart w:id="649" w:name="_Toc69461797"/>
      <w:bookmarkStart w:id="650" w:name="_Toc256000551"/>
      <w:bookmarkStart w:id="651" w:name="_Toc351203633"/>
      <w:r>
        <w:rPr>
          <w:rStyle w:val="14"/>
          <w:rFonts w:ascii="宋体" w:hAnsi="宋体" w:eastAsia="宋体"/>
          <w:b w:val="0"/>
          <w:color w:val="auto"/>
          <w:sz w:val="24"/>
          <w:szCs w:val="24"/>
          <w:highlight w:val="none"/>
        </w:rPr>
        <w:t>1</w:t>
      </w:r>
      <w:bookmarkStart w:id="652" w:name="_Toc297120456"/>
      <w:bookmarkStart w:id="653" w:name="_Toc296347155"/>
      <w:bookmarkStart w:id="654" w:name="_Toc296891196"/>
      <w:bookmarkStart w:id="655" w:name="_Toc297048342"/>
      <w:bookmarkStart w:id="656" w:name="_Toc296346657"/>
      <w:bookmarkStart w:id="657" w:name="_Toc296944495"/>
      <w:bookmarkStart w:id="658" w:name="_Toc296503156"/>
      <w:bookmarkStart w:id="659" w:name="_Toc292559361"/>
      <w:bookmarkStart w:id="660" w:name="_Toc296890984"/>
      <w:bookmarkStart w:id="661" w:name="_Toc292559866"/>
      <w:r>
        <w:rPr>
          <w:rStyle w:val="14"/>
          <w:rFonts w:ascii="宋体" w:hAnsi="宋体" w:eastAsia="宋体"/>
          <w:b w:val="0"/>
          <w:color w:val="auto"/>
          <w:sz w:val="24"/>
          <w:szCs w:val="24"/>
          <w:highlight w:val="none"/>
        </w:rPr>
        <w:t>. 一般约定</w:t>
      </w:r>
      <w:bookmarkEnd w:id="642"/>
      <w:bookmarkEnd w:id="643"/>
      <w:bookmarkEnd w:id="644"/>
      <w:bookmarkEnd w:id="645"/>
      <w:bookmarkEnd w:id="646"/>
      <w:bookmarkEnd w:id="647"/>
      <w:bookmarkEnd w:id="648"/>
      <w:bookmarkEnd w:id="649"/>
      <w:bookmarkEnd w:id="650"/>
      <w:bookmarkEnd w:id="651"/>
    </w:p>
    <w:bookmarkEnd w:id="652"/>
    <w:bookmarkEnd w:id="653"/>
    <w:bookmarkEnd w:id="654"/>
    <w:bookmarkEnd w:id="655"/>
    <w:bookmarkEnd w:id="656"/>
    <w:bookmarkEnd w:id="657"/>
    <w:bookmarkEnd w:id="658"/>
    <w:bookmarkEnd w:id="659"/>
    <w:bookmarkEnd w:id="660"/>
    <w:bookmarkEnd w:id="661"/>
    <w:p w14:paraId="3034BF7F">
      <w:pPr>
        <w:pStyle w:val="20"/>
        <w:spacing w:after="120" w:line="360" w:lineRule="auto"/>
        <w:ind w:firstLine="480" w:firstLineChars="200"/>
        <w:outlineLvl w:val="9"/>
        <w:rPr>
          <w:rStyle w:val="14"/>
          <w:rFonts w:ascii="宋体" w:hAnsi="宋体"/>
          <w:color w:val="auto"/>
          <w:kern w:val="2"/>
          <w:sz w:val="24"/>
          <w:szCs w:val="24"/>
          <w:highlight w:val="none"/>
        </w:rPr>
      </w:pPr>
      <w:bookmarkStart w:id="662" w:name="_Toc256000046"/>
      <w:bookmarkStart w:id="663" w:name="_Toc256000552"/>
      <w:bookmarkStart w:id="664" w:name="_Toc23436"/>
      <w:bookmarkStart w:id="665" w:name="_Toc69461143"/>
      <w:bookmarkStart w:id="666" w:name="_Toc256000819"/>
      <w:bookmarkStart w:id="667" w:name="_Toc12384"/>
      <w:bookmarkStart w:id="668" w:name="_Toc256000323"/>
      <w:bookmarkStart w:id="669" w:name="_Toc25829"/>
      <w:bookmarkStart w:id="670" w:name="_Toc256001056"/>
      <w:bookmarkStart w:id="671" w:name="_Toc69461798"/>
      <w:bookmarkStart w:id="672" w:name="_Toc19244"/>
      <w:bookmarkStart w:id="673" w:name="_Toc256001286"/>
      <w:r>
        <w:rPr>
          <w:rStyle w:val="14"/>
          <w:rFonts w:ascii="宋体" w:hAnsi="宋体"/>
          <w:color w:val="auto"/>
          <w:kern w:val="2"/>
          <w:sz w:val="24"/>
          <w:szCs w:val="24"/>
          <w:highlight w:val="none"/>
        </w:rPr>
        <w:t>1.1 词语定义</w:t>
      </w:r>
      <w:bookmarkEnd w:id="662"/>
      <w:bookmarkEnd w:id="663"/>
      <w:bookmarkEnd w:id="664"/>
      <w:bookmarkEnd w:id="665"/>
      <w:bookmarkEnd w:id="666"/>
      <w:bookmarkEnd w:id="667"/>
      <w:bookmarkEnd w:id="668"/>
      <w:bookmarkEnd w:id="669"/>
      <w:bookmarkEnd w:id="670"/>
      <w:bookmarkEnd w:id="671"/>
      <w:bookmarkEnd w:id="672"/>
      <w:bookmarkEnd w:id="673"/>
    </w:p>
    <w:p w14:paraId="67342A5D">
      <w:pPr>
        <w:pStyle w:val="20"/>
        <w:spacing w:line="360" w:lineRule="auto"/>
        <w:ind w:firstLine="480" w:firstLineChars="200"/>
        <w:rPr>
          <w:rStyle w:val="14"/>
          <w:rFonts w:ascii="宋体" w:hAnsi="宋体"/>
          <w:color w:val="auto"/>
          <w:sz w:val="24"/>
          <w:szCs w:val="24"/>
          <w:highlight w:val="none"/>
        </w:rPr>
      </w:pPr>
      <w:r>
        <w:rPr>
          <w:rStyle w:val="14"/>
          <w:rFonts w:ascii="宋体" w:hAnsi="宋体"/>
          <w:color w:val="auto"/>
          <w:sz w:val="24"/>
          <w:szCs w:val="24"/>
          <w:highlight w:val="none"/>
        </w:rPr>
        <w:t>1.1.1合同</w:t>
      </w:r>
    </w:p>
    <w:p w14:paraId="6F6390E3">
      <w:pPr>
        <w:pStyle w:val="20"/>
        <w:spacing w:line="360" w:lineRule="auto"/>
        <w:ind w:firstLine="480" w:firstLineChars="200"/>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rPr>
        <w:t>1.1.1.10其他合同文件包括：</w:t>
      </w:r>
      <w:r>
        <w:rPr>
          <w:rStyle w:val="14"/>
          <w:rFonts w:ascii="宋体" w:hAnsi="宋体" w:cs="宋体"/>
          <w:color w:val="auto"/>
          <w:kern w:val="2"/>
          <w:sz w:val="24"/>
          <w:szCs w:val="24"/>
          <w:highlight w:val="none"/>
        </w:rPr>
        <w:t></w:t>
      </w:r>
      <w:r>
        <w:rPr>
          <w:rStyle w:val="14"/>
          <w:rFonts w:hint="eastAsia" w:ascii="宋体" w:hAnsi="宋体"/>
          <w:color w:val="auto"/>
          <w:kern w:val="2"/>
          <w:sz w:val="24"/>
          <w:szCs w:val="24"/>
          <w:highlight w:val="none"/>
          <w:u w:val="single"/>
        </w:rPr>
        <w:t>招标文件、投标文件、招投标过程中澄清答疑、合同附件、双方签署的补充协议等。</w:t>
      </w:r>
    </w:p>
    <w:p w14:paraId="00AB3C67">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1.1.2 合同当事人及其他相关方</w:t>
      </w:r>
    </w:p>
    <w:p w14:paraId="005CA344">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1.1.2.4监理人：</w:t>
      </w:r>
    </w:p>
    <w:p w14:paraId="7B968382">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名    称：</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BB704D9">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资质类别和等级：</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418B0F9E">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联系电话：</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71E630FE">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电子信箱：</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6E8FEB60">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通信地址：</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1B433D21">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1.1.2.5 设计人：</w:t>
      </w:r>
    </w:p>
    <w:p w14:paraId="0C99FC24">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名    称：</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41503D48">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资质类别和等级：</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4514CBC1">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联系电话：</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77BBD8A1">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电子信箱：</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E1516FF">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通信地址：</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35835D76">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1.1.3 工程和设备</w:t>
      </w:r>
    </w:p>
    <w:p w14:paraId="6CBAA400">
      <w:pPr>
        <w:pStyle w:val="20"/>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1.1.3.7 作为施工现场组成部分的其他场所包括：</w:t>
      </w:r>
      <w:r>
        <w:rPr>
          <w:rStyle w:val="14"/>
          <w:rFonts w:hint="eastAsia" w:ascii="宋体" w:hAnsi="宋体"/>
          <w:color w:val="auto"/>
          <w:kern w:val="2"/>
          <w:sz w:val="24"/>
          <w:szCs w:val="24"/>
          <w:highlight w:val="none"/>
          <w:u w:val="single"/>
        </w:rPr>
        <w:t xml:space="preserve">           </w:t>
      </w:r>
    </w:p>
    <w:p w14:paraId="1A8D5DAC">
      <w:pPr>
        <w:pStyle w:val="20"/>
        <w:spacing w:line="360" w:lineRule="auto"/>
        <w:rPr>
          <w:rStyle w:val="14"/>
          <w:rFonts w:ascii="宋体" w:hAnsi="宋体"/>
          <w:color w:val="auto"/>
          <w:kern w:val="2"/>
          <w:sz w:val="24"/>
          <w:szCs w:val="24"/>
          <w:highlight w:val="none"/>
        </w:rPr>
      </w:pP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33C35BC2">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1.1.3.9 永久占地包括：</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sz w:val="24"/>
          <w:szCs w:val="24"/>
          <w:highlight w:val="none"/>
        </w:rPr>
        <w:t>。</w:t>
      </w:r>
    </w:p>
    <w:p w14:paraId="132E15AC">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sz w:val="24"/>
          <w:szCs w:val="24"/>
          <w:highlight w:val="none"/>
        </w:rPr>
        <w:t>1.1.3.10 临时占地包括：</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sz w:val="24"/>
          <w:szCs w:val="24"/>
          <w:highlight w:val="none"/>
        </w:rPr>
        <w:t>。</w:t>
      </w:r>
    </w:p>
    <w:p w14:paraId="7FD1435A">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 xml:space="preserve">1.3法律 </w:t>
      </w:r>
    </w:p>
    <w:p w14:paraId="2774124E">
      <w:pPr>
        <w:pStyle w:val="21"/>
        <w:autoSpaceDE w:val="0"/>
        <w:autoSpaceDN w:val="0"/>
        <w:adjustRightInd w:val="0"/>
        <w:spacing w:line="360" w:lineRule="auto"/>
        <w:ind w:firstLine="595" w:firstLineChars="248"/>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适用于合同的其他规范性文件：</w:t>
      </w:r>
      <w:r>
        <w:rPr>
          <w:rStyle w:val="14"/>
          <w:rFonts w:hint="eastAsia" w:ascii="宋体" w:hAnsi="宋体"/>
          <w:color w:val="auto"/>
          <w:kern w:val="2"/>
          <w:sz w:val="24"/>
          <w:szCs w:val="24"/>
          <w:highlight w:val="none"/>
          <w:u w:val="single"/>
        </w:rPr>
        <w:t>《中华人民共和国建筑法》、</w:t>
      </w:r>
      <w:r>
        <w:rPr>
          <w:rStyle w:val="14"/>
          <w:rFonts w:hint="eastAsia" w:ascii="宋体" w:hAnsi="宋体"/>
          <w:color w:val="auto"/>
          <w:kern w:val="2"/>
          <w:sz w:val="24"/>
          <w:szCs w:val="24"/>
          <w:highlight w:val="none"/>
          <w:u w:val="single"/>
          <w:lang w:val="en-US" w:eastAsia="zh-CN"/>
        </w:rPr>
        <w:t xml:space="preserve">       </w:t>
      </w:r>
      <w:r>
        <w:rPr>
          <w:rStyle w:val="14"/>
          <w:rFonts w:hint="eastAsia" w:ascii="宋体" w:hAnsi="宋体"/>
          <w:color w:val="auto"/>
          <w:kern w:val="2"/>
          <w:sz w:val="24"/>
          <w:szCs w:val="24"/>
          <w:highlight w:val="none"/>
          <w:u w:val="single"/>
        </w:rPr>
        <w:t>《中华人民共和国招标投标法》、《中华人民共和国民法典》、《</w:t>
      </w:r>
      <w:r>
        <w:rPr>
          <w:rStyle w:val="14"/>
          <w:rFonts w:hint="eastAsia" w:ascii="宋体" w:hAnsi="宋体"/>
          <w:color w:val="auto"/>
          <w:kern w:val="2"/>
          <w:sz w:val="24"/>
          <w:szCs w:val="24"/>
          <w:highlight w:val="none"/>
          <w:u w:val="single"/>
          <w:lang w:eastAsia="zh-CN"/>
        </w:rPr>
        <w:t>建设工程质量管理条例</w:t>
      </w:r>
      <w:r>
        <w:rPr>
          <w:rStyle w:val="14"/>
          <w:rFonts w:hint="eastAsia" w:ascii="宋体" w:hAnsi="宋体"/>
          <w:color w:val="auto"/>
          <w:kern w:val="2"/>
          <w:sz w:val="24"/>
          <w:szCs w:val="24"/>
          <w:highlight w:val="none"/>
          <w:u w:val="single"/>
        </w:rPr>
        <w:t>》、辽宁省及</w:t>
      </w:r>
      <w:r>
        <w:rPr>
          <w:rStyle w:val="14"/>
          <w:rFonts w:hint="eastAsia" w:ascii="宋体" w:hAnsi="宋体"/>
          <w:color w:val="auto"/>
          <w:kern w:val="2"/>
          <w:sz w:val="24"/>
          <w:szCs w:val="24"/>
          <w:highlight w:val="none"/>
          <w:u w:val="single"/>
          <w:lang w:eastAsia="zh-CN"/>
        </w:rPr>
        <w:t>营口市</w:t>
      </w:r>
      <w:r>
        <w:rPr>
          <w:rStyle w:val="14"/>
          <w:rFonts w:hint="eastAsia" w:ascii="宋体" w:hAnsi="宋体"/>
          <w:color w:val="auto"/>
          <w:kern w:val="2"/>
          <w:sz w:val="24"/>
          <w:szCs w:val="24"/>
          <w:highlight w:val="none"/>
          <w:u w:val="single"/>
        </w:rPr>
        <w:t>相关规定等。</w:t>
      </w:r>
    </w:p>
    <w:p w14:paraId="39816EE0">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1.4 标准和规范</w:t>
      </w:r>
    </w:p>
    <w:p w14:paraId="2409C8D7">
      <w:pPr>
        <w:pStyle w:val="20"/>
        <w:spacing w:line="360" w:lineRule="auto"/>
        <w:ind w:left="596" w:leftChars="284"/>
        <w:rPr>
          <w:rStyle w:val="14"/>
          <w:rFonts w:ascii="宋体" w:hAnsi="宋体"/>
          <w:color w:val="auto"/>
          <w:kern w:val="2"/>
          <w:sz w:val="24"/>
          <w:szCs w:val="24"/>
          <w:highlight w:val="none"/>
        </w:rPr>
      </w:pPr>
      <w:r>
        <w:rPr>
          <w:rStyle w:val="14"/>
          <w:rFonts w:ascii="宋体" w:hAnsi="宋体"/>
          <w:color w:val="auto"/>
          <w:kern w:val="2"/>
          <w:sz w:val="24"/>
          <w:szCs w:val="24"/>
          <w:highlight w:val="none"/>
        </w:rPr>
        <w:t>1.4.1适用于工程的标准规范包括：</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 xml:space="preserve"> </w:t>
      </w:r>
    </w:p>
    <w:p w14:paraId="72134664">
      <w:pPr>
        <w:pStyle w:val="20"/>
        <w:spacing w:line="360" w:lineRule="auto"/>
        <w:rPr>
          <w:rStyle w:val="14"/>
          <w:rFonts w:ascii="宋体" w:hAnsi="宋体"/>
          <w:color w:val="auto"/>
          <w:kern w:val="2"/>
          <w:sz w:val="24"/>
          <w:szCs w:val="24"/>
          <w:highlight w:val="none"/>
        </w:rPr>
      </w:pP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6E6F8B84">
      <w:pPr>
        <w:pStyle w:val="20"/>
        <w:spacing w:line="360" w:lineRule="auto"/>
        <w:ind w:firstLine="480" w:firstLineChars="200"/>
        <w:outlineLvl w:val="9"/>
        <w:rPr>
          <w:rStyle w:val="14"/>
          <w:rFonts w:ascii="宋体" w:hAnsi="宋体"/>
          <w:color w:val="auto"/>
          <w:sz w:val="24"/>
          <w:szCs w:val="24"/>
          <w:highlight w:val="none"/>
        </w:rPr>
      </w:pPr>
      <w:bookmarkStart w:id="674" w:name="_Toc69461799"/>
      <w:bookmarkStart w:id="675" w:name="_Toc256000553"/>
      <w:bookmarkStart w:id="676" w:name="_Toc256001057"/>
      <w:bookmarkStart w:id="677" w:name="_Toc69461144"/>
      <w:bookmarkStart w:id="678" w:name="_Toc256000324"/>
      <w:bookmarkStart w:id="679" w:name="_Toc256000820"/>
      <w:bookmarkStart w:id="680" w:name="_Toc256000047"/>
      <w:bookmarkStart w:id="681" w:name="_Toc5562"/>
      <w:bookmarkStart w:id="682" w:name="_Toc29975"/>
      <w:bookmarkStart w:id="683" w:name="_Toc256001287"/>
      <w:bookmarkStart w:id="684" w:name="_Toc833"/>
      <w:bookmarkStart w:id="685" w:name="_Toc5953"/>
      <w:r>
        <w:rPr>
          <w:rStyle w:val="14"/>
          <w:rFonts w:ascii="宋体" w:hAnsi="宋体"/>
          <w:color w:val="auto"/>
          <w:sz w:val="24"/>
          <w:szCs w:val="24"/>
          <w:highlight w:val="none"/>
        </w:rPr>
        <w:t>1.4.2 发包人提供国外标准、规范的名称：</w:t>
      </w:r>
      <w:bookmarkEnd w:id="674"/>
      <w:bookmarkEnd w:id="675"/>
      <w:bookmarkEnd w:id="676"/>
      <w:bookmarkEnd w:id="677"/>
      <w:bookmarkEnd w:id="678"/>
      <w:bookmarkEnd w:id="679"/>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bookmarkEnd w:id="680"/>
      <w:bookmarkEnd w:id="681"/>
      <w:bookmarkEnd w:id="682"/>
      <w:bookmarkEnd w:id="683"/>
      <w:bookmarkEnd w:id="684"/>
      <w:bookmarkEnd w:id="685"/>
    </w:p>
    <w:p w14:paraId="7660A840">
      <w:pPr>
        <w:pStyle w:val="20"/>
        <w:spacing w:line="360" w:lineRule="auto"/>
        <w:ind w:firstLine="480" w:firstLineChars="200"/>
        <w:rPr>
          <w:rStyle w:val="14"/>
          <w:rFonts w:ascii="宋体" w:hAnsi="宋体"/>
          <w:color w:val="auto"/>
          <w:sz w:val="24"/>
          <w:szCs w:val="24"/>
          <w:highlight w:val="none"/>
        </w:rPr>
      </w:pPr>
      <w:r>
        <w:rPr>
          <w:rStyle w:val="14"/>
          <w:rFonts w:ascii="宋体" w:hAnsi="宋体"/>
          <w:color w:val="auto"/>
          <w:sz w:val="24"/>
          <w:szCs w:val="24"/>
          <w:highlight w:val="none"/>
        </w:rPr>
        <w:t>发包人提供国外标准、规范的份数：</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7AB88E6B">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sz w:val="24"/>
          <w:szCs w:val="24"/>
          <w:highlight w:val="none"/>
        </w:rPr>
        <w:t>发包人提供国外标准、规范的名称：</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62EA350B">
      <w:pPr>
        <w:pStyle w:val="20"/>
        <w:spacing w:line="360" w:lineRule="auto"/>
        <w:ind w:left="596" w:leftChars="284"/>
        <w:rPr>
          <w:rStyle w:val="14"/>
          <w:rFonts w:ascii="宋体" w:hAnsi="宋体"/>
          <w:color w:val="auto"/>
          <w:kern w:val="2"/>
          <w:sz w:val="24"/>
          <w:szCs w:val="24"/>
          <w:highlight w:val="none"/>
        </w:rPr>
      </w:pPr>
      <w:r>
        <w:rPr>
          <w:rStyle w:val="14"/>
          <w:rFonts w:ascii="宋体" w:hAnsi="宋体"/>
          <w:color w:val="auto"/>
          <w:kern w:val="2"/>
          <w:sz w:val="24"/>
          <w:szCs w:val="24"/>
          <w:highlight w:val="none"/>
        </w:rPr>
        <w:t>1.4.3发包人对工程的技术标准和功能要求的特殊要求：</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FADBC67">
      <w:pPr>
        <w:pStyle w:val="20"/>
        <w:spacing w:after="120" w:line="360" w:lineRule="auto"/>
        <w:ind w:firstLine="480" w:firstLineChars="200"/>
        <w:outlineLvl w:val="9"/>
        <w:rPr>
          <w:rStyle w:val="14"/>
          <w:rFonts w:ascii="宋体" w:hAnsi="宋体"/>
          <w:color w:val="auto"/>
          <w:kern w:val="2"/>
          <w:sz w:val="24"/>
          <w:szCs w:val="24"/>
          <w:highlight w:val="none"/>
        </w:rPr>
      </w:pPr>
      <w:bookmarkStart w:id="686" w:name="_Toc256001058"/>
      <w:bookmarkStart w:id="687" w:name="_Toc256000048"/>
      <w:bookmarkStart w:id="688" w:name="_Toc18382"/>
      <w:bookmarkStart w:id="689" w:name="_Toc256000325"/>
      <w:bookmarkStart w:id="690" w:name="_Toc20068"/>
      <w:bookmarkStart w:id="691" w:name="_Toc256001288"/>
      <w:bookmarkStart w:id="692" w:name="_Toc69461800"/>
      <w:bookmarkStart w:id="693" w:name="_Toc10604"/>
      <w:bookmarkStart w:id="694" w:name="_Toc69461145"/>
      <w:bookmarkStart w:id="695" w:name="_Toc256000554"/>
      <w:bookmarkStart w:id="696" w:name="_Toc29750"/>
      <w:bookmarkStart w:id="697" w:name="_Toc256000821"/>
      <w:r>
        <w:rPr>
          <w:rStyle w:val="14"/>
          <w:rFonts w:ascii="宋体" w:hAnsi="宋体"/>
          <w:color w:val="auto"/>
          <w:kern w:val="2"/>
          <w:sz w:val="24"/>
          <w:szCs w:val="24"/>
          <w:highlight w:val="none"/>
        </w:rPr>
        <w:t>1.5 合同文件的优先顺序</w:t>
      </w:r>
      <w:bookmarkEnd w:id="686"/>
      <w:bookmarkEnd w:id="687"/>
      <w:bookmarkEnd w:id="688"/>
      <w:bookmarkEnd w:id="689"/>
      <w:bookmarkEnd w:id="690"/>
      <w:bookmarkEnd w:id="691"/>
      <w:bookmarkEnd w:id="692"/>
      <w:bookmarkEnd w:id="693"/>
      <w:bookmarkEnd w:id="694"/>
      <w:bookmarkEnd w:id="695"/>
      <w:bookmarkEnd w:id="696"/>
      <w:bookmarkEnd w:id="697"/>
    </w:p>
    <w:p w14:paraId="22499F9B">
      <w:pPr>
        <w:pStyle w:val="21"/>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合同文件组成及优先顺序为：</w:t>
      </w:r>
    </w:p>
    <w:p w14:paraId="03E2B3B1">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（1）合同协议书；</w:t>
      </w:r>
    </w:p>
    <w:p w14:paraId="2413B459">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（2）中标通知书；</w:t>
      </w:r>
    </w:p>
    <w:p w14:paraId="66F9E0FA">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（3）投标函及其附录；</w:t>
      </w:r>
    </w:p>
    <w:p w14:paraId="1AEB62E0">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（4）专用合同条款及其附件；</w:t>
      </w:r>
    </w:p>
    <w:p w14:paraId="75943192">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（5）通用合同条款；</w:t>
      </w:r>
    </w:p>
    <w:p w14:paraId="1CF34546">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（6）技术标准和要求；</w:t>
      </w:r>
    </w:p>
    <w:p w14:paraId="61C3CF00">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（7）图纸；</w:t>
      </w:r>
    </w:p>
    <w:p w14:paraId="53F4303C">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（8）已标价工程量清单；</w:t>
      </w:r>
    </w:p>
    <w:p w14:paraId="46DE171B">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（9）招标文件及招标答疑（含工程量清单）；</w:t>
      </w:r>
    </w:p>
    <w:p w14:paraId="4D5FB68E">
      <w:pPr>
        <w:pStyle w:val="20"/>
        <w:spacing w:line="360" w:lineRule="auto"/>
        <w:ind w:firstLine="480" w:firstLineChars="200"/>
        <w:rPr>
          <w:rStyle w:val="14"/>
          <w:rFonts w:ascii="宋体" w:hAnsi="宋体"/>
          <w:color w:val="auto"/>
          <w:sz w:val="24"/>
          <w:szCs w:val="24"/>
          <w:highlight w:val="none"/>
        </w:rPr>
      </w:pPr>
      <w:r>
        <w:rPr>
          <w:rStyle w:val="14"/>
          <w:rFonts w:hint="eastAsia" w:ascii="宋体" w:hAnsi="宋体"/>
          <w:color w:val="auto"/>
          <w:sz w:val="24"/>
          <w:szCs w:val="24"/>
          <w:highlight w:val="none"/>
        </w:rPr>
        <w:t>（10）其他合同文件。</w:t>
      </w:r>
    </w:p>
    <w:p w14:paraId="29DDEF37">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1.6 图纸和承包人文件</w:t>
      </w:r>
      <w:r>
        <w:rPr>
          <w:rStyle w:val="14"/>
          <w:rFonts w:ascii="宋体" w:hAnsi="宋体"/>
          <w:color w:val="auto"/>
          <w:kern w:val="2"/>
          <w:sz w:val="24"/>
          <w:szCs w:val="24"/>
          <w:highlight w:val="none"/>
        </w:rPr>
        <w:tab/>
      </w:r>
    </w:p>
    <w:p w14:paraId="73DC208B">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1.6.1 图纸的提供</w:t>
      </w:r>
    </w:p>
    <w:p w14:paraId="24049676">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发包人向承包人提供图纸的期限：</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0942FE3D">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发包人向承包人提供图纸的数量：</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0071C45C">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发包人向承包人提供图纸的内容：</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226CCBBA">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1.6.4 承包人文件</w:t>
      </w:r>
    </w:p>
    <w:p w14:paraId="0E966686">
      <w:pPr>
        <w:pStyle w:val="21"/>
        <w:spacing w:line="360" w:lineRule="auto"/>
        <w:ind w:left="596" w:leftChars="284"/>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需要由承包人提供的文件，包括：</w:t>
      </w:r>
      <w:r>
        <w:rPr>
          <w:rStyle w:val="14"/>
          <w:rFonts w:hint="eastAsia" w:ascii="宋体" w:hAnsi="宋体"/>
          <w:color w:val="auto"/>
          <w:kern w:val="2"/>
          <w:sz w:val="24"/>
          <w:szCs w:val="24"/>
          <w:highlight w:val="none"/>
          <w:u w:val="single"/>
        </w:rPr>
        <w:t>按辽宁省建设工程档案管理规范及发包人要求提供；</w:t>
      </w:r>
    </w:p>
    <w:p w14:paraId="1569A6DB">
      <w:pPr>
        <w:pStyle w:val="20"/>
        <w:spacing w:line="360" w:lineRule="auto"/>
        <w:ind w:left="596" w:leftChars="284"/>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承包人提供的文件的期限为：</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按发包人要求</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15D5423A">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承包人提供的文件的数量为：</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6份</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1C4DB43E">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承包人提供的文件的形式为：</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纸质及电子版</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6DCB10F2">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w:t>
      </w:r>
      <w:r>
        <w:rPr>
          <w:rStyle w:val="14"/>
          <w:rFonts w:hint="eastAsia" w:ascii="宋体" w:hAnsi="宋体"/>
          <w:color w:val="auto"/>
          <w:kern w:val="2"/>
          <w:sz w:val="24"/>
          <w:szCs w:val="24"/>
          <w:highlight w:val="none"/>
        </w:rPr>
        <w:t>审批</w:t>
      </w:r>
      <w:r>
        <w:rPr>
          <w:rStyle w:val="14"/>
          <w:rFonts w:ascii="宋体" w:hAnsi="宋体"/>
          <w:color w:val="auto"/>
          <w:kern w:val="2"/>
          <w:sz w:val="24"/>
          <w:szCs w:val="24"/>
          <w:highlight w:val="none"/>
        </w:rPr>
        <w:t>承包人文件的期限：</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2E0FC0DD">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1.6.5 现场图纸准备</w:t>
      </w:r>
    </w:p>
    <w:p w14:paraId="4ADF15E6">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关于现场图纸准备的约定：</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38948F8F">
      <w:pPr>
        <w:pStyle w:val="20"/>
        <w:spacing w:after="120" w:line="360" w:lineRule="auto"/>
        <w:ind w:firstLine="480" w:firstLineChars="200"/>
        <w:outlineLvl w:val="9"/>
        <w:rPr>
          <w:rStyle w:val="14"/>
          <w:rFonts w:ascii="宋体" w:hAnsi="宋体"/>
          <w:color w:val="auto"/>
          <w:kern w:val="2"/>
          <w:sz w:val="24"/>
          <w:szCs w:val="24"/>
          <w:highlight w:val="none"/>
        </w:rPr>
      </w:pPr>
      <w:bookmarkStart w:id="698" w:name="_Toc256001289"/>
      <w:bookmarkStart w:id="699" w:name="_Toc256000326"/>
      <w:bookmarkStart w:id="700" w:name="_Toc28396"/>
      <w:bookmarkStart w:id="701" w:name="_Toc256000049"/>
      <w:bookmarkStart w:id="702" w:name="_Toc69461146"/>
      <w:bookmarkStart w:id="703" w:name="_Toc256000822"/>
      <w:bookmarkStart w:id="704" w:name="_Toc256000555"/>
      <w:bookmarkStart w:id="705" w:name="_Toc256001059"/>
      <w:bookmarkStart w:id="706" w:name="_Toc69461801"/>
      <w:bookmarkStart w:id="707" w:name="_Toc12612"/>
      <w:bookmarkStart w:id="708" w:name="_Toc15857"/>
      <w:bookmarkStart w:id="709" w:name="_Toc25891"/>
      <w:r>
        <w:rPr>
          <w:rStyle w:val="14"/>
          <w:rFonts w:ascii="宋体" w:hAnsi="宋体"/>
          <w:color w:val="auto"/>
          <w:kern w:val="2"/>
          <w:sz w:val="24"/>
          <w:szCs w:val="24"/>
          <w:highlight w:val="none"/>
        </w:rPr>
        <w:t>1.7 联络</w:t>
      </w:r>
      <w:bookmarkEnd w:id="698"/>
      <w:bookmarkEnd w:id="699"/>
      <w:bookmarkEnd w:id="700"/>
      <w:bookmarkEnd w:id="701"/>
      <w:bookmarkEnd w:id="702"/>
      <w:bookmarkEnd w:id="703"/>
      <w:bookmarkEnd w:id="704"/>
      <w:bookmarkEnd w:id="705"/>
      <w:bookmarkEnd w:id="706"/>
      <w:bookmarkEnd w:id="707"/>
      <w:bookmarkEnd w:id="708"/>
      <w:bookmarkEnd w:id="709"/>
    </w:p>
    <w:p w14:paraId="5C5FF2BF">
      <w:pPr>
        <w:pStyle w:val="20"/>
        <w:spacing w:line="360" w:lineRule="auto"/>
        <w:ind w:firstLine="480" w:firstLineChars="200"/>
        <w:rPr>
          <w:rStyle w:val="14"/>
          <w:rFonts w:ascii="宋体" w:hAnsi="宋体"/>
          <w:color w:val="auto"/>
          <w:sz w:val="24"/>
          <w:szCs w:val="24"/>
          <w:highlight w:val="none"/>
        </w:rPr>
      </w:pPr>
      <w:r>
        <w:rPr>
          <w:rStyle w:val="14"/>
          <w:rFonts w:ascii="宋体" w:hAnsi="宋体"/>
          <w:color w:val="auto"/>
          <w:sz w:val="24"/>
          <w:szCs w:val="24"/>
          <w:highlight w:val="none"/>
        </w:rPr>
        <w:t>1.7.1发包人和承包人应当在</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7</w:t>
      </w:r>
      <w:r>
        <w:rPr>
          <w:rStyle w:val="14"/>
          <w:rFonts w:ascii="宋体" w:hAnsi="宋体"/>
          <w:color w:val="auto"/>
          <w:kern w:val="2"/>
          <w:sz w:val="24"/>
          <w:szCs w:val="24"/>
          <w:highlight w:val="none"/>
          <w:u w:val="single"/>
        </w:rPr>
        <w:t xml:space="preserve"> </w:t>
      </w:r>
      <w:r>
        <w:rPr>
          <w:rStyle w:val="14"/>
          <w:rFonts w:ascii="宋体" w:hAnsi="宋体"/>
          <w:color w:val="auto"/>
          <w:sz w:val="24"/>
          <w:szCs w:val="24"/>
          <w:highlight w:val="none"/>
        </w:rPr>
        <w:t>天内将与合同有关的通知、批准、证明、证书、指示、指令、要求、请求、同意、意见、确定和决定等书面函件送达对方当事人</w:t>
      </w:r>
      <w:r>
        <w:rPr>
          <w:rStyle w:val="14"/>
          <w:rFonts w:hint="eastAsia" w:ascii="宋体" w:hAnsi="宋体"/>
          <w:color w:val="auto"/>
          <w:sz w:val="24"/>
          <w:szCs w:val="24"/>
          <w:highlight w:val="none"/>
        </w:rPr>
        <w:t>。</w:t>
      </w:r>
    </w:p>
    <w:p w14:paraId="30089128">
      <w:pPr>
        <w:pStyle w:val="20"/>
        <w:spacing w:line="360" w:lineRule="auto"/>
        <w:ind w:firstLine="480" w:firstLineChars="200"/>
        <w:rPr>
          <w:rStyle w:val="14"/>
          <w:rFonts w:ascii="宋体" w:hAnsi="宋体"/>
          <w:color w:val="auto"/>
          <w:sz w:val="24"/>
          <w:szCs w:val="24"/>
          <w:highlight w:val="none"/>
        </w:rPr>
      </w:pPr>
      <w:r>
        <w:rPr>
          <w:rStyle w:val="14"/>
          <w:rFonts w:ascii="宋体" w:hAnsi="宋体"/>
          <w:color w:val="auto"/>
          <w:sz w:val="24"/>
          <w:szCs w:val="24"/>
          <w:highlight w:val="none"/>
        </w:rPr>
        <w:t>1.7.2 发包人接收文件的地点：</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项目现场办公地点</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sz w:val="24"/>
          <w:szCs w:val="24"/>
          <w:highlight w:val="none"/>
        </w:rPr>
        <w:t>；</w:t>
      </w:r>
    </w:p>
    <w:p w14:paraId="6EA3A959">
      <w:pPr>
        <w:pStyle w:val="20"/>
        <w:spacing w:line="360" w:lineRule="auto"/>
        <w:ind w:firstLine="480" w:firstLineChars="200"/>
        <w:rPr>
          <w:rStyle w:val="14"/>
          <w:rFonts w:ascii="宋体" w:hAnsi="宋体"/>
          <w:color w:val="auto"/>
          <w:sz w:val="24"/>
          <w:szCs w:val="24"/>
          <w:highlight w:val="none"/>
        </w:rPr>
      </w:pPr>
      <w:r>
        <w:rPr>
          <w:rStyle w:val="14"/>
          <w:rFonts w:ascii="宋体" w:hAnsi="宋体"/>
          <w:color w:val="auto"/>
          <w:sz w:val="24"/>
          <w:szCs w:val="24"/>
          <w:highlight w:val="none"/>
        </w:rPr>
        <w:t>发包人指定的接收人为：</w:t>
      </w:r>
      <w:r>
        <w:rPr>
          <w:rStyle w:val="14"/>
          <w:rFonts w:hint="eastAsia" w:ascii="宋体" w:hAnsi="宋体"/>
          <w:color w:val="auto"/>
          <w:kern w:val="2"/>
          <w:sz w:val="24"/>
          <w:szCs w:val="24"/>
          <w:highlight w:val="none"/>
          <w:u w:val="single"/>
        </w:rPr>
        <w:t xml:space="preserve">发包人现场档案员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sz w:val="24"/>
          <w:szCs w:val="24"/>
          <w:highlight w:val="none"/>
        </w:rPr>
        <w:t>；</w:t>
      </w:r>
    </w:p>
    <w:p w14:paraId="2731E23E">
      <w:pPr>
        <w:pStyle w:val="20"/>
        <w:spacing w:line="360" w:lineRule="auto"/>
        <w:ind w:firstLine="480" w:firstLineChars="200"/>
        <w:rPr>
          <w:rStyle w:val="14"/>
          <w:rFonts w:ascii="宋体" w:hAnsi="宋体"/>
          <w:color w:val="auto"/>
          <w:sz w:val="24"/>
          <w:szCs w:val="24"/>
          <w:highlight w:val="none"/>
        </w:rPr>
      </w:pPr>
      <w:r>
        <w:rPr>
          <w:rStyle w:val="14"/>
          <w:rFonts w:ascii="宋体" w:hAnsi="宋体"/>
          <w:color w:val="auto"/>
          <w:sz w:val="24"/>
          <w:szCs w:val="24"/>
          <w:highlight w:val="none"/>
        </w:rPr>
        <w:t>承包人接收文件的地点：</w:t>
      </w:r>
      <w:r>
        <w:rPr>
          <w:rStyle w:val="14"/>
          <w:rFonts w:hint="eastAsia" w:ascii="宋体" w:hAnsi="宋体"/>
          <w:color w:val="auto"/>
          <w:kern w:val="2"/>
          <w:sz w:val="24"/>
          <w:szCs w:val="24"/>
          <w:highlight w:val="none"/>
          <w:u w:val="single"/>
        </w:rPr>
        <w:t>项目现场办公地点</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sz w:val="24"/>
          <w:szCs w:val="24"/>
          <w:highlight w:val="none"/>
        </w:rPr>
        <w:t>；</w:t>
      </w:r>
    </w:p>
    <w:p w14:paraId="408317B5">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sz w:val="24"/>
          <w:szCs w:val="24"/>
          <w:highlight w:val="none"/>
        </w:rPr>
        <w:t>承包人指定的接收人为：</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合同协议书中载明的承包人项目经理或者项目经理授权代表；</w:t>
      </w:r>
    </w:p>
    <w:p w14:paraId="4C742A9F">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sz w:val="24"/>
          <w:szCs w:val="24"/>
          <w:highlight w:val="none"/>
        </w:rPr>
        <w:t>监理人接收文件的地点：</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p>
    <w:p w14:paraId="3278D672">
      <w:pPr>
        <w:pStyle w:val="20"/>
        <w:spacing w:line="360" w:lineRule="auto"/>
        <w:ind w:firstLine="480" w:firstLineChars="200"/>
        <w:rPr>
          <w:rStyle w:val="14"/>
          <w:rFonts w:ascii="宋体" w:hAnsi="宋体"/>
          <w:color w:val="auto"/>
          <w:sz w:val="24"/>
          <w:szCs w:val="24"/>
          <w:highlight w:val="none"/>
        </w:rPr>
      </w:pPr>
      <w:r>
        <w:rPr>
          <w:rStyle w:val="14"/>
          <w:rFonts w:ascii="宋体" w:hAnsi="宋体"/>
          <w:color w:val="auto"/>
          <w:sz w:val="24"/>
          <w:szCs w:val="24"/>
          <w:highlight w:val="none"/>
        </w:rPr>
        <w:t>监理人指定的接收人为：</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sz w:val="24"/>
          <w:szCs w:val="24"/>
          <w:highlight w:val="none"/>
        </w:rPr>
        <w:t>。</w:t>
      </w:r>
    </w:p>
    <w:p w14:paraId="4B6A644E">
      <w:pPr>
        <w:pStyle w:val="20"/>
        <w:spacing w:after="120" w:line="360" w:lineRule="auto"/>
        <w:ind w:firstLine="480" w:firstLineChars="200"/>
        <w:outlineLvl w:val="9"/>
        <w:rPr>
          <w:rStyle w:val="14"/>
          <w:rFonts w:ascii="宋体" w:hAnsi="宋体"/>
          <w:color w:val="auto"/>
          <w:kern w:val="2"/>
          <w:sz w:val="24"/>
          <w:szCs w:val="24"/>
          <w:highlight w:val="none"/>
        </w:rPr>
      </w:pPr>
      <w:bookmarkStart w:id="710" w:name="_Toc256000050"/>
      <w:bookmarkStart w:id="711" w:name="_Toc19836"/>
      <w:bookmarkStart w:id="712" w:name="_Toc256000327"/>
      <w:bookmarkStart w:id="713" w:name="_Toc261"/>
      <w:bookmarkStart w:id="714" w:name="_Toc4973"/>
      <w:bookmarkStart w:id="715" w:name="_Toc69461147"/>
      <w:bookmarkStart w:id="716" w:name="_Toc69461802"/>
      <w:bookmarkStart w:id="717" w:name="_Toc15266"/>
      <w:bookmarkStart w:id="718" w:name="_Toc256000556"/>
      <w:bookmarkStart w:id="719" w:name="_Toc256001290"/>
      <w:bookmarkStart w:id="720" w:name="_Toc256000823"/>
      <w:bookmarkStart w:id="721" w:name="_Toc256001060"/>
      <w:r>
        <w:rPr>
          <w:rStyle w:val="14"/>
          <w:rFonts w:ascii="宋体" w:hAnsi="宋体"/>
          <w:color w:val="auto"/>
          <w:kern w:val="2"/>
          <w:sz w:val="24"/>
          <w:szCs w:val="24"/>
          <w:highlight w:val="none"/>
        </w:rPr>
        <w:t>1.10 交通运输</w:t>
      </w:r>
      <w:bookmarkEnd w:id="710"/>
      <w:bookmarkEnd w:id="711"/>
      <w:bookmarkEnd w:id="712"/>
      <w:bookmarkEnd w:id="713"/>
      <w:bookmarkEnd w:id="714"/>
      <w:bookmarkEnd w:id="715"/>
      <w:bookmarkEnd w:id="716"/>
      <w:bookmarkEnd w:id="717"/>
      <w:bookmarkEnd w:id="718"/>
      <w:bookmarkEnd w:id="719"/>
      <w:bookmarkEnd w:id="720"/>
      <w:bookmarkEnd w:id="721"/>
    </w:p>
    <w:p w14:paraId="6ACCA469">
      <w:pPr>
        <w:pStyle w:val="20"/>
        <w:spacing w:line="360" w:lineRule="auto"/>
        <w:ind w:firstLine="480" w:firstLineChars="200"/>
        <w:outlineLvl w:val="9"/>
        <w:rPr>
          <w:rStyle w:val="14"/>
          <w:rFonts w:ascii="宋体" w:hAnsi="宋体"/>
          <w:color w:val="auto"/>
          <w:kern w:val="2"/>
          <w:sz w:val="24"/>
          <w:szCs w:val="24"/>
          <w:highlight w:val="none"/>
        </w:rPr>
      </w:pPr>
      <w:bookmarkStart w:id="722" w:name="_Toc256000051"/>
      <w:bookmarkStart w:id="723" w:name="_Toc256001291"/>
      <w:bookmarkStart w:id="724" w:name="_Toc256000557"/>
      <w:bookmarkStart w:id="725" w:name="_Toc256001061"/>
      <w:bookmarkStart w:id="726" w:name="_Toc10663"/>
      <w:bookmarkStart w:id="727" w:name="_Toc256000328"/>
      <w:bookmarkStart w:id="728" w:name="_Toc256000824"/>
      <w:bookmarkStart w:id="729" w:name="_Toc69461148"/>
      <w:bookmarkStart w:id="730" w:name="_Toc69461803"/>
      <w:bookmarkStart w:id="731" w:name="_Toc13898"/>
      <w:bookmarkStart w:id="732" w:name="_Toc7778"/>
      <w:bookmarkStart w:id="733" w:name="_Toc10233"/>
      <w:r>
        <w:rPr>
          <w:rStyle w:val="14"/>
          <w:rFonts w:ascii="宋体" w:hAnsi="宋体"/>
          <w:color w:val="auto"/>
          <w:kern w:val="2"/>
          <w:sz w:val="24"/>
          <w:szCs w:val="24"/>
          <w:highlight w:val="none"/>
        </w:rPr>
        <w:t>1</w:t>
      </w:r>
      <w:bookmarkStart w:id="734" w:name="_Toc304295521"/>
      <w:bookmarkStart w:id="735" w:name="_Toc303539100"/>
      <w:bookmarkStart w:id="736" w:name="_Toc300934943"/>
      <w:bookmarkStart w:id="737" w:name="_Toc312677986"/>
      <w:bookmarkStart w:id="738" w:name="_Toc318581155"/>
      <w:r>
        <w:rPr>
          <w:rStyle w:val="14"/>
          <w:rFonts w:ascii="宋体" w:hAnsi="宋体"/>
          <w:color w:val="auto"/>
          <w:kern w:val="2"/>
          <w:sz w:val="24"/>
          <w:szCs w:val="24"/>
          <w:highlight w:val="none"/>
        </w:rPr>
        <w:t>.10.1 出入现场的权利</w:t>
      </w:r>
      <w:bookmarkEnd w:id="722"/>
      <w:bookmarkEnd w:id="723"/>
      <w:bookmarkEnd w:id="724"/>
      <w:bookmarkEnd w:id="725"/>
      <w:bookmarkEnd w:id="726"/>
      <w:bookmarkEnd w:id="727"/>
      <w:bookmarkEnd w:id="728"/>
      <w:bookmarkEnd w:id="729"/>
      <w:bookmarkEnd w:id="730"/>
      <w:bookmarkEnd w:id="731"/>
      <w:bookmarkEnd w:id="732"/>
      <w:bookmarkEnd w:id="733"/>
    </w:p>
    <w:p w14:paraId="1B3A911B">
      <w:pPr>
        <w:pStyle w:val="20"/>
        <w:spacing w:line="360" w:lineRule="auto"/>
        <w:ind w:left="596" w:leftChars="284"/>
        <w:rPr>
          <w:rStyle w:val="14"/>
          <w:rFonts w:ascii="宋体" w:hAnsi="宋体"/>
          <w:color w:val="auto"/>
          <w:kern w:val="2"/>
          <w:sz w:val="24"/>
          <w:szCs w:val="24"/>
          <w:highlight w:val="none"/>
        </w:rPr>
      </w:pPr>
      <w:r>
        <w:rPr>
          <w:rStyle w:val="14"/>
          <w:rFonts w:ascii="宋体" w:hAnsi="宋体"/>
          <w:color w:val="auto"/>
          <w:kern w:val="2"/>
          <w:sz w:val="24"/>
          <w:szCs w:val="24"/>
          <w:highlight w:val="none"/>
        </w:rPr>
        <w:t>关于出入现场的权利的约定：</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以现场施工围档为界</w:t>
      </w:r>
      <w:r>
        <w:rPr>
          <w:rStyle w:val="14"/>
          <w:rFonts w:ascii="宋体" w:hAnsi="宋体" w:cs="宋体"/>
          <w:color w:val="auto"/>
          <w:kern w:val="2"/>
          <w:sz w:val="24"/>
          <w:szCs w:val="24"/>
          <w:highlight w:val="none"/>
          <w:u w:val="single"/>
        </w:rPr>
        <w:t></w:t>
      </w:r>
    </w:p>
    <w:p w14:paraId="3F36F597">
      <w:pPr>
        <w:pStyle w:val="20"/>
        <w:spacing w:line="360" w:lineRule="auto"/>
        <w:rPr>
          <w:rStyle w:val="14"/>
          <w:rFonts w:ascii="宋体" w:hAnsi="宋体"/>
          <w:color w:val="auto"/>
          <w:kern w:val="2"/>
          <w:sz w:val="24"/>
          <w:szCs w:val="24"/>
          <w:highlight w:val="none"/>
        </w:rPr>
      </w:pPr>
    </w:p>
    <w:bookmarkEnd w:id="734"/>
    <w:bookmarkEnd w:id="735"/>
    <w:bookmarkEnd w:id="736"/>
    <w:bookmarkEnd w:id="737"/>
    <w:bookmarkEnd w:id="738"/>
    <w:p w14:paraId="3CF68391">
      <w:pPr>
        <w:pStyle w:val="20"/>
        <w:spacing w:line="360" w:lineRule="auto"/>
        <w:ind w:firstLine="480" w:firstLineChars="200"/>
        <w:jc w:val="left"/>
        <w:outlineLvl w:val="9"/>
        <w:rPr>
          <w:rStyle w:val="14"/>
          <w:rFonts w:ascii="宋体" w:hAnsi="宋体"/>
          <w:color w:val="auto"/>
          <w:kern w:val="2"/>
          <w:sz w:val="24"/>
          <w:szCs w:val="24"/>
          <w:highlight w:val="none"/>
        </w:rPr>
      </w:pPr>
      <w:bookmarkStart w:id="739" w:name="_Toc256000558"/>
      <w:bookmarkStart w:id="740" w:name="_Toc256000052"/>
      <w:bookmarkStart w:id="741" w:name="_Toc8263"/>
      <w:bookmarkStart w:id="742" w:name="_Toc69461149"/>
      <w:bookmarkStart w:id="743" w:name="_Toc256000825"/>
      <w:bookmarkStart w:id="744" w:name="_Toc24596"/>
      <w:bookmarkStart w:id="745" w:name="_Toc18425"/>
      <w:bookmarkStart w:id="746" w:name="_Toc256001062"/>
      <w:bookmarkStart w:id="747" w:name="_Toc256001292"/>
      <w:bookmarkStart w:id="748" w:name="_Toc256000329"/>
      <w:bookmarkStart w:id="749" w:name="_Toc22957"/>
      <w:bookmarkStart w:id="750" w:name="_Toc69461804"/>
      <w:r>
        <w:rPr>
          <w:rStyle w:val="14"/>
          <w:rFonts w:ascii="宋体" w:hAnsi="宋体"/>
          <w:color w:val="auto"/>
          <w:kern w:val="2"/>
          <w:sz w:val="24"/>
          <w:szCs w:val="24"/>
          <w:highlight w:val="none"/>
        </w:rPr>
        <w:t>1</w:t>
      </w:r>
      <w:bookmarkStart w:id="751" w:name="_Toc312677987"/>
      <w:bookmarkStart w:id="752" w:name="_Toc304295522"/>
      <w:bookmarkStart w:id="753" w:name="_Toc300934944"/>
      <w:bookmarkStart w:id="754" w:name="_Toc318581156"/>
      <w:bookmarkStart w:id="755" w:name="_Toc303539101"/>
      <w:r>
        <w:rPr>
          <w:rStyle w:val="14"/>
          <w:rFonts w:ascii="宋体" w:hAnsi="宋体"/>
          <w:color w:val="auto"/>
          <w:kern w:val="2"/>
          <w:sz w:val="24"/>
          <w:szCs w:val="24"/>
          <w:highlight w:val="none"/>
        </w:rPr>
        <w:t>.10.3 场内交通</w:t>
      </w:r>
      <w:bookmarkEnd w:id="739"/>
      <w:bookmarkEnd w:id="740"/>
      <w:bookmarkEnd w:id="741"/>
      <w:bookmarkEnd w:id="742"/>
      <w:bookmarkEnd w:id="743"/>
      <w:bookmarkEnd w:id="744"/>
      <w:bookmarkEnd w:id="745"/>
      <w:bookmarkEnd w:id="746"/>
      <w:bookmarkEnd w:id="747"/>
      <w:bookmarkEnd w:id="748"/>
      <w:bookmarkEnd w:id="749"/>
      <w:bookmarkEnd w:id="750"/>
    </w:p>
    <w:p w14:paraId="4748879F">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关于场外交通和场内交通的边界的约定：</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承包人有权无偿使用发包人修建的临时道路和交通设施，不需要交纳任何费用</w:t>
      </w:r>
      <w:r>
        <w:rPr>
          <w:rStyle w:val="14"/>
          <w:rFonts w:hint="eastAsia" w:ascii="宋体" w:hAnsi="宋体" w:cs="宋体"/>
          <w:color w:val="auto"/>
          <w:kern w:val="2"/>
          <w:sz w:val="24"/>
          <w:szCs w:val="24"/>
          <w:highlight w:val="none"/>
          <w:u w:val="single"/>
        </w:rPr>
        <w:t>。</w:t>
      </w:r>
    </w:p>
    <w:p w14:paraId="51FF5F24">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关于发包人向承包人免费提供满足工程施工需要的场内道路和交通设施的约定：</w:t>
      </w:r>
      <w:r>
        <w:rPr>
          <w:rStyle w:val="14"/>
          <w:rFonts w:hint="eastAsia" w:ascii="宋体" w:hAnsi="宋体" w:cs="宋体"/>
          <w:color w:val="auto"/>
          <w:kern w:val="2"/>
          <w:sz w:val="24"/>
          <w:szCs w:val="24"/>
          <w:highlight w:val="none"/>
          <w:u w:val="single"/>
        </w:rPr>
        <w:t> 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xml:space="preserve"> 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bookmarkEnd w:id="751"/>
      <w:bookmarkEnd w:id="752"/>
      <w:bookmarkEnd w:id="753"/>
      <w:bookmarkEnd w:id="754"/>
      <w:bookmarkEnd w:id="755"/>
      <w:r>
        <w:rPr>
          <w:rStyle w:val="14"/>
          <w:rFonts w:ascii="宋体" w:hAnsi="宋体"/>
          <w:color w:val="auto"/>
          <w:kern w:val="2"/>
          <w:sz w:val="24"/>
          <w:szCs w:val="24"/>
          <w:highlight w:val="none"/>
        </w:rPr>
        <w:t xml:space="preserve">  </w:t>
      </w:r>
      <w:bookmarkStart w:id="756" w:name="_Toc318581157"/>
    </w:p>
    <w:p w14:paraId="5357D49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1.10.4超大件和超重件的运输</w:t>
      </w:r>
    </w:p>
    <w:p w14:paraId="4D6A9F2F">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运输超大件或超重件所需的道路和桥梁临时加固改造费用和其他有关费用由</w:t>
      </w:r>
      <w:r>
        <w:rPr>
          <w:rStyle w:val="14"/>
          <w:rFonts w:hint="eastAsia" w:ascii="宋体" w:hAnsi="宋体"/>
          <w:color w:val="auto"/>
          <w:kern w:val="2"/>
          <w:sz w:val="24"/>
          <w:szCs w:val="24"/>
          <w:highlight w:val="none"/>
          <w:u w:val="single"/>
        </w:rPr>
        <w:t>承包人</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承担。</w:t>
      </w:r>
    </w:p>
    <w:bookmarkEnd w:id="756"/>
    <w:p w14:paraId="01D3EBC0">
      <w:pPr>
        <w:pStyle w:val="20"/>
        <w:spacing w:after="120" w:line="360" w:lineRule="auto"/>
        <w:ind w:firstLine="480" w:firstLineChars="200"/>
        <w:outlineLvl w:val="9"/>
        <w:rPr>
          <w:rStyle w:val="14"/>
          <w:rFonts w:ascii="宋体" w:hAnsi="宋体"/>
          <w:color w:val="auto"/>
          <w:kern w:val="2"/>
          <w:sz w:val="24"/>
          <w:szCs w:val="24"/>
          <w:highlight w:val="none"/>
        </w:rPr>
      </w:pPr>
      <w:bookmarkStart w:id="757" w:name="_Toc256001063"/>
      <w:bookmarkStart w:id="758" w:name="_Toc256000053"/>
      <w:bookmarkStart w:id="759" w:name="_Toc69461150"/>
      <w:bookmarkStart w:id="760" w:name="_Toc69461805"/>
      <w:bookmarkStart w:id="761" w:name="_Toc256000330"/>
      <w:bookmarkStart w:id="762" w:name="_Toc18201"/>
      <w:bookmarkStart w:id="763" w:name="_Toc11629"/>
      <w:bookmarkStart w:id="764" w:name="_Toc8317"/>
      <w:bookmarkStart w:id="765" w:name="_Toc256000559"/>
      <w:bookmarkStart w:id="766" w:name="_Toc10722"/>
      <w:bookmarkStart w:id="767" w:name="_Toc256001293"/>
      <w:bookmarkStart w:id="768" w:name="_Toc256000826"/>
      <w:r>
        <w:rPr>
          <w:rStyle w:val="14"/>
          <w:rFonts w:ascii="宋体" w:hAnsi="宋体"/>
          <w:color w:val="auto"/>
          <w:kern w:val="2"/>
          <w:sz w:val="24"/>
          <w:szCs w:val="24"/>
          <w:highlight w:val="none"/>
        </w:rPr>
        <w:t>1.11 知识产权</w:t>
      </w:r>
      <w:bookmarkEnd w:id="757"/>
      <w:bookmarkEnd w:id="758"/>
      <w:bookmarkEnd w:id="759"/>
      <w:bookmarkEnd w:id="760"/>
      <w:bookmarkEnd w:id="761"/>
      <w:bookmarkEnd w:id="762"/>
      <w:bookmarkEnd w:id="763"/>
      <w:bookmarkEnd w:id="764"/>
      <w:bookmarkEnd w:id="765"/>
      <w:bookmarkEnd w:id="766"/>
      <w:bookmarkEnd w:id="767"/>
      <w:bookmarkEnd w:id="768"/>
    </w:p>
    <w:p w14:paraId="425B5BF0">
      <w:pPr>
        <w:pStyle w:val="20"/>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发包人  </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p>
    <w:p w14:paraId="32E22A70">
      <w:pPr>
        <w:pStyle w:val="21"/>
        <w:spacing w:line="360" w:lineRule="auto"/>
        <w:ind w:left="596" w:leftChars="284"/>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关于发包人提供的上述文件的使用限制的要求：</w:t>
      </w:r>
      <w:r>
        <w:rPr>
          <w:rStyle w:val="14"/>
          <w:rFonts w:hint="eastAsia" w:ascii="宋体" w:hAnsi="宋体"/>
          <w:color w:val="auto"/>
          <w:kern w:val="2"/>
          <w:sz w:val="24"/>
          <w:szCs w:val="24"/>
          <w:highlight w:val="none"/>
          <w:u w:val="single"/>
        </w:rPr>
        <w:t>未经发包人书面同意，承包人不得为了合同以外目的而复制，使用上述文件或将之提供给任何第三方。</w:t>
      </w:r>
    </w:p>
    <w:p w14:paraId="3ABC7C18">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1.11.2 关于承包人为实施工程所编制文件的著作权的归属</w:t>
      </w:r>
      <w:r>
        <w:rPr>
          <w:rStyle w:val="14"/>
          <w:rFonts w:hint="eastAsia" w:ascii="宋体" w:hAnsi="宋体"/>
          <w:color w:val="auto"/>
          <w:kern w:val="2"/>
          <w:sz w:val="24"/>
          <w:szCs w:val="24"/>
          <w:highlight w:val="none"/>
        </w:rPr>
        <w:t>：</w:t>
      </w:r>
      <w:r>
        <w:rPr>
          <w:rStyle w:val="14"/>
          <w:rFonts w:hint="eastAsia" w:ascii="宋体" w:hAnsi="宋体"/>
          <w:color w:val="auto"/>
          <w:kern w:val="2"/>
          <w:sz w:val="24"/>
          <w:szCs w:val="24"/>
          <w:highlight w:val="none"/>
          <w:u w:val="single"/>
        </w:rPr>
        <w:t>除署名权以外全部归发包人所有。</w:t>
      </w:r>
    </w:p>
    <w:p w14:paraId="3ED79297">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关于承包人提供的上述文件的使用限制的要求：</w:t>
      </w:r>
      <w:r>
        <w:rPr>
          <w:rStyle w:val="14"/>
          <w:rFonts w:hint="eastAsia" w:ascii="宋体" w:hAnsi="宋体"/>
          <w:color w:val="auto"/>
          <w:kern w:val="2"/>
          <w:sz w:val="24"/>
          <w:szCs w:val="24"/>
          <w:highlight w:val="none"/>
          <w:u w:val="single"/>
        </w:rPr>
        <w:t>未经发包人同意，承包人不得为了合同以外的目的而复制，使用上述文件或将之提供给任何第三方。</w:t>
      </w:r>
    </w:p>
    <w:p w14:paraId="762F1377">
      <w:pPr>
        <w:pStyle w:val="21"/>
        <w:spacing w:line="360" w:lineRule="auto"/>
        <w:ind w:firstLine="480" w:firstLineChars="200"/>
        <w:outlineLvl w:val="9"/>
        <w:rPr>
          <w:rStyle w:val="14"/>
          <w:rFonts w:ascii="宋体" w:hAnsi="宋体"/>
          <w:color w:val="auto"/>
          <w:kern w:val="2"/>
          <w:sz w:val="24"/>
          <w:szCs w:val="24"/>
          <w:highlight w:val="none"/>
          <w:u w:val="single"/>
        </w:rPr>
      </w:pPr>
      <w:bookmarkStart w:id="769" w:name="_Toc256001064"/>
      <w:bookmarkStart w:id="770" w:name="_Toc4073"/>
      <w:bookmarkStart w:id="771" w:name="_Toc20868"/>
      <w:bookmarkStart w:id="772" w:name="_Toc256000054"/>
      <w:bookmarkStart w:id="773" w:name="_Toc9004"/>
      <w:bookmarkStart w:id="774" w:name="_Toc15958"/>
      <w:bookmarkStart w:id="775" w:name="_Toc256001294"/>
      <w:bookmarkStart w:id="776" w:name="_Toc69461806"/>
      <w:bookmarkStart w:id="777" w:name="_Toc256000560"/>
      <w:bookmarkStart w:id="778" w:name="_Toc256000827"/>
      <w:bookmarkStart w:id="779" w:name="_Toc69461151"/>
      <w:bookmarkStart w:id="780" w:name="_Toc256000331"/>
      <w:r>
        <w:rPr>
          <w:rStyle w:val="14"/>
          <w:rFonts w:ascii="宋体" w:hAnsi="宋体"/>
          <w:color w:val="auto"/>
          <w:kern w:val="2"/>
          <w:sz w:val="24"/>
          <w:szCs w:val="24"/>
          <w:highlight w:val="none"/>
        </w:rPr>
        <w:t>1.11.4 承包人在施工过程中所采用的专利、专有技术、技术秘密的使用费的承担方式：</w:t>
      </w:r>
      <w:r>
        <w:rPr>
          <w:rStyle w:val="14"/>
          <w:rFonts w:hint="eastAsia" w:ascii="宋体" w:hAnsi="宋体"/>
          <w:color w:val="auto"/>
          <w:kern w:val="2"/>
          <w:sz w:val="24"/>
          <w:szCs w:val="24"/>
          <w:highlight w:val="none"/>
          <w:u w:val="single"/>
        </w:rPr>
        <w:t>已包含在合同价款中，发包人不另行支付。</w:t>
      </w:r>
      <w:bookmarkEnd w:id="769"/>
      <w:bookmarkEnd w:id="770"/>
      <w:bookmarkEnd w:id="771"/>
      <w:bookmarkEnd w:id="772"/>
      <w:bookmarkEnd w:id="773"/>
      <w:bookmarkEnd w:id="774"/>
      <w:bookmarkEnd w:id="775"/>
      <w:bookmarkEnd w:id="776"/>
      <w:bookmarkEnd w:id="777"/>
      <w:bookmarkEnd w:id="778"/>
      <w:bookmarkEnd w:id="779"/>
      <w:bookmarkEnd w:id="780"/>
    </w:p>
    <w:p w14:paraId="47E373B1">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1.13工程量清单错误的修正</w:t>
      </w:r>
    </w:p>
    <w:p w14:paraId="299D42F5">
      <w:pPr>
        <w:pStyle w:val="20"/>
        <w:spacing w:line="360" w:lineRule="auto"/>
        <w:ind w:firstLine="480" w:firstLineChars="200"/>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出现工程量清单错误时，是否调整合同价格：</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调整</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xml:space="preserve">  </w:t>
      </w:r>
    </w:p>
    <w:p w14:paraId="0701FF2B">
      <w:pPr>
        <w:pStyle w:val="20"/>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允许调整合同价格的工程量偏差范围：</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据实调整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24144038">
      <w:pPr>
        <w:pStyle w:val="22"/>
        <w:spacing w:before="120" w:after="120" w:line="360" w:lineRule="auto"/>
        <w:outlineLvl w:val="9"/>
        <w:rPr>
          <w:rStyle w:val="14"/>
          <w:rFonts w:ascii="宋体" w:hAnsi="宋体" w:eastAsia="宋体"/>
          <w:b w:val="0"/>
          <w:color w:val="auto"/>
          <w:sz w:val="24"/>
          <w:szCs w:val="24"/>
          <w:highlight w:val="none"/>
        </w:rPr>
      </w:pPr>
      <w:bookmarkStart w:id="781" w:name="_Toc256001295"/>
      <w:bookmarkStart w:id="782" w:name="_Toc256000561"/>
      <w:bookmarkStart w:id="783" w:name="_Toc256001065"/>
      <w:bookmarkStart w:id="784" w:name="_Toc5406"/>
      <w:bookmarkStart w:id="785" w:name="_Toc351203634"/>
      <w:bookmarkStart w:id="786" w:name="_Toc256000332"/>
      <w:bookmarkStart w:id="787" w:name="_Toc26327"/>
      <w:bookmarkStart w:id="788" w:name="_Toc69461152"/>
      <w:bookmarkStart w:id="789" w:name="_Toc69461807"/>
      <w:bookmarkStart w:id="790" w:name="_Toc256000828"/>
      <w:r>
        <w:rPr>
          <w:rStyle w:val="14"/>
          <w:rFonts w:ascii="宋体" w:hAnsi="宋体" w:eastAsia="宋体"/>
          <w:b w:val="0"/>
          <w:color w:val="auto"/>
          <w:sz w:val="24"/>
          <w:szCs w:val="24"/>
          <w:highlight w:val="none"/>
        </w:rPr>
        <w:t>2</w:t>
      </w:r>
      <w:bookmarkStart w:id="791" w:name="_Toc292559867"/>
      <w:bookmarkStart w:id="792" w:name="_Toc296891197"/>
      <w:bookmarkStart w:id="793" w:name="_Toc296347156"/>
      <w:bookmarkStart w:id="794" w:name="_Toc297120457"/>
      <w:bookmarkStart w:id="795" w:name="_Toc296890985"/>
      <w:bookmarkStart w:id="796" w:name="_Toc296944496"/>
      <w:bookmarkStart w:id="797" w:name="_Toc296503157"/>
      <w:bookmarkStart w:id="798" w:name="_Toc296346658"/>
      <w:bookmarkStart w:id="799" w:name="_Toc292559362"/>
      <w:bookmarkStart w:id="800" w:name="_Toc297048343"/>
      <w:r>
        <w:rPr>
          <w:rStyle w:val="14"/>
          <w:rFonts w:ascii="宋体" w:hAnsi="宋体" w:eastAsia="宋体"/>
          <w:b w:val="0"/>
          <w:color w:val="auto"/>
          <w:sz w:val="24"/>
          <w:szCs w:val="24"/>
          <w:highlight w:val="none"/>
        </w:rPr>
        <w:t>. 发包人</w:t>
      </w:r>
      <w:bookmarkEnd w:id="781"/>
      <w:bookmarkEnd w:id="782"/>
      <w:bookmarkEnd w:id="783"/>
      <w:bookmarkEnd w:id="784"/>
      <w:bookmarkEnd w:id="785"/>
      <w:bookmarkEnd w:id="786"/>
      <w:bookmarkEnd w:id="787"/>
      <w:bookmarkEnd w:id="788"/>
      <w:bookmarkEnd w:id="789"/>
      <w:bookmarkEnd w:id="790"/>
    </w:p>
    <w:bookmarkEnd w:id="791"/>
    <w:bookmarkEnd w:id="792"/>
    <w:bookmarkEnd w:id="793"/>
    <w:bookmarkEnd w:id="794"/>
    <w:bookmarkEnd w:id="795"/>
    <w:bookmarkEnd w:id="796"/>
    <w:bookmarkEnd w:id="797"/>
    <w:bookmarkEnd w:id="798"/>
    <w:bookmarkEnd w:id="799"/>
    <w:bookmarkEnd w:id="800"/>
    <w:p w14:paraId="6B3FE715">
      <w:pPr>
        <w:pStyle w:val="20"/>
        <w:spacing w:after="120" w:line="360" w:lineRule="auto"/>
        <w:ind w:firstLine="480" w:firstLineChars="200"/>
        <w:outlineLvl w:val="9"/>
        <w:rPr>
          <w:rStyle w:val="14"/>
          <w:rFonts w:ascii="宋体" w:hAnsi="宋体"/>
          <w:color w:val="auto"/>
          <w:kern w:val="2"/>
          <w:sz w:val="24"/>
          <w:szCs w:val="24"/>
          <w:highlight w:val="none"/>
        </w:rPr>
      </w:pPr>
      <w:bookmarkStart w:id="801" w:name="_Toc69461808"/>
      <w:bookmarkStart w:id="802" w:name="_Toc256000829"/>
      <w:bookmarkStart w:id="803" w:name="_Toc69461153"/>
      <w:bookmarkStart w:id="804" w:name="_Toc256001296"/>
      <w:bookmarkStart w:id="805" w:name="_Toc5426"/>
      <w:bookmarkStart w:id="806" w:name="_Toc25928"/>
      <w:bookmarkStart w:id="807" w:name="_Toc256000333"/>
      <w:bookmarkStart w:id="808" w:name="_Toc1401"/>
      <w:bookmarkStart w:id="809" w:name="_Toc256001066"/>
      <w:bookmarkStart w:id="810" w:name="_Toc256000562"/>
      <w:bookmarkStart w:id="811" w:name="_Toc30028"/>
      <w:bookmarkStart w:id="812" w:name="_Toc256000055"/>
      <w:r>
        <w:rPr>
          <w:rStyle w:val="14"/>
          <w:rFonts w:ascii="宋体" w:hAnsi="宋体"/>
          <w:color w:val="auto"/>
          <w:kern w:val="2"/>
          <w:sz w:val="24"/>
          <w:szCs w:val="24"/>
          <w:highlight w:val="none"/>
        </w:rPr>
        <w:t>2.2 发包人代表</w:t>
      </w:r>
      <w:bookmarkEnd w:id="801"/>
      <w:bookmarkEnd w:id="802"/>
      <w:bookmarkEnd w:id="803"/>
      <w:bookmarkEnd w:id="804"/>
      <w:bookmarkEnd w:id="805"/>
      <w:bookmarkEnd w:id="806"/>
      <w:bookmarkEnd w:id="807"/>
      <w:bookmarkEnd w:id="808"/>
      <w:bookmarkEnd w:id="809"/>
      <w:bookmarkEnd w:id="810"/>
      <w:bookmarkEnd w:id="811"/>
      <w:bookmarkEnd w:id="812"/>
    </w:p>
    <w:p w14:paraId="55B2E5C4">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发包人代表：</w:t>
      </w:r>
    </w:p>
    <w:p w14:paraId="5CDACB8A">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姓    名：</w:t>
      </w:r>
      <w:r>
        <w:rPr>
          <w:rStyle w:val="14"/>
          <w:rFonts w:hint="eastAsia" w:ascii="宋体" w:hAnsi="宋体" w:cs="宋体"/>
          <w:color w:val="auto"/>
          <w:kern w:val="2"/>
          <w:sz w:val="24"/>
          <w:szCs w:val="24"/>
          <w:highlight w:val="none"/>
          <w:u w:val="single"/>
        </w:rPr>
        <w:t xml:space="preserve"> 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4353CE74">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身份证号：</w:t>
      </w:r>
      <w:r>
        <w:rPr>
          <w:rStyle w:val="14"/>
          <w:rFonts w:hint="eastAsia" w:ascii="宋体" w:hAnsi="宋体" w:cs="宋体"/>
          <w:color w:val="auto"/>
          <w:kern w:val="2"/>
          <w:sz w:val="24"/>
          <w:szCs w:val="24"/>
          <w:highlight w:val="none"/>
          <w:u w:val="single"/>
        </w:rPr>
        <w:t xml:space="preserve">   </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2DA080F1">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职    务：</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495E3CDD">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联系电话：</w:t>
      </w:r>
      <w:r>
        <w:rPr>
          <w:rStyle w:val="14"/>
          <w:rFonts w:hint="eastAsia" w:ascii="宋体" w:hAnsi="宋体" w:cs="宋体"/>
          <w:color w:val="auto"/>
          <w:kern w:val="2"/>
          <w:sz w:val="24"/>
          <w:szCs w:val="24"/>
          <w:highlight w:val="none"/>
          <w:u w:val="single"/>
        </w:rPr>
        <w:t>  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00B52748">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电子信箱：</w:t>
      </w:r>
      <w:r>
        <w:rPr>
          <w:rStyle w:val="14"/>
          <w:rFonts w:hint="eastAsia" w:ascii="宋体" w:hAnsi="宋体" w:cs="宋体"/>
          <w:color w:val="auto"/>
          <w:kern w:val="2"/>
          <w:sz w:val="24"/>
          <w:szCs w:val="24"/>
          <w:highlight w:val="none"/>
          <w:u w:val="single"/>
        </w:rPr>
        <w:t>  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080907EE">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通信地址：</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628188A8">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发包人对发包人代表的授权范围如下：</w:t>
      </w:r>
      <w:r>
        <w:rPr>
          <w:rStyle w:val="14"/>
          <w:rFonts w:hint="eastAsia" w:ascii="宋体" w:hAnsi="宋体"/>
          <w:color w:val="auto"/>
          <w:kern w:val="2"/>
          <w:sz w:val="24"/>
          <w:szCs w:val="24"/>
          <w:highlight w:val="none"/>
          <w:u w:val="single"/>
        </w:rPr>
        <w:t>工程管理和协调，并负责处理合同履行过程中与发包人有关的具体事宜   。</w:t>
      </w:r>
    </w:p>
    <w:p w14:paraId="6B9B5B95">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2.4 施工现场、施工条件和基础资料的提供</w:t>
      </w:r>
    </w:p>
    <w:p w14:paraId="256AB4E3">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2.4.1 提供施工现场</w:t>
      </w:r>
    </w:p>
    <w:p w14:paraId="2A96E535">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关于发包人移交施工现场的期限要求：</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开工前3日</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 xml:space="preserve">     </w:t>
      </w:r>
    </w:p>
    <w:p w14:paraId="29A7C204">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2.4.2 提供施工条件</w:t>
      </w:r>
    </w:p>
    <w:p w14:paraId="396757D7">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关于发包人应负责提供施工</w:t>
      </w:r>
      <w:r>
        <w:rPr>
          <w:rStyle w:val="14"/>
          <w:rFonts w:hint="eastAsia" w:ascii="宋体" w:hAnsi="宋体"/>
          <w:color w:val="auto"/>
          <w:kern w:val="2"/>
          <w:sz w:val="24"/>
          <w:szCs w:val="24"/>
          <w:highlight w:val="none"/>
        </w:rPr>
        <w:t>所需要的条件，</w:t>
      </w:r>
      <w:r>
        <w:rPr>
          <w:rStyle w:val="14"/>
          <w:rFonts w:ascii="宋体" w:hAnsi="宋体"/>
          <w:color w:val="auto"/>
          <w:kern w:val="2"/>
          <w:sz w:val="24"/>
          <w:szCs w:val="24"/>
          <w:highlight w:val="none"/>
        </w:rPr>
        <w:t>包括：</w:t>
      </w:r>
      <w:r>
        <w:rPr>
          <w:rStyle w:val="14"/>
          <w:rFonts w:hint="eastAsia" w:ascii="宋体" w:hAnsi="宋体"/>
          <w:color w:val="auto"/>
          <w:kern w:val="2"/>
          <w:sz w:val="24"/>
          <w:szCs w:val="24"/>
          <w:highlight w:val="none"/>
          <w:u w:val="single"/>
        </w:rPr>
        <w:t>执行招标文件招标内容约定。</w:t>
      </w:r>
    </w:p>
    <w:p w14:paraId="5A435AD5">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2.5 资金来源证明及支付担保</w:t>
      </w:r>
    </w:p>
    <w:p w14:paraId="4CBE5A24">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发包人提供资金来源证明的期限要求：</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527D840">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发包人是否提供支付担保：</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46FF5C53">
      <w:pPr>
        <w:pStyle w:val="20"/>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发包人提供支付担保的形式：</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ascii="宋体" w:hAnsi="宋体"/>
          <w:color w:val="auto"/>
          <w:kern w:val="2"/>
          <w:sz w:val="24"/>
          <w:szCs w:val="24"/>
          <w:highlight w:val="none"/>
        </w:rPr>
        <w:t>。</w:t>
      </w:r>
    </w:p>
    <w:p w14:paraId="090E114E">
      <w:pPr>
        <w:pStyle w:val="22"/>
        <w:spacing w:before="120" w:after="120" w:line="360" w:lineRule="auto"/>
        <w:outlineLvl w:val="9"/>
        <w:rPr>
          <w:rStyle w:val="14"/>
          <w:rFonts w:ascii="宋体" w:hAnsi="宋体" w:eastAsia="宋体"/>
          <w:b w:val="0"/>
          <w:color w:val="auto"/>
          <w:sz w:val="24"/>
          <w:szCs w:val="24"/>
          <w:highlight w:val="none"/>
        </w:rPr>
      </w:pPr>
      <w:bookmarkStart w:id="813" w:name="_Toc256001297"/>
      <w:bookmarkStart w:id="814" w:name="_Toc351203635"/>
      <w:bookmarkStart w:id="815" w:name="_Toc256001067"/>
      <w:bookmarkStart w:id="816" w:name="_Toc256000563"/>
      <w:bookmarkStart w:id="817" w:name="_Toc69461809"/>
      <w:bookmarkStart w:id="818" w:name="_Toc69461154"/>
      <w:bookmarkStart w:id="819" w:name="_Toc256000334"/>
      <w:bookmarkStart w:id="820" w:name="_Toc9510"/>
      <w:bookmarkStart w:id="821" w:name="_Toc256000830"/>
      <w:bookmarkStart w:id="822" w:name="_Toc1345"/>
      <w:r>
        <w:rPr>
          <w:rStyle w:val="14"/>
          <w:rFonts w:ascii="宋体" w:hAnsi="宋体" w:eastAsia="宋体"/>
          <w:b w:val="0"/>
          <w:color w:val="auto"/>
          <w:sz w:val="24"/>
          <w:szCs w:val="24"/>
          <w:highlight w:val="none"/>
        </w:rPr>
        <w:t>3</w:t>
      </w:r>
      <w:bookmarkStart w:id="823" w:name="_Toc297048344"/>
      <w:bookmarkStart w:id="824" w:name="_Toc296346659"/>
      <w:bookmarkStart w:id="825" w:name="_Toc292559363"/>
      <w:bookmarkStart w:id="826" w:name="_Toc296944497"/>
      <w:bookmarkStart w:id="827" w:name="_Toc296503158"/>
      <w:bookmarkStart w:id="828" w:name="_Toc296891198"/>
      <w:bookmarkStart w:id="829" w:name="_Toc296890986"/>
      <w:bookmarkStart w:id="830" w:name="_Toc296347157"/>
      <w:bookmarkStart w:id="831" w:name="_Toc292559868"/>
      <w:bookmarkStart w:id="832" w:name="_Toc297120458"/>
      <w:r>
        <w:rPr>
          <w:rStyle w:val="14"/>
          <w:rFonts w:ascii="宋体" w:hAnsi="宋体" w:eastAsia="宋体"/>
          <w:b w:val="0"/>
          <w:color w:val="auto"/>
          <w:sz w:val="24"/>
          <w:szCs w:val="24"/>
          <w:highlight w:val="none"/>
        </w:rPr>
        <w:t>. 承包人</w:t>
      </w:r>
      <w:bookmarkEnd w:id="813"/>
      <w:bookmarkEnd w:id="814"/>
      <w:bookmarkEnd w:id="815"/>
      <w:bookmarkEnd w:id="816"/>
      <w:bookmarkEnd w:id="817"/>
      <w:bookmarkEnd w:id="818"/>
      <w:bookmarkEnd w:id="819"/>
      <w:bookmarkEnd w:id="820"/>
      <w:bookmarkEnd w:id="821"/>
      <w:bookmarkEnd w:id="822"/>
    </w:p>
    <w:bookmarkEnd w:id="823"/>
    <w:bookmarkEnd w:id="824"/>
    <w:bookmarkEnd w:id="825"/>
    <w:bookmarkEnd w:id="826"/>
    <w:bookmarkEnd w:id="827"/>
    <w:bookmarkEnd w:id="828"/>
    <w:bookmarkEnd w:id="829"/>
    <w:bookmarkEnd w:id="830"/>
    <w:bookmarkEnd w:id="831"/>
    <w:bookmarkEnd w:id="832"/>
    <w:p w14:paraId="79FBE55D">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3.1 承包人的一般义务</w:t>
      </w:r>
    </w:p>
    <w:p w14:paraId="3F3763CD">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w:t>
      </w:r>
      <w:r>
        <w:rPr>
          <w:rStyle w:val="14"/>
          <w:rFonts w:hint="eastAsia" w:ascii="宋体" w:hAnsi="宋体"/>
          <w:color w:val="auto"/>
          <w:sz w:val="24"/>
          <w:szCs w:val="24"/>
          <w:highlight w:val="none"/>
        </w:rPr>
        <w:t>9</w:t>
      </w:r>
      <w:r>
        <w:rPr>
          <w:rStyle w:val="14"/>
          <w:rFonts w:ascii="宋体" w:hAnsi="宋体"/>
          <w:color w:val="auto"/>
          <w:sz w:val="24"/>
          <w:szCs w:val="24"/>
          <w:highlight w:val="none"/>
        </w:rPr>
        <w:t>）</w:t>
      </w:r>
      <w:r>
        <w:rPr>
          <w:rStyle w:val="14"/>
          <w:rFonts w:ascii="宋体" w:hAnsi="宋体"/>
          <w:color w:val="auto"/>
          <w:kern w:val="2"/>
          <w:sz w:val="24"/>
          <w:szCs w:val="24"/>
          <w:highlight w:val="none"/>
        </w:rPr>
        <w:t>承包人提交的竣工资料的内容：</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按照相关法律及竣工备案、档案保存部门关于竣工资料备案归档材料要求执行  。</w:t>
      </w:r>
      <w:r>
        <w:rPr>
          <w:rStyle w:val="14"/>
          <w:rFonts w:ascii="宋体" w:hAnsi="宋体"/>
          <w:color w:val="auto"/>
          <w:kern w:val="2"/>
          <w:sz w:val="24"/>
          <w:szCs w:val="24"/>
          <w:highlight w:val="none"/>
          <w:u w:val="single"/>
        </w:rPr>
        <w:t xml:space="preserve"> </w:t>
      </w:r>
    </w:p>
    <w:p w14:paraId="4508CBA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承包人需要提交的竣工资料套数：</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提交竣工图6套，竣工档案资料6套</w:t>
      </w:r>
      <w:r>
        <w:rPr>
          <w:rStyle w:val="14"/>
          <w:rFonts w:ascii="宋体" w:hAnsi="宋体"/>
          <w:color w:val="auto"/>
          <w:kern w:val="2"/>
          <w:sz w:val="24"/>
          <w:szCs w:val="24"/>
          <w:highlight w:val="none"/>
        </w:rPr>
        <w:t>。</w:t>
      </w:r>
    </w:p>
    <w:p w14:paraId="71547EA2">
      <w:pPr>
        <w:pStyle w:val="20"/>
        <w:spacing w:line="360" w:lineRule="auto"/>
        <w:ind w:left="638" w:leftChars="304"/>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承包人提交的竣工资料的费用承担：</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承包人承担</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32236154">
      <w:pPr>
        <w:pStyle w:val="20"/>
        <w:spacing w:line="360" w:lineRule="auto"/>
        <w:ind w:left="638" w:leftChars="304"/>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承包人提交的竣工资料移交时间：</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工程完工后28天内</w:t>
      </w:r>
      <w:r>
        <w:rPr>
          <w:rStyle w:val="14"/>
          <w:rFonts w:ascii="宋体" w:hAnsi="宋体"/>
          <w:color w:val="auto"/>
          <w:kern w:val="2"/>
          <w:sz w:val="24"/>
          <w:szCs w:val="24"/>
          <w:highlight w:val="none"/>
          <w:u w:val="single"/>
        </w:rPr>
        <w:t xml:space="preserve">  。</w:t>
      </w:r>
    </w:p>
    <w:p w14:paraId="75942CFB">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承包人提交的竣工资料形式要求：</w:t>
      </w:r>
      <w:r>
        <w:rPr>
          <w:rStyle w:val="14"/>
          <w:rFonts w:hint="eastAsia" w:ascii="宋体" w:hAnsi="宋体"/>
          <w:color w:val="auto"/>
          <w:kern w:val="2"/>
          <w:sz w:val="24"/>
          <w:szCs w:val="24"/>
          <w:highlight w:val="none"/>
          <w:u w:val="single"/>
        </w:rPr>
        <w:t>纸质和光盘(电子档案)</w:t>
      </w:r>
      <w:r>
        <w:rPr>
          <w:rStyle w:val="14"/>
          <w:rFonts w:ascii="宋体" w:hAnsi="宋体"/>
          <w:color w:val="auto"/>
          <w:kern w:val="2"/>
          <w:sz w:val="24"/>
          <w:szCs w:val="24"/>
          <w:highlight w:val="none"/>
          <w:u w:val="single"/>
        </w:rPr>
        <w:t>。</w:t>
      </w:r>
    </w:p>
    <w:p w14:paraId="457526D1">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w:t>
      </w:r>
      <w:r>
        <w:rPr>
          <w:rStyle w:val="14"/>
          <w:rFonts w:hint="eastAsia" w:ascii="宋体" w:hAnsi="宋体"/>
          <w:color w:val="auto"/>
          <w:sz w:val="24"/>
          <w:szCs w:val="24"/>
          <w:highlight w:val="none"/>
        </w:rPr>
        <w:t>10</w:t>
      </w:r>
      <w:r>
        <w:rPr>
          <w:rStyle w:val="14"/>
          <w:rFonts w:ascii="宋体" w:hAnsi="宋体"/>
          <w:color w:val="auto"/>
          <w:sz w:val="24"/>
          <w:szCs w:val="24"/>
          <w:highlight w:val="none"/>
        </w:rPr>
        <w:t>）承包人应履行的其他义务：</w:t>
      </w:r>
      <w:r>
        <w:rPr>
          <w:rStyle w:val="14"/>
          <w:rFonts w:hint="eastAsia" w:ascii="宋体" w:hAnsi="宋体"/>
          <w:color w:val="auto"/>
          <w:kern w:val="2"/>
          <w:sz w:val="24"/>
          <w:szCs w:val="24"/>
          <w:highlight w:val="none"/>
          <w:u w:val="single"/>
        </w:rPr>
        <w:t>承包人应当对在施工场地或者附近实施与合同工程有关的其他工作的独立承包人履行管理、协调、配合、照管和服务义务。</w:t>
      </w:r>
    </w:p>
    <w:p w14:paraId="590B82A5">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3.2 项目经理</w:t>
      </w:r>
    </w:p>
    <w:p w14:paraId="1EF5BCF8">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sz w:val="24"/>
          <w:szCs w:val="24"/>
          <w:highlight w:val="none"/>
        </w:rPr>
        <w:t xml:space="preserve">3.2.1 </w:t>
      </w:r>
      <w:r>
        <w:rPr>
          <w:rStyle w:val="14"/>
          <w:rFonts w:ascii="宋体" w:hAnsi="宋体"/>
          <w:color w:val="auto"/>
          <w:kern w:val="2"/>
          <w:sz w:val="24"/>
          <w:szCs w:val="24"/>
          <w:highlight w:val="none"/>
        </w:rPr>
        <w:t>项目经理：</w:t>
      </w:r>
    </w:p>
    <w:p w14:paraId="2DB73C5C">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姓    名：</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4A183868">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身份证号：</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4001B6C5">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建造师执业资格等级：</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127E1DF8">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建造师注册证书号：</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2F201462">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建造师执业印章号：</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36E89320">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安全生产考核合格证书号：</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58B9DFAF">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联系电话：</w:t>
      </w:r>
      <w:r>
        <w:rPr>
          <w:rStyle w:val="14"/>
          <w:rFonts w:hint="eastAsia" w:ascii="宋体" w:hAnsi="宋体" w:cs="宋体"/>
          <w:color w:val="auto"/>
          <w:kern w:val="2"/>
          <w:sz w:val="24"/>
          <w:szCs w:val="24"/>
          <w:highlight w:val="none"/>
          <w:u w:val="single"/>
        </w:rPr>
        <w:t>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0F390902">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电子信箱：</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2EC0366E">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通信地址：</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498A4116">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承包人对项目经理的授权范围如下：</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s="宋体"/>
          <w:color w:val="auto"/>
          <w:kern w:val="2"/>
          <w:sz w:val="24"/>
          <w:szCs w:val="24"/>
          <w:highlight w:val="none"/>
          <w:u w:val="singl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27E1C14C">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关于项目经理每月在施工现场的时间要求：</w:t>
      </w:r>
      <w:r>
        <w:rPr>
          <w:rStyle w:val="14"/>
          <w:rFonts w:hint="eastAsia" w:ascii="宋体" w:hAnsi="宋体"/>
          <w:color w:val="auto"/>
          <w:kern w:val="2"/>
          <w:sz w:val="24"/>
          <w:szCs w:val="24"/>
          <w:highlight w:val="none"/>
          <w:u w:val="single"/>
        </w:rPr>
        <w:t>不少于24 日（必须满足现场施工需求）。</w:t>
      </w:r>
    </w:p>
    <w:p w14:paraId="1A533E9B">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sz w:val="24"/>
          <w:szCs w:val="24"/>
          <w:highlight w:val="none"/>
        </w:rPr>
        <w:t>承包人未提交劳动合同，以及没有为项目经理缴纳社会保险证明的违约责任：</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14:paraId="70253F05">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sz w:val="24"/>
          <w:szCs w:val="24"/>
          <w:highlight w:val="none"/>
        </w:rPr>
        <w:t>项目经理未经批准，擅自离开施工现场的违约责任：</w:t>
      </w:r>
      <w:r>
        <w:rPr>
          <w:rStyle w:val="14"/>
          <w:rFonts w:hint="eastAsia" w:ascii="宋体" w:hAnsi="宋体"/>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14:paraId="02050C71">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3.2.3 承包人擅自更换项目经理的违约责任：</w:t>
      </w:r>
      <w:r>
        <w:rPr>
          <w:rStyle w:val="14"/>
          <w:rFonts w:hint="eastAsia" w:ascii="宋体" w:hAnsi="宋体"/>
          <w:color w:val="auto"/>
          <w:kern w:val="2"/>
          <w:sz w:val="24"/>
          <w:szCs w:val="24"/>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14:paraId="0883377E">
      <w:pPr>
        <w:pStyle w:val="21"/>
        <w:spacing w:line="360" w:lineRule="auto"/>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 xml:space="preserve">    3.2.4 承包人无正当理由拒绝更换项目经理的违约责任：</w:t>
      </w:r>
      <w:r>
        <w:rPr>
          <w:rStyle w:val="14"/>
          <w:rFonts w:hint="eastAsia" w:ascii="宋体" w:hAnsi="宋体"/>
          <w:color w:val="auto"/>
          <w:kern w:val="2"/>
          <w:sz w:val="24"/>
          <w:szCs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14:paraId="3FF7FA2B">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3.3 承包人人员</w:t>
      </w:r>
    </w:p>
    <w:p w14:paraId="39AF0FAF">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3.3.1 承包人提交项目管理机构及施工现场管理人员安排报告的期限：</w:t>
      </w:r>
      <w:r>
        <w:rPr>
          <w:rStyle w:val="14"/>
          <w:rFonts w:hint="eastAsia" w:ascii="宋体" w:hAnsi="宋体"/>
          <w:color w:val="auto"/>
          <w:kern w:val="2"/>
          <w:sz w:val="24"/>
          <w:szCs w:val="24"/>
          <w:highlight w:val="none"/>
          <w:u w:val="single"/>
        </w:rPr>
        <w:t>开工通知后7日内  。</w:t>
      </w:r>
    </w:p>
    <w:p w14:paraId="7D7A2F41">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3.3.3 承包人无正当理由拒绝撤换主要施工管理人员的违约责任：</w:t>
      </w:r>
      <w:r>
        <w:rPr>
          <w:rStyle w:val="14"/>
          <w:rFonts w:hint="eastAsia" w:ascii="宋体" w:hAnsi="宋体"/>
          <w:color w:val="auto"/>
          <w:kern w:val="2"/>
          <w:sz w:val="24"/>
          <w:szCs w:val="24"/>
          <w:highlight w:val="none"/>
          <w:u w:val="single"/>
        </w:rPr>
        <w:t>承包人未按发包人要求更换主要施工人员且无正当理由的，发包人有权要求承包人停止施工，并由承包人承担由此产生的一切损失。</w:t>
      </w:r>
    </w:p>
    <w:p w14:paraId="7E8CFB82">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 xml:space="preserve">3.3.4 承包人主要施工管理人员离开施工现场的批准要求：   </w:t>
      </w:r>
      <w:r>
        <w:rPr>
          <w:rStyle w:val="14"/>
          <w:rFonts w:hint="eastAsia" w:ascii="宋体" w:hAnsi="宋体"/>
          <w:color w:val="auto"/>
          <w:kern w:val="2"/>
          <w:sz w:val="24"/>
          <w:szCs w:val="24"/>
          <w:highlight w:val="none"/>
          <w:u w:val="single"/>
        </w:rPr>
        <w:t>必须取得监理和发包人的书面同意   。</w:t>
      </w:r>
    </w:p>
    <w:p w14:paraId="6D149D56">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3.3.5承包人擅自更换主要施工管理人员的违约责任：</w:t>
      </w:r>
      <w:r>
        <w:rPr>
          <w:rStyle w:val="14"/>
          <w:rFonts w:hint="eastAsia" w:ascii="宋体" w:hAnsi="宋体"/>
          <w:color w:val="auto"/>
          <w:kern w:val="2"/>
          <w:sz w:val="24"/>
          <w:szCs w:val="24"/>
          <w:highlight w:val="none"/>
          <w:u w:val="single"/>
        </w:rPr>
        <w:t>发现每1 人次扣违约金5000 元整，并要求承包人更正   。</w:t>
      </w:r>
    </w:p>
    <w:p w14:paraId="2CE7E1C8">
      <w:pPr>
        <w:pStyle w:val="21"/>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承包人主要施工管理人员擅自离开施工现场的违约责任：</w:t>
      </w:r>
      <w:r>
        <w:rPr>
          <w:rStyle w:val="14"/>
          <w:rFonts w:hint="eastAsia" w:ascii="宋体" w:hAnsi="宋体"/>
          <w:color w:val="auto"/>
          <w:kern w:val="2"/>
          <w:sz w:val="24"/>
          <w:szCs w:val="24"/>
          <w:highlight w:val="none"/>
          <w:u w:val="single"/>
        </w:rPr>
        <w:t xml:space="preserve">  发现每1人次.日扣违约金1000元整 。 上述违约金发包人有权自工程款中径行扣除。</w:t>
      </w:r>
    </w:p>
    <w:p w14:paraId="6F7073A3">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w:t>
      </w:r>
      <w:bookmarkStart w:id="833" w:name="_Toc292559869"/>
      <w:bookmarkStart w:id="834" w:name="_Toc296503159"/>
      <w:bookmarkStart w:id="835" w:name="_Toc297120459"/>
      <w:bookmarkStart w:id="836" w:name="_Toc300934945"/>
      <w:bookmarkStart w:id="837" w:name="_Toc304295523"/>
      <w:bookmarkStart w:id="838" w:name="_Toc296891199"/>
      <w:bookmarkStart w:id="839" w:name="_Toc296347158"/>
      <w:bookmarkStart w:id="840" w:name="_Toc303539102"/>
      <w:bookmarkStart w:id="841" w:name="_Toc312677988"/>
      <w:bookmarkStart w:id="842" w:name="_Toc296944498"/>
      <w:bookmarkStart w:id="843" w:name="_Toc292559364"/>
      <w:bookmarkStart w:id="844" w:name="_Toc296890987"/>
      <w:bookmarkStart w:id="845" w:name="_Toc297216151"/>
      <w:bookmarkStart w:id="846" w:name="_Toc297048345"/>
      <w:bookmarkStart w:id="847" w:name="_Toc297123492"/>
      <w:bookmarkStart w:id="848" w:name="_Toc296346660"/>
      <w:r>
        <w:rPr>
          <w:rStyle w:val="14"/>
          <w:rFonts w:ascii="宋体" w:hAnsi="宋体"/>
          <w:color w:val="auto"/>
          <w:kern w:val="2"/>
          <w:sz w:val="24"/>
          <w:szCs w:val="24"/>
          <w:highlight w:val="none"/>
        </w:rPr>
        <w:t>.5 分包</w:t>
      </w:r>
    </w:p>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14:paraId="089D0F05">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w:t>
      </w:r>
      <w:bookmarkStart w:id="849" w:name="_Toc303539103"/>
      <w:bookmarkStart w:id="850" w:name="_Toc297120460"/>
      <w:bookmarkStart w:id="851" w:name="_Toc296346661"/>
      <w:bookmarkStart w:id="852" w:name="_Toc297216152"/>
      <w:bookmarkStart w:id="853" w:name="_Toc292559870"/>
      <w:bookmarkStart w:id="854" w:name="_Toc300934946"/>
      <w:bookmarkStart w:id="855" w:name="_Toc304295524"/>
      <w:bookmarkStart w:id="856" w:name="_Toc296890988"/>
      <w:bookmarkStart w:id="857" w:name="_Toc296944499"/>
      <w:bookmarkStart w:id="858" w:name="_Toc296503160"/>
      <w:bookmarkStart w:id="859" w:name="_Toc292559365"/>
      <w:bookmarkStart w:id="860" w:name="_Toc297123493"/>
      <w:bookmarkStart w:id="861" w:name="_Toc296891200"/>
      <w:bookmarkStart w:id="862" w:name="_Toc297048346"/>
      <w:bookmarkStart w:id="863" w:name="_Toc296347159"/>
      <w:bookmarkStart w:id="864" w:name="_Toc312677989"/>
      <w:bookmarkStart w:id="865" w:name="_Toc318581158"/>
      <w:r>
        <w:rPr>
          <w:rStyle w:val="14"/>
          <w:rFonts w:ascii="宋体" w:hAnsi="宋体"/>
          <w:color w:val="auto"/>
          <w:kern w:val="2"/>
          <w:sz w:val="24"/>
          <w:szCs w:val="24"/>
          <w:highlight w:val="none"/>
        </w:rPr>
        <w:t>.5.1 分包的一般约定</w:t>
      </w:r>
    </w:p>
    <w:p w14:paraId="255168F0">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禁止分包的工程包括：</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sz w:val="24"/>
          <w:szCs w:val="24"/>
          <w:highlight w:val="none"/>
          <w:u w:val="singl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819C945">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主体结构、关键性工作的范围：</w:t>
      </w:r>
      <w:r>
        <w:rPr>
          <w:rStyle w:val="14"/>
          <w:rFonts w:ascii="宋体" w:hAnsi="宋体" w:cs="宋体"/>
          <w:color w:val="auto"/>
          <w:kern w:val="2"/>
          <w:sz w:val="24"/>
          <w:szCs w:val="24"/>
          <w:highlight w:val="none"/>
          <w:u w:val="single"/>
        </w:rPr>
        <w:t></w:t>
      </w:r>
      <w:r>
        <w:rPr>
          <w:rStyle w:val="14"/>
          <w:rFonts w:hint="eastAsia" w:ascii="宋体" w:hAnsi="宋体"/>
          <w:color w:val="auto"/>
          <w:sz w:val="24"/>
          <w:szCs w:val="24"/>
          <w:highlight w:val="none"/>
          <w:u w:val="singl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Start w:id="866" w:name="_Toc297048347"/>
      <w:bookmarkStart w:id="867" w:name="_Toc296944500"/>
      <w:bookmarkStart w:id="868" w:name="_Toc296890989"/>
      <w:bookmarkStart w:id="869" w:name="_Toc296347160"/>
      <w:bookmarkStart w:id="870" w:name="_Toc296891201"/>
      <w:bookmarkStart w:id="871" w:name="_Toc297216153"/>
      <w:bookmarkStart w:id="872" w:name="_Toc297123494"/>
      <w:bookmarkStart w:id="873" w:name="_Toc304295525"/>
      <w:bookmarkStart w:id="874" w:name="_Toc297120461"/>
      <w:bookmarkStart w:id="875" w:name="_Toc296346662"/>
      <w:bookmarkStart w:id="876" w:name="_Toc296503161"/>
      <w:bookmarkStart w:id="877" w:name="_Toc300934947"/>
      <w:bookmarkStart w:id="878" w:name="_Toc303539104"/>
    </w:p>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14:paraId="25BA18D9">
      <w:pPr>
        <w:pStyle w:val="20"/>
        <w:spacing w:line="360" w:lineRule="auto"/>
        <w:rPr>
          <w:rStyle w:val="14"/>
          <w:rFonts w:ascii="宋体" w:hAnsi="宋体"/>
          <w:color w:val="auto"/>
          <w:kern w:val="2"/>
          <w:sz w:val="24"/>
          <w:szCs w:val="24"/>
          <w:highlight w:val="none"/>
        </w:rPr>
      </w:pPr>
      <w:r>
        <w:rPr>
          <w:rStyle w:val="14"/>
          <w:rFonts w:ascii="宋体" w:hAnsi="宋体"/>
          <w:color w:val="auto"/>
          <w:kern w:val="2"/>
          <w:sz w:val="24"/>
          <w:szCs w:val="24"/>
          <w:highlight w:val="none"/>
        </w:rPr>
        <w:t xml:space="preserve">    3</w:t>
      </w:r>
      <w:bookmarkStart w:id="879" w:name="_Toc312677990"/>
      <w:bookmarkStart w:id="880" w:name="_Toc318581159"/>
      <w:r>
        <w:rPr>
          <w:rStyle w:val="14"/>
          <w:rFonts w:ascii="宋体" w:hAnsi="宋体"/>
          <w:color w:val="auto"/>
          <w:kern w:val="2"/>
          <w:sz w:val="24"/>
          <w:szCs w:val="24"/>
          <w:highlight w:val="none"/>
        </w:rPr>
        <w:t>.5.2分包的确定</w:t>
      </w:r>
    </w:p>
    <w:p w14:paraId="203C4858">
      <w:pPr>
        <w:pStyle w:val="20"/>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允许分包的专业工程包括：</w:t>
      </w:r>
      <w:r>
        <w:rPr>
          <w:rStyle w:val="14"/>
          <w:rFonts w:ascii="宋体" w:hAnsi="宋体" w:cs="宋体"/>
          <w:color w:val="auto"/>
          <w:kern w:val="2"/>
          <w:sz w:val="24"/>
          <w:szCs w:val="24"/>
          <w:highlight w:val="none"/>
          <w:u w:val="single"/>
        </w:rPr>
        <w:t></w:t>
      </w:r>
      <w:r>
        <w:rPr>
          <w:rStyle w:val="14"/>
          <w:rFonts w:hint="eastAsia" w:ascii="宋体" w:hAnsi="宋体"/>
          <w:color w:val="auto"/>
          <w:sz w:val="24"/>
          <w:szCs w:val="24"/>
          <w:highlight w:val="none"/>
          <w:u w:val="single"/>
        </w:rPr>
        <w:t>/</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21FD081C">
      <w:pPr>
        <w:pStyle w:val="20"/>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其他关于分包的约定：</w:t>
      </w:r>
      <w:r>
        <w:rPr>
          <w:rStyle w:val="14"/>
          <w:rFonts w:hint="eastAsia" w:ascii="宋体" w:hAnsi="宋体"/>
          <w:color w:val="auto"/>
          <w:kern w:val="2"/>
          <w:sz w:val="24"/>
          <w:szCs w:val="24"/>
          <w:highlight w:val="none"/>
          <w:u w:val="single"/>
        </w:rPr>
        <w:t xml:space="preserve"> 本工程不得转包、分包或挂靠</w:t>
      </w:r>
      <w:r>
        <w:rPr>
          <w:rStyle w:val="14"/>
          <w:rFonts w:ascii="宋体" w:hAnsi="宋体"/>
          <w:color w:val="auto"/>
          <w:kern w:val="2"/>
          <w:sz w:val="24"/>
          <w:szCs w:val="24"/>
          <w:highlight w:val="none"/>
          <w:u w:val="single"/>
        </w:rPr>
        <w:t>。</w:t>
      </w:r>
    </w:p>
    <w:p w14:paraId="5A2E1B60">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3.5.4 分包合同价款</w:t>
      </w:r>
    </w:p>
    <w:p w14:paraId="7BB5D5AC">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关于分包合同价款支付的约定：</w:t>
      </w:r>
      <w:r>
        <w:rPr>
          <w:rStyle w:val="14"/>
          <w:rFonts w:hint="eastAsia" w:ascii="宋体" w:hAnsi="宋体" w:cs="宋体"/>
          <w:color w:val="auto"/>
          <w:kern w:val="2"/>
          <w:sz w:val="24"/>
          <w:szCs w:val="24"/>
          <w:highlight w:val="none"/>
          <w:u w:val="single"/>
        </w:rPr>
        <w:t xml:space="preserve">     </w:t>
      </w:r>
      <w:r>
        <w:rPr>
          <w:rStyle w:val="14"/>
          <w:rFonts w:hint="eastAsia" w:ascii="宋体" w:hAnsi="宋体"/>
          <w:color w:val="auto"/>
          <w:sz w:val="24"/>
          <w:szCs w:val="24"/>
          <w:highlight w:val="none"/>
          <w:u w:val="singl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bookmarkEnd w:id="879"/>
    <w:bookmarkEnd w:id="880"/>
    <w:p w14:paraId="51386CBE">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3.6 工程照管与成品、半成品保护</w:t>
      </w:r>
    </w:p>
    <w:p w14:paraId="1E66AF8E">
      <w:pPr>
        <w:pStyle w:val="21"/>
        <w:spacing w:before="120" w:after="120"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sz w:val="24"/>
          <w:szCs w:val="24"/>
          <w:highlight w:val="none"/>
        </w:rPr>
        <w:t>承包人负责照管工程及工程相关的材料、工程设备的起始时间：</w:t>
      </w:r>
      <w:r>
        <w:rPr>
          <w:rStyle w:val="14"/>
          <w:rFonts w:hint="eastAsia" w:ascii="宋体" w:hAnsi="宋体"/>
          <w:color w:val="auto"/>
          <w:kern w:val="2"/>
          <w:sz w:val="24"/>
          <w:szCs w:val="24"/>
          <w:highlight w:val="none"/>
          <w:u w:val="single"/>
        </w:rPr>
        <w:t>设备、人员进场至验收合格并交付使用之前，均由承包人负责照管、保修，所产生的费用由承包人承担  。</w:t>
      </w:r>
    </w:p>
    <w:p w14:paraId="1304A27C">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3.7 履约担保</w:t>
      </w:r>
    </w:p>
    <w:p w14:paraId="2B3E7F05">
      <w:pPr>
        <w:pStyle w:val="20"/>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承包人是否提供履约担保：</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提供</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72C2DD3B">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承包人提供履约担保的形式</w:t>
      </w:r>
      <w:r>
        <w:rPr>
          <w:rStyle w:val="14"/>
          <w:rFonts w:hint="eastAsia" w:ascii="宋体" w:hAnsi="宋体"/>
          <w:color w:val="auto"/>
          <w:kern w:val="2"/>
          <w:sz w:val="24"/>
          <w:szCs w:val="24"/>
          <w:highlight w:val="none"/>
        </w:rPr>
        <w:t>、金额及期限的</w:t>
      </w:r>
      <w:r>
        <w:rPr>
          <w:rStyle w:val="14"/>
          <w:rFonts w:ascii="宋体" w:hAnsi="宋体"/>
          <w:color w:val="auto"/>
          <w:kern w:val="2"/>
          <w:sz w:val="24"/>
          <w:szCs w:val="24"/>
          <w:highlight w:val="non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合同签订前，承包人合同金额的5</w:t>
      </w:r>
      <w:r>
        <w:rPr>
          <w:rStyle w:val="14"/>
          <w:rFonts w:ascii="宋体" w:hAnsi="宋体"/>
          <w:color w:val="auto"/>
          <w:kern w:val="2"/>
          <w:sz w:val="24"/>
          <w:szCs w:val="24"/>
          <w:highlight w:val="none"/>
          <w:u w:val="single"/>
        </w:rPr>
        <w:t>%</w:t>
      </w:r>
      <w:r>
        <w:rPr>
          <w:rStyle w:val="14"/>
          <w:rFonts w:hint="eastAsia" w:ascii="宋体" w:hAnsi="宋体"/>
          <w:color w:val="auto"/>
          <w:kern w:val="2"/>
          <w:sz w:val="24"/>
          <w:szCs w:val="24"/>
          <w:highlight w:val="none"/>
          <w:u w:val="single"/>
        </w:rPr>
        <w:t>履约担保，形式为银行保函、现金、汇款，项目竣工验收后7日内退还</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p>
    <w:p w14:paraId="11ED062A">
      <w:pPr>
        <w:pStyle w:val="22"/>
        <w:spacing w:before="120" w:after="120" w:line="360" w:lineRule="auto"/>
        <w:outlineLvl w:val="9"/>
        <w:rPr>
          <w:rStyle w:val="14"/>
          <w:rFonts w:ascii="宋体" w:hAnsi="宋体" w:eastAsia="宋体"/>
          <w:b w:val="0"/>
          <w:color w:val="auto"/>
          <w:sz w:val="24"/>
          <w:szCs w:val="24"/>
          <w:highlight w:val="none"/>
        </w:rPr>
      </w:pPr>
      <w:bookmarkStart w:id="881" w:name="_Toc256000831"/>
      <w:bookmarkStart w:id="882" w:name="_Toc256000335"/>
      <w:bookmarkStart w:id="883" w:name="_Toc69461155"/>
      <w:bookmarkStart w:id="884" w:name="_Toc256000564"/>
      <w:bookmarkStart w:id="885" w:name="_Toc256001298"/>
      <w:bookmarkStart w:id="886" w:name="_Toc256001068"/>
      <w:bookmarkStart w:id="887" w:name="_Toc4268"/>
      <w:bookmarkStart w:id="888" w:name="_Toc351203636"/>
      <w:bookmarkStart w:id="889" w:name="_Toc69461810"/>
      <w:bookmarkStart w:id="890" w:name="_Toc26892"/>
      <w:r>
        <w:rPr>
          <w:rStyle w:val="14"/>
          <w:rFonts w:ascii="宋体" w:hAnsi="宋体" w:eastAsia="宋体"/>
          <w:b w:val="0"/>
          <w:color w:val="auto"/>
          <w:sz w:val="24"/>
          <w:szCs w:val="24"/>
          <w:highlight w:val="none"/>
        </w:rPr>
        <w:t>4</w:t>
      </w:r>
      <w:bookmarkStart w:id="891" w:name="_Toc296890990"/>
      <w:bookmarkStart w:id="892" w:name="_Toc296944501"/>
      <w:bookmarkStart w:id="893" w:name="_Toc292559871"/>
      <w:bookmarkStart w:id="894" w:name="_Toc267251413"/>
      <w:bookmarkStart w:id="895" w:name="_Toc297120462"/>
      <w:bookmarkStart w:id="896" w:name="_Toc297048348"/>
      <w:bookmarkStart w:id="897" w:name="_Toc292559366"/>
      <w:bookmarkStart w:id="898" w:name="_Toc296347161"/>
      <w:bookmarkStart w:id="899" w:name="_Toc296891202"/>
      <w:bookmarkStart w:id="900" w:name="_Toc296503162"/>
      <w:bookmarkStart w:id="901" w:name="_Toc296346663"/>
      <w:r>
        <w:rPr>
          <w:rStyle w:val="14"/>
          <w:rFonts w:ascii="宋体" w:hAnsi="宋体" w:eastAsia="宋体"/>
          <w:b w:val="0"/>
          <w:color w:val="auto"/>
          <w:sz w:val="24"/>
          <w:szCs w:val="24"/>
          <w:highlight w:val="none"/>
        </w:rPr>
        <w:t>. 监</w:t>
      </w:r>
      <w:bookmarkEnd w:id="891"/>
      <w:bookmarkEnd w:id="892"/>
      <w:bookmarkEnd w:id="893"/>
      <w:bookmarkEnd w:id="894"/>
      <w:bookmarkEnd w:id="895"/>
      <w:bookmarkEnd w:id="896"/>
      <w:bookmarkEnd w:id="897"/>
      <w:bookmarkEnd w:id="898"/>
      <w:bookmarkEnd w:id="899"/>
      <w:bookmarkEnd w:id="900"/>
      <w:bookmarkEnd w:id="901"/>
      <w:r>
        <w:rPr>
          <w:rStyle w:val="14"/>
          <w:rFonts w:ascii="宋体" w:hAnsi="宋体" w:eastAsia="宋体"/>
          <w:b w:val="0"/>
          <w:color w:val="auto"/>
          <w:sz w:val="24"/>
          <w:szCs w:val="24"/>
          <w:highlight w:val="none"/>
        </w:rPr>
        <w:t>理人</w:t>
      </w:r>
      <w:bookmarkEnd w:id="881"/>
      <w:bookmarkEnd w:id="882"/>
      <w:bookmarkEnd w:id="883"/>
      <w:bookmarkEnd w:id="884"/>
      <w:bookmarkEnd w:id="885"/>
      <w:bookmarkEnd w:id="886"/>
      <w:bookmarkEnd w:id="887"/>
      <w:bookmarkEnd w:id="888"/>
      <w:bookmarkEnd w:id="889"/>
      <w:bookmarkEnd w:id="890"/>
    </w:p>
    <w:p w14:paraId="57AF0245">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4.1监理人的一般规定</w:t>
      </w:r>
    </w:p>
    <w:p w14:paraId="0855432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关于监理人的监理内容：</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742EA986">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关于监理人的监理权限：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 xml:space="preserve">。 </w:t>
      </w:r>
    </w:p>
    <w:p w14:paraId="6821BB6C">
      <w:pPr>
        <w:pStyle w:val="20"/>
        <w:spacing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关于监理人在施工现场的办公场所、生活场所的提供和费用承担的约定：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p>
    <w:p w14:paraId="6BE09C3A">
      <w:pPr>
        <w:pStyle w:val="20"/>
        <w:spacing w:line="360" w:lineRule="auto"/>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7130182C">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4.2 监理人员</w:t>
      </w:r>
    </w:p>
    <w:p w14:paraId="7211D4EF">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总监理工程师：</w:t>
      </w:r>
    </w:p>
    <w:p w14:paraId="7798E53C">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姓    名：</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04A1A7BF">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职    务：</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056F3164">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监理工程师执业资格证书号：</w:t>
      </w:r>
      <w:r>
        <w:rPr>
          <w:rStyle w:val="14"/>
          <w:rFonts w:hint="eastAsia" w:ascii="宋体" w:hAnsi="宋体" w:cs="宋体"/>
          <w:color w:val="auto"/>
          <w:kern w:val="2"/>
          <w:sz w:val="24"/>
          <w:szCs w:val="24"/>
          <w:highlight w:val="none"/>
          <w:u w:val="single"/>
        </w:rPr>
        <w:t> </w:t>
      </w:r>
      <w:r>
        <w:rPr>
          <w:rStyle w:val="14"/>
          <w:rFonts w:ascii="宋体" w:hAnsi="宋体"/>
          <w:color w:val="auto"/>
          <w:kern w:val="2"/>
          <w:sz w:val="24"/>
          <w:szCs w:val="24"/>
          <w:highlight w:val="none"/>
        </w:rPr>
        <w:t>；</w:t>
      </w:r>
    </w:p>
    <w:p w14:paraId="0F442913">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联系电话：</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6B43A09F">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电子信箱：</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33C2F84E">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通信地址：</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3CB99669">
      <w:pPr>
        <w:pStyle w:val="20"/>
        <w:spacing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关于监理人的其他约定：</w:t>
      </w:r>
      <w:r>
        <w:rPr>
          <w:rStyle w:val="14"/>
          <w:rFonts w:hint="eastAsia" w:ascii="宋体" w:hAnsi="宋体" w:cs="宋体"/>
          <w:color w:val="auto"/>
          <w:kern w:val="2"/>
          <w:sz w:val="24"/>
          <w:szCs w:val="24"/>
          <w:highlight w:val="none"/>
          <w:u w:val="single"/>
        </w:rPr>
        <w:t>   </w:t>
      </w:r>
      <w:r>
        <w:rPr>
          <w:rStyle w:val="14"/>
          <w:rFonts w:ascii="宋体" w:hAnsi="宋体"/>
          <w:color w:val="auto"/>
          <w:kern w:val="2"/>
          <w:sz w:val="24"/>
          <w:szCs w:val="24"/>
          <w:highlight w:val="none"/>
        </w:rPr>
        <w:t>。</w:t>
      </w:r>
    </w:p>
    <w:p w14:paraId="323AC892">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4.4 商定或确定</w:t>
      </w:r>
    </w:p>
    <w:p w14:paraId="40F70419">
      <w:pPr>
        <w:pStyle w:val="20"/>
        <w:spacing w:line="360" w:lineRule="auto"/>
        <w:ind w:firstLine="480" w:firstLineChars="200"/>
        <w:rPr>
          <w:rStyle w:val="14"/>
          <w:rFonts w:ascii="宋体" w:hAnsi="宋体"/>
          <w:color w:val="auto"/>
          <w:kern w:val="2"/>
          <w:sz w:val="24"/>
          <w:szCs w:val="24"/>
          <w:highlight w:val="none"/>
        </w:rPr>
      </w:pPr>
      <w:bookmarkStart w:id="902" w:name="_Toc267251418"/>
      <w:r>
        <w:rPr>
          <w:rStyle w:val="14"/>
          <w:rFonts w:ascii="宋体" w:hAnsi="宋体"/>
          <w:color w:val="auto"/>
          <w:kern w:val="2"/>
          <w:sz w:val="24"/>
          <w:szCs w:val="24"/>
          <w:highlight w:val="none"/>
        </w:rPr>
        <w:t>在发包人和承包人不能通过协商达成一致意见时，发包人授权监理人对以下事项进行确定：</w:t>
      </w:r>
    </w:p>
    <w:p w14:paraId="58954D0D">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6C51C23">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（2）</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45DF3B7A">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（3）</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FB522FC">
      <w:pPr>
        <w:pStyle w:val="22"/>
        <w:spacing w:before="120" w:after="120" w:line="360" w:lineRule="auto"/>
        <w:outlineLvl w:val="9"/>
        <w:rPr>
          <w:rStyle w:val="14"/>
          <w:rFonts w:ascii="宋体" w:hAnsi="宋体" w:eastAsia="宋体"/>
          <w:b w:val="0"/>
          <w:color w:val="auto"/>
          <w:sz w:val="24"/>
          <w:szCs w:val="24"/>
          <w:highlight w:val="none"/>
        </w:rPr>
      </w:pPr>
      <w:bookmarkStart w:id="903" w:name="_Toc351203637"/>
      <w:bookmarkStart w:id="904" w:name="_Toc256000336"/>
      <w:bookmarkStart w:id="905" w:name="_Toc256000565"/>
      <w:bookmarkStart w:id="906" w:name="_Toc256001299"/>
      <w:bookmarkStart w:id="907" w:name="_Toc69461811"/>
      <w:bookmarkStart w:id="908" w:name="_Toc69461156"/>
      <w:bookmarkStart w:id="909" w:name="_Toc256001069"/>
      <w:bookmarkStart w:id="910" w:name="_Toc256000832"/>
      <w:bookmarkStart w:id="911" w:name="_Toc30373"/>
      <w:bookmarkStart w:id="912" w:name="_Toc21299"/>
      <w:r>
        <w:rPr>
          <w:rStyle w:val="14"/>
          <w:rFonts w:ascii="宋体" w:hAnsi="宋体" w:eastAsia="宋体"/>
          <w:b w:val="0"/>
          <w:color w:val="auto"/>
          <w:sz w:val="24"/>
          <w:szCs w:val="24"/>
          <w:highlight w:val="none"/>
        </w:rPr>
        <w:t>5</w:t>
      </w:r>
      <w:bookmarkEnd w:id="902"/>
      <w:bookmarkStart w:id="913" w:name="_Toc297120463"/>
      <w:bookmarkStart w:id="914" w:name="_Toc296503163"/>
      <w:bookmarkStart w:id="915" w:name="_Toc296890991"/>
      <w:bookmarkStart w:id="916" w:name="_Toc297048349"/>
      <w:bookmarkStart w:id="917" w:name="_Toc296347162"/>
      <w:bookmarkStart w:id="918" w:name="_Toc292559872"/>
      <w:bookmarkStart w:id="919" w:name="_Toc292559367"/>
      <w:bookmarkStart w:id="920" w:name="_Toc296346664"/>
      <w:bookmarkStart w:id="921" w:name="_Toc296891203"/>
      <w:bookmarkStart w:id="922" w:name="_Toc296944502"/>
      <w:r>
        <w:rPr>
          <w:rStyle w:val="14"/>
          <w:rFonts w:ascii="宋体" w:hAnsi="宋体" w:eastAsia="宋体"/>
          <w:b w:val="0"/>
          <w:color w:val="auto"/>
          <w:sz w:val="24"/>
          <w:szCs w:val="24"/>
          <w:highlight w:val="none"/>
        </w:rPr>
        <w:t>. 工程质量</w:t>
      </w:r>
      <w:bookmarkEnd w:id="903"/>
      <w:bookmarkEnd w:id="904"/>
      <w:bookmarkEnd w:id="905"/>
      <w:bookmarkEnd w:id="906"/>
      <w:bookmarkEnd w:id="907"/>
      <w:bookmarkEnd w:id="908"/>
      <w:bookmarkEnd w:id="909"/>
      <w:bookmarkEnd w:id="910"/>
      <w:bookmarkEnd w:id="911"/>
      <w:bookmarkEnd w:id="912"/>
    </w:p>
    <w:p w14:paraId="320A5777">
      <w:pPr>
        <w:pStyle w:val="20"/>
        <w:spacing w:after="120" w:line="360" w:lineRule="auto"/>
        <w:ind w:firstLine="480" w:firstLineChars="200"/>
        <w:outlineLvl w:val="9"/>
        <w:rPr>
          <w:rStyle w:val="14"/>
          <w:rFonts w:ascii="宋体" w:hAnsi="宋体"/>
          <w:color w:val="auto"/>
          <w:kern w:val="2"/>
          <w:sz w:val="24"/>
          <w:szCs w:val="24"/>
          <w:highlight w:val="none"/>
        </w:rPr>
      </w:pPr>
      <w:bookmarkStart w:id="923" w:name="_Toc10657"/>
      <w:bookmarkStart w:id="924" w:name="_Toc22361"/>
      <w:bookmarkStart w:id="925" w:name="_Toc69461812"/>
      <w:bookmarkStart w:id="926" w:name="_Toc256000337"/>
      <w:bookmarkStart w:id="927" w:name="_Toc256000833"/>
      <w:bookmarkStart w:id="928" w:name="_Toc69461157"/>
      <w:bookmarkStart w:id="929" w:name="_Toc3403"/>
      <w:bookmarkStart w:id="930" w:name="_Toc256000566"/>
      <w:bookmarkStart w:id="931" w:name="_Toc6496"/>
      <w:bookmarkStart w:id="932" w:name="_Toc256001300"/>
      <w:bookmarkStart w:id="933" w:name="_Toc256000056"/>
      <w:bookmarkStart w:id="934" w:name="_Toc256001070"/>
      <w:r>
        <w:rPr>
          <w:rStyle w:val="14"/>
          <w:rFonts w:ascii="宋体" w:hAnsi="宋体"/>
          <w:color w:val="auto"/>
          <w:kern w:val="2"/>
          <w:sz w:val="24"/>
          <w:szCs w:val="24"/>
          <w:highlight w:val="none"/>
        </w:rPr>
        <w:t>5.1 质量要求</w:t>
      </w:r>
      <w:bookmarkEnd w:id="923"/>
      <w:bookmarkEnd w:id="924"/>
      <w:bookmarkEnd w:id="925"/>
      <w:bookmarkEnd w:id="926"/>
      <w:bookmarkEnd w:id="927"/>
      <w:bookmarkEnd w:id="928"/>
      <w:bookmarkEnd w:id="929"/>
      <w:bookmarkEnd w:id="930"/>
      <w:bookmarkEnd w:id="931"/>
      <w:bookmarkEnd w:id="932"/>
      <w:bookmarkEnd w:id="933"/>
      <w:bookmarkEnd w:id="934"/>
    </w:p>
    <w:p w14:paraId="56D9A9E9">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5</w:t>
      </w:r>
      <w:bookmarkStart w:id="935" w:name="_Toc297216155"/>
      <w:bookmarkStart w:id="936" w:name="_Toc297123496"/>
      <w:bookmarkStart w:id="937" w:name="_Toc312677997"/>
      <w:bookmarkStart w:id="938" w:name="_Toc300934949"/>
      <w:bookmarkStart w:id="939" w:name="_Toc304295527"/>
      <w:bookmarkStart w:id="940" w:name="_Toc303539106"/>
      <w:bookmarkStart w:id="941" w:name="_Toc318581164"/>
      <w:r>
        <w:rPr>
          <w:rStyle w:val="14"/>
          <w:rFonts w:ascii="宋体" w:hAnsi="宋体"/>
          <w:color w:val="auto"/>
          <w:kern w:val="2"/>
          <w:sz w:val="24"/>
          <w:szCs w:val="24"/>
          <w:highlight w:val="none"/>
        </w:rPr>
        <w:t>.1.1 特殊质量标准和要求：</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34CF82EE">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关于工程奖项的约定：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07049568">
      <w:pPr>
        <w:pStyle w:val="20"/>
        <w:spacing w:after="120" w:line="360" w:lineRule="auto"/>
        <w:ind w:firstLine="480" w:firstLineChars="200"/>
        <w:outlineLvl w:val="9"/>
        <w:rPr>
          <w:rStyle w:val="14"/>
          <w:rFonts w:ascii="宋体" w:hAnsi="宋体"/>
          <w:color w:val="auto"/>
          <w:kern w:val="2"/>
          <w:sz w:val="24"/>
          <w:szCs w:val="24"/>
          <w:highlight w:val="none"/>
        </w:rPr>
      </w:pPr>
      <w:bookmarkStart w:id="942" w:name="_Toc256000057"/>
      <w:bookmarkStart w:id="943" w:name="_Toc256001071"/>
      <w:bookmarkStart w:id="944" w:name="_Toc256000567"/>
      <w:bookmarkStart w:id="945" w:name="_Toc69461813"/>
      <w:bookmarkStart w:id="946" w:name="_Toc24636"/>
      <w:bookmarkStart w:id="947" w:name="_Toc256001301"/>
      <w:bookmarkStart w:id="948" w:name="_Toc69461158"/>
      <w:bookmarkStart w:id="949" w:name="_Toc14725"/>
      <w:bookmarkStart w:id="950" w:name="_Toc256000834"/>
      <w:bookmarkStart w:id="951" w:name="_Toc26904"/>
      <w:bookmarkStart w:id="952" w:name="_Toc256000338"/>
      <w:bookmarkStart w:id="953" w:name="_Toc13660"/>
      <w:r>
        <w:rPr>
          <w:rStyle w:val="14"/>
          <w:rFonts w:ascii="宋体" w:hAnsi="宋体"/>
          <w:color w:val="auto"/>
          <w:kern w:val="2"/>
          <w:sz w:val="24"/>
          <w:szCs w:val="24"/>
          <w:highlight w:val="none"/>
        </w:rPr>
        <w:t>5.3 隐蔽工程检查</w:t>
      </w:r>
      <w:bookmarkEnd w:id="942"/>
      <w:bookmarkEnd w:id="943"/>
      <w:bookmarkEnd w:id="944"/>
      <w:bookmarkEnd w:id="945"/>
      <w:bookmarkEnd w:id="946"/>
      <w:bookmarkEnd w:id="947"/>
      <w:bookmarkEnd w:id="948"/>
      <w:bookmarkEnd w:id="949"/>
      <w:bookmarkEnd w:id="950"/>
      <w:bookmarkEnd w:id="951"/>
      <w:bookmarkEnd w:id="952"/>
      <w:bookmarkEnd w:id="953"/>
    </w:p>
    <w:p w14:paraId="1B70A05E">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5.3.2承包人提前通知监理人隐蔽工程检查的期限的约定：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执行通用条款 </w:t>
      </w:r>
    </w:p>
    <w:p w14:paraId="6D219684">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监理人不能按时进行检查时，应提前</w:t>
      </w:r>
      <w:r>
        <w:rPr>
          <w:rStyle w:val="14"/>
          <w:rFonts w:ascii="宋体" w:hAnsi="宋体"/>
          <w:color w:val="auto"/>
          <w:kern w:val="2"/>
          <w:sz w:val="24"/>
          <w:szCs w:val="24"/>
          <w:highlight w:val="none"/>
          <w:u w:val="single"/>
        </w:rPr>
        <w:t xml:space="preserve"> 24 </w:t>
      </w:r>
      <w:r>
        <w:rPr>
          <w:rStyle w:val="14"/>
          <w:rFonts w:ascii="宋体" w:hAnsi="宋体"/>
          <w:color w:val="auto"/>
          <w:kern w:val="2"/>
          <w:sz w:val="24"/>
          <w:szCs w:val="24"/>
          <w:highlight w:val="none"/>
        </w:rPr>
        <w:t>小时提交书面延期要求。</w:t>
      </w:r>
    </w:p>
    <w:p w14:paraId="56CAD777">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关于延期最长不得超过：</w:t>
      </w:r>
      <w:r>
        <w:rPr>
          <w:rStyle w:val="14"/>
          <w:rFonts w:hint="eastAsia" w:ascii="宋体" w:hAnsi="宋体"/>
          <w:color w:val="auto"/>
          <w:kern w:val="2"/>
          <w:sz w:val="24"/>
          <w:szCs w:val="24"/>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14:paraId="506EBF84">
      <w:pPr>
        <w:pStyle w:val="22"/>
        <w:spacing w:before="120" w:after="120" w:line="360" w:lineRule="auto"/>
        <w:outlineLvl w:val="9"/>
        <w:rPr>
          <w:rStyle w:val="14"/>
          <w:rFonts w:ascii="宋体" w:hAnsi="宋体" w:eastAsia="宋体"/>
          <w:b w:val="0"/>
          <w:color w:val="auto"/>
          <w:sz w:val="24"/>
          <w:szCs w:val="24"/>
          <w:highlight w:val="none"/>
        </w:rPr>
      </w:pPr>
      <w:bookmarkStart w:id="954" w:name="_Toc256001302"/>
      <w:bookmarkStart w:id="955" w:name="_Toc69461159"/>
      <w:bookmarkStart w:id="956" w:name="_Toc69461814"/>
      <w:bookmarkStart w:id="957" w:name="_Toc25555"/>
      <w:bookmarkStart w:id="958" w:name="_Toc351203638"/>
      <w:bookmarkStart w:id="959" w:name="_Toc256001072"/>
      <w:bookmarkStart w:id="960" w:name="_Toc256000339"/>
      <w:bookmarkStart w:id="961" w:name="_Toc256000835"/>
      <w:bookmarkStart w:id="962" w:name="_Toc18974"/>
      <w:bookmarkStart w:id="963" w:name="_Toc256000568"/>
      <w:r>
        <w:rPr>
          <w:rStyle w:val="14"/>
          <w:rFonts w:ascii="宋体" w:hAnsi="宋体" w:eastAsia="宋体"/>
          <w:b w:val="0"/>
          <w:color w:val="auto"/>
          <w:sz w:val="24"/>
          <w:szCs w:val="24"/>
          <w:highlight w:val="none"/>
        </w:rPr>
        <w:t>6. 安全文明施工与环境保护</w:t>
      </w:r>
      <w:bookmarkEnd w:id="954"/>
      <w:bookmarkEnd w:id="955"/>
      <w:bookmarkEnd w:id="956"/>
      <w:bookmarkEnd w:id="957"/>
      <w:bookmarkEnd w:id="958"/>
      <w:bookmarkEnd w:id="959"/>
      <w:bookmarkEnd w:id="960"/>
      <w:bookmarkEnd w:id="961"/>
      <w:bookmarkEnd w:id="962"/>
      <w:bookmarkEnd w:id="963"/>
    </w:p>
    <w:p w14:paraId="63DAA713">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6.1安全文明施工</w:t>
      </w:r>
    </w:p>
    <w:p w14:paraId="28F86191">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6.1.1 项目安全生产的达标目标及相应事项的约定：</w:t>
      </w:r>
      <w:r>
        <w:rPr>
          <w:rStyle w:val="14"/>
          <w:rFonts w:ascii="宋体" w:hAnsi="宋体"/>
          <w:color w:val="auto"/>
          <w:kern w:val="2"/>
          <w:sz w:val="24"/>
          <w:szCs w:val="24"/>
          <w:highlight w:val="none"/>
          <w:u w:val="single"/>
        </w:rPr>
        <w:t xml:space="preserve">         </w:t>
      </w:r>
    </w:p>
    <w:p w14:paraId="46CF29E0">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7B4F42AA">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6.1.4 关于治安保卫的特别约定：</w:t>
      </w:r>
      <w:r>
        <w:rPr>
          <w:rStyle w:val="14"/>
          <w:rFonts w:ascii="宋体" w:hAnsi="宋体"/>
          <w:color w:val="auto"/>
          <w:kern w:val="2"/>
          <w:sz w:val="24"/>
          <w:szCs w:val="24"/>
          <w:highlight w:val="none"/>
          <w:u w:val="single"/>
        </w:rPr>
        <w:t xml:space="preserve">                         </w:t>
      </w:r>
    </w:p>
    <w:p w14:paraId="20442C06">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203A871">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关于编制施工场地治安管理计划的约定：</w:t>
      </w:r>
      <w:r>
        <w:rPr>
          <w:rStyle w:val="14"/>
          <w:rFonts w:hint="eastAsia" w:ascii="宋体" w:hAnsi="宋体"/>
          <w:color w:val="auto"/>
          <w:kern w:val="2"/>
          <w:sz w:val="24"/>
          <w:szCs w:val="24"/>
          <w:highlight w:val="none"/>
          <w:u w:val="single"/>
        </w:rPr>
        <w:t>承包人负责编制和执行施工场地治安管理计划，发包人应予以协助  。</w:t>
      </w:r>
    </w:p>
    <w:p w14:paraId="7FEE47F6">
      <w:pPr>
        <w:pStyle w:val="20"/>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6.1.5 文明施工</w:t>
      </w:r>
    </w:p>
    <w:p w14:paraId="3875BE0B">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rPr>
        <w:t>合同当事人对文明施工的要求：</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符合国家建设工程安全文明施工的要求及</w:t>
      </w:r>
      <w:r>
        <w:rPr>
          <w:rStyle w:val="14"/>
          <w:rFonts w:hint="eastAsia" w:ascii="宋体" w:hAnsi="宋体"/>
          <w:color w:val="auto"/>
          <w:kern w:val="2"/>
          <w:sz w:val="24"/>
          <w:szCs w:val="24"/>
          <w:highlight w:val="none"/>
          <w:u w:val="single"/>
          <w:lang w:eastAsia="zh-CN"/>
        </w:rPr>
        <w:t>营口市</w:t>
      </w:r>
      <w:r>
        <w:rPr>
          <w:rStyle w:val="14"/>
          <w:rFonts w:hint="eastAsia" w:ascii="宋体" w:hAnsi="宋体"/>
          <w:color w:val="auto"/>
          <w:kern w:val="2"/>
          <w:sz w:val="24"/>
          <w:szCs w:val="24"/>
          <w:highlight w:val="none"/>
          <w:u w:val="single"/>
        </w:rPr>
        <w:t>政府相关规定 。</w:t>
      </w:r>
    </w:p>
    <w:p w14:paraId="7670256E">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6.1.6 关于安全文明施工费支付比例和支付期限的约定：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随工程进度款同比例支付  。</w:t>
      </w:r>
    </w:p>
    <w:bookmarkEnd w:id="935"/>
    <w:bookmarkEnd w:id="936"/>
    <w:bookmarkEnd w:id="937"/>
    <w:bookmarkEnd w:id="938"/>
    <w:bookmarkEnd w:id="939"/>
    <w:bookmarkEnd w:id="940"/>
    <w:bookmarkEnd w:id="941"/>
    <w:p w14:paraId="1AFC18E0">
      <w:pPr>
        <w:pStyle w:val="22"/>
        <w:spacing w:before="120" w:after="120" w:line="360" w:lineRule="auto"/>
        <w:outlineLvl w:val="9"/>
        <w:rPr>
          <w:rStyle w:val="14"/>
          <w:rFonts w:ascii="宋体" w:hAnsi="宋体" w:eastAsia="宋体"/>
          <w:b w:val="0"/>
          <w:color w:val="auto"/>
          <w:sz w:val="24"/>
          <w:szCs w:val="24"/>
          <w:highlight w:val="none"/>
        </w:rPr>
      </w:pPr>
      <w:bookmarkStart w:id="964" w:name="_Toc256000836"/>
      <w:bookmarkStart w:id="965" w:name="_Toc256001303"/>
      <w:bookmarkStart w:id="966" w:name="_Toc256000340"/>
      <w:bookmarkStart w:id="967" w:name="_Toc69461815"/>
      <w:bookmarkStart w:id="968" w:name="_Toc3767"/>
      <w:bookmarkStart w:id="969" w:name="_Toc256000569"/>
      <w:bookmarkStart w:id="970" w:name="_Toc351203639"/>
      <w:bookmarkStart w:id="971" w:name="_Toc69461160"/>
      <w:bookmarkStart w:id="972" w:name="_Toc23654"/>
      <w:bookmarkStart w:id="973" w:name="_Toc256001073"/>
      <w:r>
        <w:rPr>
          <w:rStyle w:val="14"/>
          <w:rFonts w:ascii="宋体" w:hAnsi="宋体" w:eastAsia="宋体"/>
          <w:b w:val="0"/>
          <w:color w:val="auto"/>
          <w:sz w:val="24"/>
          <w:szCs w:val="24"/>
          <w:highlight w:val="none"/>
        </w:rPr>
        <w:t>7. 工期和进度</w:t>
      </w:r>
      <w:bookmarkEnd w:id="964"/>
      <w:bookmarkEnd w:id="965"/>
      <w:bookmarkEnd w:id="966"/>
      <w:bookmarkEnd w:id="967"/>
      <w:bookmarkEnd w:id="968"/>
      <w:bookmarkEnd w:id="969"/>
      <w:bookmarkEnd w:id="970"/>
      <w:bookmarkEnd w:id="971"/>
      <w:bookmarkEnd w:id="972"/>
      <w:bookmarkEnd w:id="973"/>
    </w:p>
    <w:p w14:paraId="122EEAB4">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7.1 施工组织设计</w:t>
      </w:r>
    </w:p>
    <w:p w14:paraId="5D443660">
      <w:pPr>
        <w:pStyle w:val="20"/>
        <w:autoSpaceDE w:val="0"/>
        <w:autoSpaceDN w:val="0"/>
        <w:adjustRightInd w:val="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7.1.</w:t>
      </w:r>
      <w:r>
        <w:rPr>
          <w:rStyle w:val="14"/>
          <w:rFonts w:hint="eastAsia" w:ascii="宋体" w:hAnsi="宋体"/>
          <w:color w:val="auto"/>
          <w:kern w:val="2"/>
          <w:sz w:val="24"/>
          <w:szCs w:val="24"/>
          <w:highlight w:val="none"/>
        </w:rPr>
        <w:t>1 合</w:t>
      </w:r>
      <w:r>
        <w:rPr>
          <w:rStyle w:val="14"/>
          <w:rFonts w:hint="eastAsia" w:ascii="宋体" w:hAnsi="宋体"/>
          <w:color w:val="auto"/>
          <w:sz w:val="24"/>
          <w:szCs w:val="24"/>
          <w:highlight w:val="none"/>
        </w:rPr>
        <w:t>同当事人约定的</w:t>
      </w:r>
      <w:r>
        <w:rPr>
          <w:rStyle w:val="14"/>
          <w:rFonts w:ascii="宋体" w:hAnsi="宋体"/>
          <w:color w:val="auto"/>
          <w:sz w:val="24"/>
          <w:szCs w:val="24"/>
          <w:highlight w:val="none"/>
        </w:rPr>
        <w:t>施工组织设计</w:t>
      </w:r>
      <w:r>
        <w:rPr>
          <w:rStyle w:val="14"/>
          <w:rFonts w:hint="eastAsia" w:ascii="宋体" w:hAnsi="宋体"/>
          <w:color w:val="auto"/>
          <w:sz w:val="24"/>
          <w:szCs w:val="24"/>
          <w:highlight w:val="none"/>
        </w:rPr>
        <w:t>应包括的其他内容</w:t>
      </w:r>
      <w:r>
        <w:rPr>
          <w:rStyle w:val="14"/>
          <w:rFonts w:ascii="宋体" w:hAnsi="宋体"/>
          <w:color w:val="auto"/>
          <w:sz w:val="24"/>
          <w:szCs w:val="24"/>
          <w:highlight w:val="none"/>
        </w:rPr>
        <w:t>：</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77F0151">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kern w:val="2"/>
          <w:sz w:val="24"/>
          <w:szCs w:val="24"/>
          <w:highlight w:val="none"/>
        </w:rPr>
        <w:t xml:space="preserve">7.1.2 </w:t>
      </w:r>
      <w:r>
        <w:rPr>
          <w:rStyle w:val="14"/>
          <w:rFonts w:ascii="宋体" w:hAnsi="宋体"/>
          <w:color w:val="auto"/>
          <w:sz w:val="24"/>
          <w:szCs w:val="24"/>
          <w:highlight w:val="none"/>
        </w:rPr>
        <w:t>施工组织设计的提交和修改</w:t>
      </w:r>
    </w:p>
    <w:p w14:paraId="3D3E4314">
      <w:pPr>
        <w:pStyle w:val="21"/>
        <w:autoSpaceDE w:val="0"/>
        <w:autoSpaceDN w:val="0"/>
        <w:adjustRightInd w:val="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承包人提交详细施工组织设计的期限的约定：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承包人在收到发包人下发的开工通知后5日内    。</w:t>
      </w:r>
    </w:p>
    <w:p w14:paraId="6141AE5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发包人和监理人在收到</w:t>
      </w:r>
      <w:r>
        <w:rPr>
          <w:rStyle w:val="14"/>
          <w:rFonts w:hint="eastAsia" w:ascii="宋体" w:hAnsi="宋体"/>
          <w:color w:val="auto"/>
          <w:kern w:val="2"/>
          <w:sz w:val="24"/>
          <w:szCs w:val="24"/>
          <w:highlight w:val="none"/>
        </w:rPr>
        <w:t>详细的施工组织设计</w:t>
      </w:r>
      <w:r>
        <w:rPr>
          <w:rStyle w:val="14"/>
          <w:rFonts w:ascii="宋体" w:hAnsi="宋体"/>
          <w:color w:val="auto"/>
          <w:kern w:val="2"/>
          <w:sz w:val="24"/>
          <w:szCs w:val="24"/>
          <w:highlight w:val="none"/>
        </w:rPr>
        <w:t>后确认或提出修改意见的期限：</w:t>
      </w:r>
      <w:r>
        <w:rPr>
          <w:rStyle w:val="14"/>
          <w:rFonts w:hint="eastAsia" w:ascii="宋体" w:hAnsi="宋体"/>
          <w:color w:val="auto"/>
          <w:kern w:val="2"/>
          <w:sz w:val="24"/>
          <w:szCs w:val="24"/>
          <w:highlight w:val="none"/>
          <w:u w:val="single"/>
        </w:rPr>
        <w:t>自发包人收到承包人报送的相关进度计划和设计方案说明后5天内 。</w:t>
      </w:r>
    </w:p>
    <w:p w14:paraId="524127E3">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7</w:t>
      </w:r>
      <w:bookmarkStart w:id="974" w:name="_Toc297123514"/>
      <w:bookmarkStart w:id="975" w:name="_Toc312678005"/>
      <w:bookmarkStart w:id="976" w:name="_Toc312677479"/>
      <w:bookmarkStart w:id="977" w:name="_Toc297216173"/>
      <w:bookmarkStart w:id="978" w:name="_Toc300934966"/>
      <w:bookmarkStart w:id="979" w:name="_Toc303539123"/>
      <w:bookmarkStart w:id="980" w:name="_Toc304295541"/>
      <w:r>
        <w:rPr>
          <w:rStyle w:val="14"/>
          <w:rFonts w:ascii="宋体" w:hAnsi="宋体"/>
          <w:color w:val="auto"/>
          <w:kern w:val="2"/>
          <w:sz w:val="24"/>
          <w:szCs w:val="24"/>
          <w:highlight w:val="none"/>
        </w:rPr>
        <w:t>.2 施工进度计划</w:t>
      </w:r>
    </w:p>
    <w:p w14:paraId="2510B21B">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7.2.2 施工进度计划的修订</w:t>
      </w:r>
    </w:p>
    <w:p w14:paraId="43CBDC24">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发包人和监理人在收到修订的施工进度计划后确认或提出修改意见的期限：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5 天内完成审核和批准或提出修改意见 。</w:t>
      </w:r>
    </w:p>
    <w:p w14:paraId="73450306">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7.3 开工</w:t>
      </w:r>
    </w:p>
    <w:p w14:paraId="5EE18A7A">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7.3.1 开工准备</w:t>
      </w:r>
    </w:p>
    <w:p w14:paraId="386E0CCB">
      <w:pPr>
        <w:pStyle w:val="21"/>
        <w:spacing w:line="360" w:lineRule="auto"/>
        <w:ind w:firstLine="645"/>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关于承包人提交</w:t>
      </w:r>
      <w:r>
        <w:rPr>
          <w:rStyle w:val="14"/>
          <w:rFonts w:ascii="宋体" w:hAnsi="宋体"/>
          <w:color w:val="auto"/>
          <w:sz w:val="24"/>
          <w:szCs w:val="24"/>
          <w:highlight w:val="none"/>
        </w:rPr>
        <w:t>工程开工报审表的期限：</w:t>
      </w:r>
      <w:r>
        <w:rPr>
          <w:rStyle w:val="14"/>
          <w:rFonts w:hint="eastAsia" w:ascii="宋体" w:hAnsi="宋体"/>
          <w:color w:val="auto"/>
          <w:kern w:val="2"/>
          <w:sz w:val="24"/>
          <w:szCs w:val="24"/>
          <w:highlight w:val="none"/>
          <w:u w:val="single"/>
        </w:rPr>
        <w:t>承包人应在合同签订后10 天内，但不迟于开工通知载明的开工日期前7 日内   。</w:t>
      </w:r>
    </w:p>
    <w:p w14:paraId="11D168BC">
      <w:pPr>
        <w:pStyle w:val="20"/>
        <w:spacing w:line="360" w:lineRule="auto"/>
        <w:ind w:firstLine="645"/>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关于发包人应完成的其他开工准备工作及期限：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0404602F">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关于承包人应完成的其他开工准备工作及期限：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388D6025">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7.3.2开工通知</w:t>
      </w:r>
    </w:p>
    <w:p w14:paraId="0087CD4E">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因发包人原因造成监理人未能在计划开工日期之日起</w:t>
      </w:r>
      <w:r>
        <w:rPr>
          <w:rStyle w:val="14"/>
          <w:rFonts w:ascii="宋体" w:hAnsi="宋体"/>
          <w:color w:val="auto"/>
          <w:kern w:val="2"/>
          <w:sz w:val="24"/>
          <w:szCs w:val="24"/>
          <w:highlight w:val="none"/>
          <w:u w:val="single"/>
        </w:rPr>
        <w:t xml:space="preserve">   7  </w:t>
      </w:r>
      <w:r>
        <w:rPr>
          <w:rStyle w:val="14"/>
          <w:rFonts w:ascii="宋体" w:hAnsi="宋体"/>
          <w:color w:val="auto"/>
          <w:kern w:val="2"/>
          <w:sz w:val="24"/>
          <w:szCs w:val="24"/>
          <w:highlight w:val="none"/>
        </w:rPr>
        <w:t>天内发出开工通知的，承包人有权提出价格调整要求，或者解除合同。</w:t>
      </w:r>
    </w:p>
    <w:bookmarkEnd w:id="974"/>
    <w:bookmarkEnd w:id="975"/>
    <w:bookmarkEnd w:id="976"/>
    <w:bookmarkEnd w:id="977"/>
    <w:bookmarkEnd w:id="978"/>
    <w:bookmarkEnd w:id="979"/>
    <w:bookmarkEnd w:id="980"/>
    <w:p w14:paraId="341F50C3">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7.4 测量放线</w:t>
      </w:r>
    </w:p>
    <w:p w14:paraId="4DB4B3A2">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7.4.1发包人通过监理人向承包人提供测量基准点、基准线和水准点及其书面资料的期限：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工程开工前7日内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541619FB">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7</w:t>
      </w:r>
      <w:bookmarkStart w:id="981" w:name="_Toc300934968"/>
      <w:bookmarkStart w:id="982" w:name="_Toc297216175"/>
      <w:bookmarkStart w:id="983" w:name="_Toc312677484"/>
      <w:bookmarkStart w:id="984" w:name="_Toc304295546"/>
      <w:bookmarkStart w:id="985" w:name="_Toc297123516"/>
      <w:bookmarkStart w:id="986" w:name="_Toc303539125"/>
      <w:bookmarkStart w:id="987" w:name="_Toc312678010"/>
      <w:r>
        <w:rPr>
          <w:rStyle w:val="14"/>
          <w:rFonts w:ascii="宋体" w:hAnsi="宋体"/>
          <w:color w:val="auto"/>
          <w:kern w:val="2"/>
          <w:sz w:val="24"/>
          <w:szCs w:val="24"/>
          <w:highlight w:val="none"/>
        </w:rPr>
        <w:t>.5 工期延误</w:t>
      </w:r>
    </w:p>
    <w:bookmarkEnd w:id="981"/>
    <w:bookmarkEnd w:id="982"/>
    <w:bookmarkEnd w:id="983"/>
    <w:bookmarkEnd w:id="984"/>
    <w:bookmarkEnd w:id="985"/>
    <w:bookmarkEnd w:id="986"/>
    <w:bookmarkEnd w:id="987"/>
    <w:p w14:paraId="3753F1B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7.5.1 因发包人原因导致工期延误</w:t>
      </w:r>
    </w:p>
    <w:p w14:paraId="266E91CC">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（7）因发包人原因导致工期延误的其他情形：</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发包人因政策变化等原因推迟开工需以书面形式通知承包人，顺延相应工期，发包人不承担补偿和损失的费用及违约责任  。</w:t>
      </w:r>
    </w:p>
    <w:p w14:paraId="41C29914">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7</w:t>
      </w:r>
      <w:bookmarkStart w:id="988" w:name="_Toc318581169"/>
      <w:bookmarkStart w:id="989" w:name="_Toc312678012"/>
      <w:bookmarkStart w:id="990" w:name="_Toc312677486"/>
      <w:bookmarkStart w:id="991" w:name="_Toc304295548"/>
      <w:bookmarkStart w:id="992" w:name="_Toc297216177"/>
      <w:bookmarkStart w:id="993" w:name="_Toc303539127"/>
      <w:bookmarkStart w:id="994" w:name="_Toc297123518"/>
      <w:bookmarkStart w:id="995" w:name="_Toc300934970"/>
      <w:r>
        <w:rPr>
          <w:rStyle w:val="14"/>
          <w:rFonts w:ascii="宋体" w:hAnsi="宋体"/>
          <w:color w:val="auto"/>
          <w:kern w:val="2"/>
          <w:sz w:val="24"/>
          <w:szCs w:val="24"/>
          <w:highlight w:val="none"/>
        </w:rPr>
        <w:t>.5.2 因承包人原因导致工期延误</w:t>
      </w:r>
    </w:p>
    <w:bookmarkEnd w:id="988"/>
    <w:bookmarkEnd w:id="989"/>
    <w:bookmarkEnd w:id="990"/>
    <w:p w14:paraId="49633145">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因</w:t>
      </w:r>
      <w:bookmarkStart w:id="996" w:name="_Toc318581170"/>
      <w:bookmarkStart w:id="997" w:name="_Toc312677487"/>
      <w:bookmarkStart w:id="998" w:name="_Toc312678013"/>
      <w:r>
        <w:rPr>
          <w:rStyle w:val="14"/>
          <w:rFonts w:ascii="宋体" w:hAnsi="宋体"/>
          <w:color w:val="auto"/>
          <w:kern w:val="2"/>
          <w:sz w:val="24"/>
          <w:szCs w:val="24"/>
          <w:highlight w:val="none"/>
        </w:rPr>
        <w:t>承包人原因造成工期延误，逾期竣工违约金的计算方法为：</w:t>
      </w:r>
      <w:r>
        <w:rPr>
          <w:rStyle w:val="14"/>
          <w:rFonts w:hint="eastAsia" w:ascii="宋体" w:hAnsi="宋体"/>
          <w:color w:val="auto"/>
          <w:kern w:val="2"/>
          <w:sz w:val="24"/>
          <w:szCs w:val="24"/>
          <w:highlight w:val="none"/>
          <w:u w:val="single"/>
          <w:lang w:val="en-US" w:eastAsia="zh-CN"/>
        </w:rPr>
        <w:t>发包人根据工期延误的实际情况，可以进行每延误1天按照合同额0.1%</w:t>
      </w:r>
      <w:r>
        <w:rPr>
          <w:rStyle w:val="14"/>
          <w:rFonts w:hint="eastAsia"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lang w:val="en-US" w:eastAsia="zh-CN"/>
        </w:rPr>
        <w:t>进行处罚</w:t>
      </w:r>
      <w:r>
        <w:rPr>
          <w:rStyle w:val="14"/>
          <w:rFonts w:hint="eastAsia" w:ascii="宋体" w:hAnsi="宋体"/>
          <w:color w:val="auto"/>
          <w:kern w:val="2"/>
          <w:sz w:val="24"/>
          <w:szCs w:val="24"/>
          <w:highlight w:val="none"/>
          <w:u w:val="single"/>
        </w:rPr>
        <w:t>。</w:t>
      </w:r>
    </w:p>
    <w:bookmarkEnd w:id="991"/>
    <w:bookmarkEnd w:id="992"/>
    <w:bookmarkEnd w:id="993"/>
    <w:bookmarkEnd w:id="994"/>
    <w:bookmarkEnd w:id="995"/>
    <w:bookmarkEnd w:id="996"/>
    <w:bookmarkEnd w:id="997"/>
    <w:bookmarkEnd w:id="998"/>
    <w:p w14:paraId="70EB6906">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因承包人原因造成工期延误，逾</w:t>
      </w:r>
      <w:bookmarkStart w:id="999" w:name="_Toc312678014"/>
      <w:bookmarkStart w:id="1000" w:name="_Toc318581171"/>
      <w:r>
        <w:rPr>
          <w:rStyle w:val="14"/>
          <w:rFonts w:ascii="宋体" w:hAnsi="宋体"/>
          <w:color w:val="auto"/>
          <w:kern w:val="2"/>
          <w:sz w:val="24"/>
          <w:szCs w:val="24"/>
          <w:highlight w:val="none"/>
        </w:rPr>
        <w:t>期竣工违约金的上限：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合同价款的</w:t>
      </w:r>
      <w:r>
        <w:rPr>
          <w:rStyle w:val="14"/>
          <w:rFonts w:hint="eastAsia" w:ascii="宋体" w:hAnsi="宋体"/>
          <w:color w:val="auto"/>
          <w:kern w:val="2"/>
          <w:sz w:val="24"/>
          <w:szCs w:val="24"/>
          <w:highlight w:val="none"/>
          <w:u w:val="single"/>
          <w:lang w:val="en-US" w:eastAsia="zh-CN"/>
        </w:rPr>
        <w:t>5</w:t>
      </w:r>
      <w:r>
        <w:rPr>
          <w:rStyle w:val="14"/>
          <w:rFonts w:hint="eastAsia" w:ascii="宋体" w:hAnsi="宋体"/>
          <w:color w:val="auto"/>
          <w:kern w:val="2"/>
          <w:sz w:val="24"/>
          <w:szCs w:val="24"/>
          <w:highlight w:val="none"/>
          <w:u w:val="single"/>
        </w:rPr>
        <w:t>% 。</w:t>
      </w:r>
      <w:r>
        <w:rPr>
          <w:rStyle w:val="14"/>
          <w:rFonts w:ascii="宋体" w:hAnsi="宋体"/>
          <w:color w:val="auto"/>
          <w:kern w:val="2"/>
          <w:sz w:val="24"/>
          <w:szCs w:val="24"/>
          <w:highlight w:val="none"/>
          <w:u w:val="single"/>
        </w:rPr>
        <w:t xml:space="preserve">     </w:t>
      </w:r>
    </w:p>
    <w:bookmarkEnd w:id="999"/>
    <w:bookmarkEnd w:id="1000"/>
    <w:p w14:paraId="232DD0EF">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7</w:t>
      </w:r>
      <w:bookmarkStart w:id="1001" w:name="_Toc300934971"/>
      <w:bookmarkStart w:id="1002" w:name="_Toc312678015"/>
      <w:bookmarkStart w:id="1003" w:name="_Toc297216178"/>
      <w:bookmarkStart w:id="1004" w:name="_Toc303539128"/>
      <w:bookmarkStart w:id="1005" w:name="_Toc297123519"/>
      <w:bookmarkStart w:id="1006" w:name="_Toc304295549"/>
      <w:r>
        <w:rPr>
          <w:rStyle w:val="14"/>
          <w:rFonts w:ascii="宋体" w:hAnsi="宋体"/>
          <w:color w:val="auto"/>
          <w:kern w:val="2"/>
          <w:sz w:val="24"/>
          <w:szCs w:val="24"/>
          <w:highlight w:val="none"/>
        </w:rPr>
        <w:t>.6 不</w:t>
      </w:r>
      <w:bookmarkEnd w:id="1001"/>
      <w:bookmarkEnd w:id="1002"/>
      <w:bookmarkEnd w:id="1003"/>
      <w:bookmarkEnd w:id="1004"/>
      <w:bookmarkEnd w:id="1005"/>
      <w:bookmarkEnd w:id="1006"/>
      <w:r>
        <w:rPr>
          <w:rStyle w:val="14"/>
          <w:rFonts w:ascii="宋体" w:hAnsi="宋体"/>
          <w:color w:val="auto"/>
          <w:kern w:val="2"/>
          <w:sz w:val="24"/>
          <w:szCs w:val="24"/>
          <w:highlight w:val="none"/>
        </w:rPr>
        <w:t>利物质条件</w:t>
      </w:r>
    </w:p>
    <w:p w14:paraId="21F599EF">
      <w:pPr>
        <w:pStyle w:val="20"/>
        <w:spacing w:line="360" w:lineRule="auto"/>
        <w:ind w:firstLine="480" w:firstLineChars="200"/>
        <w:jc w:val="left"/>
        <w:rPr>
          <w:rStyle w:val="14"/>
          <w:rFonts w:ascii="宋体" w:hAnsi="宋体"/>
          <w:color w:val="auto"/>
          <w:kern w:val="2"/>
          <w:sz w:val="24"/>
          <w:szCs w:val="24"/>
          <w:highlight w:val="none"/>
          <w:u w:val="single"/>
        </w:rPr>
      </w:pPr>
      <w:bookmarkStart w:id="1007" w:name="_Toc303539129"/>
      <w:bookmarkStart w:id="1008" w:name="_Toc312678016"/>
      <w:bookmarkStart w:id="1009" w:name="_Toc297123520"/>
      <w:bookmarkStart w:id="1010" w:name="_Toc297216179"/>
      <w:bookmarkStart w:id="1011" w:name="_Toc304295550"/>
      <w:bookmarkStart w:id="1012" w:name="_Toc300934972"/>
      <w:bookmarkStart w:id="1013" w:name="_Toc318581172"/>
      <w:r>
        <w:rPr>
          <w:rStyle w:val="14"/>
          <w:rFonts w:ascii="宋体" w:hAnsi="宋体"/>
          <w:color w:val="auto"/>
          <w:kern w:val="2"/>
          <w:sz w:val="24"/>
          <w:szCs w:val="24"/>
          <w:highlight w:val="none"/>
        </w:rPr>
        <w:t>不利物质条件的其他情形和有关约定：</w:t>
      </w:r>
      <w:r>
        <w:rPr>
          <w:rStyle w:val="14"/>
          <w:rFonts w:ascii="宋体" w:hAnsi="宋体"/>
          <w:color w:val="auto"/>
          <w:kern w:val="2"/>
          <w:sz w:val="24"/>
          <w:szCs w:val="24"/>
          <w:highlight w:val="none"/>
          <w:u w:val="single"/>
        </w:rPr>
        <w:t xml:space="preserve">                    </w:t>
      </w:r>
    </w:p>
    <w:p w14:paraId="4143C40F">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bookmarkEnd w:id="1007"/>
    <w:bookmarkEnd w:id="1008"/>
    <w:bookmarkEnd w:id="1009"/>
    <w:bookmarkEnd w:id="1010"/>
    <w:bookmarkEnd w:id="1011"/>
    <w:bookmarkEnd w:id="1012"/>
    <w:bookmarkEnd w:id="1013"/>
    <w:p w14:paraId="704232C6">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7</w:t>
      </w:r>
      <w:bookmarkStart w:id="1014" w:name="_Toc300934973"/>
      <w:bookmarkStart w:id="1015" w:name="_Toc297123521"/>
      <w:bookmarkStart w:id="1016" w:name="_Toc297216180"/>
      <w:bookmarkStart w:id="1017" w:name="_Toc303539130"/>
      <w:bookmarkStart w:id="1018" w:name="_Toc304295551"/>
      <w:bookmarkStart w:id="1019" w:name="_Toc312678017"/>
      <w:r>
        <w:rPr>
          <w:rStyle w:val="14"/>
          <w:rFonts w:ascii="宋体" w:hAnsi="宋体"/>
          <w:color w:val="auto"/>
          <w:kern w:val="2"/>
          <w:sz w:val="24"/>
          <w:szCs w:val="24"/>
          <w:highlight w:val="none"/>
        </w:rPr>
        <w:t>.7异常恶劣的气候条件</w:t>
      </w:r>
    </w:p>
    <w:bookmarkEnd w:id="1014"/>
    <w:bookmarkEnd w:id="1015"/>
    <w:bookmarkEnd w:id="1016"/>
    <w:bookmarkEnd w:id="1017"/>
    <w:bookmarkEnd w:id="1018"/>
    <w:bookmarkEnd w:id="1019"/>
    <w:p w14:paraId="571DECFE">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发包人和承包人同意以下情形视为异常恶劣的气候条件：</w:t>
      </w:r>
    </w:p>
    <w:p w14:paraId="2F4FB581">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14:paraId="477C8946">
      <w:pPr>
        <w:pStyle w:val="20"/>
        <w:spacing w:after="120" w:line="360" w:lineRule="auto"/>
        <w:ind w:firstLine="480" w:firstLineChars="200"/>
        <w:outlineLvl w:val="9"/>
        <w:rPr>
          <w:rStyle w:val="14"/>
          <w:rFonts w:ascii="宋体" w:hAnsi="宋体"/>
          <w:color w:val="auto"/>
          <w:kern w:val="2"/>
          <w:sz w:val="24"/>
          <w:szCs w:val="24"/>
          <w:highlight w:val="none"/>
        </w:rPr>
      </w:pPr>
      <w:bookmarkStart w:id="1020" w:name="_Toc256000341"/>
      <w:bookmarkStart w:id="1021" w:name="_Toc69461816"/>
      <w:bookmarkStart w:id="1022" w:name="_Toc25575"/>
      <w:bookmarkStart w:id="1023" w:name="_Toc256001304"/>
      <w:bookmarkStart w:id="1024" w:name="_Toc69461161"/>
      <w:bookmarkStart w:id="1025" w:name="_Toc31517"/>
      <w:bookmarkStart w:id="1026" w:name="_Toc256000058"/>
      <w:bookmarkStart w:id="1027" w:name="_Toc256000570"/>
      <w:bookmarkStart w:id="1028" w:name="_Toc256001074"/>
      <w:bookmarkStart w:id="1029" w:name="_Toc3692"/>
      <w:bookmarkStart w:id="1030" w:name="_Toc31209"/>
      <w:bookmarkStart w:id="1031" w:name="_Toc256000837"/>
      <w:r>
        <w:rPr>
          <w:rStyle w:val="14"/>
          <w:rFonts w:ascii="宋体" w:hAnsi="宋体"/>
          <w:color w:val="auto"/>
          <w:kern w:val="2"/>
          <w:sz w:val="24"/>
          <w:szCs w:val="24"/>
          <w:highlight w:val="none"/>
        </w:rPr>
        <w:t>7.9 提前竣工的奖励</w:t>
      </w:r>
      <w:bookmarkEnd w:id="1020"/>
      <w:bookmarkEnd w:id="1021"/>
      <w:bookmarkEnd w:id="1022"/>
      <w:bookmarkEnd w:id="1023"/>
      <w:bookmarkEnd w:id="1024"/>
      <w:bookmarkEnd w:id="1025"/>
      <w:bookmarkEnd w:id="1026"/>
      <w:bookmarkEnd w:id="1027"/>
      <w:bookmarkEnd w:id="1028"/>
      <w:bookmarkEnd w:id="1029"/>
      <w:bookmarkEnd w:id="1030"/>
      <w:bookmarkEnd w:id="1031"/>
    </w:p>
    <w:p w14:paraId="51EC3525">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7.9.2提前竣工的奖励：</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6F0422E">
      <w:pPr>
        <w:pStyle w:val="22"/>
        <w:spacing w:before="120" w:after="120" w:line="360" w:lineRule="auto"/>
        <w:outlineLvl w:val="9"/>
        <w:rPr>
          <w:rStyle w:val="14"/>
          <w:rFonts w:ascii="宋体" w:hAnsi="宋体" w:eastAsia="宋体"/>
          <w:b w:val="0"/>
          <w:color w:val="auto"/>
          <w:sz w:val="24"/>
          <w:szCs w:val="24"/>
          <w:highlight w:val="none"/>
        </w:rPr>
      </w:pPr>
      <w:bookmarkStart w:id="1032" w:name="_Toc351203640"/>
      <w:bookmarkStart w:id="1033" w:name="_Toc69461162"/>
      <w:bookmarkStart w:id="1034" w:name="_Toc256000838"/>
      <w:bookmarkStart w:id="1035" w:name="_Toc256000342"/>
      <w:bookmarkStart w:id="1036" w:name="_Toc256001075"/>
      <w:bookmarkStart w:id="1037" w:name="_Toc256001305"/>
      <w:bookmarkStart w:id="1038" w:name="_Toc69461817"/>
      <w:bookmarkStart w:id="1039" w:name="_Toc24204"/>
      <w:bookmarkStart w:id="1040" w:name="_Toc29641"/>
      <w:bookmarkStart w:id="1041" w:name="_Toc256000571"/>
      <w:r>
        <w:rPr>
          <w:rStyle w:val="14"/>
          <w:rFonts w:ascii="宋体" w:hAnsi="宋体" w:eastAsia="宋体"/>
          <w:b w:val="0"/>
          <w:color w:val="auto"/>
          <w:sz w:val="24"/>
          <w:szCs w:val="24"/>
          <w:highlight w:val="none"/>
        </w:rPr>
        <w:t>8. 材料与设备</w:t>
      </w:r>
      <w:bookmarkEnd w:id="1032"/>
      <w:bookmarkEnd w:id="1033"/>
      <w:bookmarkEnd w:id="1034"/>
      <w:bookmarkEnd w:id="1035"/>
      <w:bookmarkEnd w:id="1036"/>
      <w:bookmarkEnd w:id="1037"/>
      <w:bookmarkEnd w:id="1038"/>
      <w:bookmarkEnd w:id="1039"/>
      <w:bookmarkEnd w:id="1040"/>
      <w:bookmarkEnd w:id="1041"/>
    </w:p>
    <w:bookmarkEnd w:id="913"/>
    <w:bookmarkEnd w:id="914"/>
    <w:bookmarkEnd w:id="915"/>
    <w:bookmarkEnd w:id="916"/>
    <w:bookmarkEnd w:id="917"/>
    <w:bookmarkEnd w:id="918"/>
    <w:bookmarkEnd w:id="919"/>
    <w:bookmarkEnd w:id="920"/>
    <w:bookmarkEnd w:id="921"/>
    <w:bookmarkEnd w:id="922"/>
    <w:p w14:paraId="09F66EC6">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8</w:t>
      </w:r>
      <w:bookmarkStart w:id="1042" w:name="_Toc292559877"/>
      <w:bookmarkStart w:id="1043" w:name="_Toc297216186"/>
      <w:bookmarkStart w:id="1044" w:name="_Toc304295556"/>
      <w:bookmarkStart w:id="1045" w:name="_Toc296890995"/>
      <w:bookmarkStart w:id="1046" w:name="_Toc296346668"/>
      <w:bookmarkStart w:id="1047" w:name="_Toc297048353"/>
      <w:bookmarkStart w:id="1048" w:name="_Toc300934979"/>
      <w:bookmarkStart w:id="1049" w:name="_Toc296891207"/>
      <w:bookmarkStart w:id="1050" w:name="_Toc296347166"/>
      <w:bookmarkStart w:id="1051" w:name="_Toc280868654"/>
      <w:bookmarkStart w:id="1052" w:name="_Toc312677493"/>
      <w:bookmarkStart w:id="1053" w:name="_Toc297123527"/>
      <w:bookmarkStart w:id="1054" w:name="_Toc312678019"/>
      <w:bookmarkStart w:id="1055" w:name="_Toc303539136"/>
      <w:bookmarkStart w:id="1056" w:name="_Toc292559372"/>
      <w:bookmarkStart w:id="1057" w:name="_Toc296944506"/>
      <w:bookmarkStart w:id="1058" w:name="_Toc296503167"/>
      <w:bookmarkStart w:id="1059" w:name="_Toc297120467"/>
      <w:bookmarkStart w:id="1060" w:name="_Toc280868656"/>
      <w:bookmarkStart w:id="1061" w:name="_Toc267251424"/>
      <w:bookmarkStart w:id="1062" w:name="_Toc280868655"/>
      <w:r>
        <w:rPr>
          <w:rStyle w:val="14"/>
          <w:rFonts w:ascii="宋体" w:hAnsi="宋体"/>
          <w:color w:val="auto"/>
          <w:kern w:val="2"/>
          <w:sz w:val="24"/>
          <w:szCs w:val="24"/>
          <w:highlight w:val="none"/>
        </w:rPr>
        <w:t>.4材料与工程设备的保管与使用</w:t>
      </w:r>
    </w:p>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14:paraId="7F9251EA">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8</w:t>
      </w:r>
      <w:bookmarkStart w:id="1063" w:name="_Toc292559878"/>
      <w:bookmarkStart w:id="1064" w:name="_Toc292559373"/>
      <w:bookmarkStart w:id="1065" w:name="_Toc300934980"/>
      <w:bookmarkStart w:id="1066" w:name="_Toc296346669"/>
      <w:bookmarkStart w:id="1067" w:name="_Toc318581173"/>
      <w:bookmarkStart w:id="1068" w:name="_Toc297123528"/>
      <w:bookmarkStart w:id="1069" w:name="_Toc312678020"/>
      <w:bookmarkStart w:id="1070" w:name="_Toc297120468"/>
      <w:bookmarkStart w:id="1071" w:name="_Toc296891208"/>
      <w:bookmarkStart w:id="1072" w:name="_Toc297048354"/>
      <w:bookmarkStart w:id="1073" w:name="_Toc296944507"/>
      <w:bookmarkStart w:id="1074" w:name="_Toc303539137"/>
      <w:bookmarkStart w:id="1075" w:name="_Toc312677494"/>
      <w:bookmarkStart w:id="1076" w:name="_Toc296347167"/>
      <w:bookmarkStart w:id="1077" w:name="_Toc296503168"/>
      <w:bookmarkStart w:id="1078" w:name="_Toc297216187"/>
      <w:bookmarkStart w:id="1079" w:name="_Toc296890996"/>
      <w:bookmarkStart w:id="1080" w:name="_Toc304295557"/>
      <w:r>
        <w:rPr>
          <w:rStyle w:val="14"/>
          <w:rFonts w:ascii="宋体" w:hAnsi="宋体"/>
          <w:color w:val="auto"/>
          <w:kern w:val="2"/>
          <w:sz w:val="24"/>
          <w:szCs w:val="24"/>
          <w:highlight w:val="none"/>
        </w:rPr>
        <w:t>.4.1发包人供应的材料设备的保管费用的承担：</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bookmarkEnd w:id="1063"/>
    <w:bookmarkEnd w:id="1064"/>
    <w:p w14:paraId="1C6FEE4C">
      <w:pPr>
        <w:pStyle w:val="20"/>
        <w:spacing w:after="120" w:line="360" w:lineRule="auto"/>
        <w:ind w:firstLine="480" w:firstLineChars="200"/>
        <w:outlineLvl w:val="9"/>
        <w:rPr>
          <w:rStyle w:val="14"/>
          <w:rFonts w:ascii="宋体" w:hAnsi="宋体"/>
          <w:color w:val="auto"/>
          <w:kern w:val="2"/>
          <w:sz w:val="24"/>
          <w:szCs w:val="24"/>
          <w:highlight w:val="none"/>
        </w:rPr>
      </w:pPr>
      <w:bookmarkStart w:id="1081" w:name="_Toc6373"/>
      <w:bookmarkStart w:id="1082" w:name="_Toc69461818"/>
      <w:bookmarkStart w:id="1083" w:name="_Toc256000343"/>
      <w:bookmarkStart w:id="1084" w:name="_Toc256000059"/>
      <w:bookmarkStart w:id="1085" w:name="_Toc69461163"/>
      <w:bookmarkStart w:id="1086" w:name="_Toc256001306"/>
      <w:bookmarkStart w:id="1087" w:name="_Toc19160"/>
      <w:bookmarkStart w:id="1088" w:name="_Toc20296"/>
      <w:bookmarkStart w:id="1089" w:name="_Toc256000839"/>
      <w:bookmarkStart w:id="1090" w:name="_Toc256000092"/>
      <w:bookmarkStart w:id="1091" w:name="_Toc256001076"/>
      <w:bookmarkStart w:id="1092" w:name="_Toc256000572"/>
      <w:bookmarkStart w:id="1093" w:name="_Toc3891"/>
      <w:r>
        <w:rPr>
          <w:rStyle w:val="14"/>
          <w:rFonts w:ascii="宋体" w:hAnsi="宋体"/>
          <w:color w:val="auto"/>
          <w:kern w:val="2"/>
          <w:sz w:val="24"/>
          <w:szCs w:val="24"/>
          <w:highlight w:val="none"/>
        </w:rPr>
        <w:t>8.6 样品</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26DCE11">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8.6.1</w:t>
      </w:r>
      <w:r>
        <w:rPr>
          <w:rStyle w:val="14"/>
          <w:rFonts w:ascii="宋体" w:hAnsi="宋体"/>
          <w:color w:val="auto"/>
          <w:sz w:val="24"/>
          <w:szCs w:val="24"/>
          <w:highlight w:val="none"/>
        </w:rPr>
        <w:tab/>
      </w:r>
      <w:r>
        <w:rPr>
          <w:rStyle w:val="14"/>
          <w:rFonts w:ascii="宋体" w:hAnsi="宋体"/>
          <w:color w:val="auto"/>
          <w:sz w:val="24"/>
          <w:szCs w:val="24"/>
          <w:highlight w:val="none"/>
        </w:rPr>
        <w:t>样品的报送</w:t>
      </w:r>
      <w:r>
        <w:rPr>
          <w:rStyle w:val="14"/>
          <w:rFonts w:hint="eastAsia" w:ascii="宋体" w:hAnsi="宋体"/>
          <w:color w:val="auto"/>
          <w:sz w:val="24"/>
          <w:szCs w:val="24"/>
          <w:highlight w:val="none"/>
        </w:rPr>
        <w:t>与封存</w:t>
      </w:r>
    </w:p>
    <w:p w14:paraId="1A550FB6">
      <w:pPr>
        <w:pStyle w:val="20"/>
        <w:autoSpaceDE w:val="0"/>
        <w:autoSpaceDN w:val="0"/>
        <w:adjustRightInd w:val="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需要承包人报送样品的材料或工程设备，样品的种类、名称、规格、数量要求：</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12AA509B">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按发包人要求</w:t>
      </w:r>
      <w:r>
        <w:rPr>
          <w:rStyle w:val="14"/>
          <w:rFonts w:ascii="宋体" w:hAnsi="宋体"/>
          <w:color w:val="auto"/>
          <w:kern w:val="2"/>
          <w:sz w:val="24"/>
          <w:szCs w:val="24"/>
          <w:highlight w:val="none"/>
          <w:u w:val="single"/>
        </w:rPr>
        <w:t>。</w:t>
      </w:r>
    </w:p>
    <w:p w14:paraId="6AAECCEF">
      <w:pPr>
        <w:pStyle w:val="20"/>
        <w:spacing w:after="120" w:line="360" w:lineRule="auto"/>
        <w:ind w:firstLine="480" w:firstLineChars="200"/>
        <w:outlineLvl w:val="9"/>
        <w:rPr>
          <w:rStyle w:val="14"/>
          <w:rFonts w:ascii="宋体" w:hAnsi="宋体"/>
          <w:color w:val="auto"/>
          <w:kern w:val="2"/>
          <w:sz w:val="24"/>
          <w:szCs w:val="24"/>
          <w:highlight w:val="none"/>
        </w:rPr>
      </w:pPr>
      <w:bookmarkStart w:id="1094" w:name="_Toc24239"/>
      <w:bookmarkStart w:id="1095" w:name="_Toc256001307"/>
      <w:bookmarkStart w:id="1096" w:name="_Toc256000840"/>
      <w:bookmarkStart w:id="1097" w:name="_Toc256000093"/>
      <w:bookmarkStart w:id="1098" w:name="_Toc22173"/>
      <w:bookmarkStart w:id="1099" w:name="_Toc24887"/>
      <w:bookmarkStart w:id="1100" w:name="_Toc69461164"/>
      <w:bookmarkStart w:id="1101" w:name="_Toc256000573"/>
      <w:bookmarkStart w:id="1102" w:name="_Toc69461819"/>
      <w:bookmarkStart w:id="1103" w:name="_Toc256000344"/>
      <w:bookmarkStart w:id="1104" w:name="_Toc21091"/>
      <w:bookmarkStart w:id="1105" w:name="_Toc256000060"/>
      <w:bookmarkStart w:id="1106" w:name="_Toc256001077"/>
      <w:r>
        <w:rPr>
          <w:rStyle w:val="14"/>
          <w:rFonts w:ascii="宋体" w:hAnsi="宋体"/>
          <w:color w:val="auto"/>
          <w:kern w:val="2"/>
          <w:sz w:val="24"/>
          <w:szCs w:val="24"/>
          <w:highlight w:val="none"/>
        </w:rPr>
        <w:t>8.8 施工设备和临时设施</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6A116B33">
      <w:pPr>
        <w:pStyle w:val="20"/>
        <w:autoSpaceDE w:val="0"/>
        <w:autoSpaceDN w:val="0"/>
        <w:adjustRightInd w:val="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8.8.1 承包人提供的施工设备和临时设施</w:t>
      </w:r>
    </w:p>
    <w:p w14:paraId="335D760B">
      <w:pPr>
        <w:pStyle w:val="21"/>
        <w:autoSpaceDE w:val="0"/>
        <w:autoSpaceDN w:val="0"/>
        <w:adjustRightInd w:val="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关于修建临时设施费用承担的约定：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由承包人自行承担，同时需服从发包人管理。</w:t>
      </w:r>
    </w:p>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14:paraId="27486B1E">
      <w:pPr>
        <w:pStyle w:val="22"/>
        <w:spacing w:before="120" w:after="120" w:line="360" w:lineRule="auto"/>
        <w:outlineLvl w:val="9"/>
        <w:rPr>
          <w:rStyle w:val="14"/>
          <w:rFonts w:ascii="宋体" w:hAnsi="宋体" w:eastAsia="宋体"/>
          <w:b w:val="0"/>
          <w:color w:val="auto"/>
          <w:sz w:val="24"/>
          <w:szCs w:val="24"/>
          <w:highlight w:val="none"/>
        </w:rPr>
      </w:pPr>
      <w:bookmarkStart w:id="1107" w:name="_Toc26062"/>
      <w:bookmarkStart w:id="1108" w:name="_Toc256001308"/>
      <w:bookmarkStart w:id="1109" w:name="_Toc256000841"/>
      <w:bookmarkStart w:id="1110" w:name="_Toc69461820"/>
      <w:bookmarkStart w:id="1111" w:name="_Toc15577"/>
      <w:bookmarkStart w:id="1112" w:name="_Toc256001078"/>
      <w:bookmarkStart w:id="1113" w:name="_Toc351203641"/>
      <w:bookmarkStart w:id="1114" w:name="_Toc256000345"/>
      <w:bookmarkStart w:id="1115" w:name="_Toc69461165"/>
      <w:bookmarkStart w:id="1116" w:name="_Toc256000574"/>
      <w:r>
        <w:rPr>
          <w:rStyle w:val="14"/>
          <w:rFonts w:ascii="宋体" w:hAnsi="宋体" w:eastAsia="宋体"/>
          <w:b w:val="0"/>
          <w:color w:val="auto"/>
          <w:sz w:val="24"/>
          <w:szCs w:val="24"/>
          <w:highlight w:val="none"/>
        </w:rPr>
        <w:t>9</w:t>
      </w:r>
      <w:bookmarkEnd w:id="1060"/>
      <w:bookmarkEnd w:id="1061"/>
      <w:bookmarkEnd w:id="1062"/>
      <w:bookmarkStart w:id="1117" w:name="_Toc303539139"/>
      <w:bookmarkStart w:id="1118" w:name="_Toc297216192"/>
      <w:bookmarkStart w:id="1119" w:name="_Toc312678021"/>
      <w:bookmarkStart w:id="1120" w:name="_Toc304295559"/>
      <w:bookmarkStart w:id="1121" w:name="_Toc312677495"/>
      <w:bookmarkStart w:id="1122" w:name="_Toc300934982"/>
      <w:bookmarkStart w:id="1123" w:name="_Toc297123533"/>
      <w:bookmarkStart w:id="1124" w:name="_Toc267251427"/>
      <w:bookmarkStart w:id="1125" w:name="_Toc297120473"/>
      <w:bookmarkStart w:id="1126" w:name="_Toc292559883"/>
      <w:bookmarkStart w:id="1127" w:name="_Toc296891001"/>
      <w:bookmarkStart w:id="1128" w:name="_Toc296503173"/>
      <w:bookmarkStart w:id="1129" w:name="_Toc297048359"/>
      <w:bookmarkStart w:id="1130" w:name="_Toc292559378"/>
      <w:bookmarkStart w:id="1131" w:name="_Toc296346674"/>
      <w:bookmarkStart w:id="1132" w:name="_Toc296944512"/>
      <w:bookmarkStart w:id="1133" w:name="_Toc296891213"/>
      <w:bookmarkStart w:id="1134" w:name="_Toc296347172"/>
      <w:bookmarkStart w:id="1135" w:name="_Toc267251428"/>
      <w:r>
        <w:rPr>
          <w:rStyle w:val="14"/>
          <w:rFonts w:ascii="宋体" w:hAnsi="宋体" w:eastAsia="宋体"/>
          <w:b w:val="0"/>
          <w:color w:val="auto"/>
          <w:sz w:val="24"/>
          <w:szCs w:val="24"/>
          <w:highlight w:val="none"/>
        </w:rPr>
        <w:t>. 试验与检验</w:t>
      </w:r>
      <w:bookmarkEnd w:id="1107"/>
      <w:bookmarkEnd w:id="1108"/>
      <w:bookmarkEnd w:id="1109"/>
      <w:bookmarkEnd w:id="1110"/>
      <w:bookmarkEnd w:id="1111"/>
      <w:bookmarkEnd w:id="1112"/>
      <w:bookmarkEnd w:id="1113"/>
      <w:bookmarkEnd w:id="1114"/>
      <w:bookmarkEnd w:id="1115"/>
      <w:bookmarkEnd w:id="1116"/>
    </w:p>
    <w:bookmarkEnd w:id="1117"/>
    <w:bookmarkEnd w:id="1118"/>
    <w:bookmarkEnd w:id="1119"/>
    <w:bookmarkEnd w:id="1120"/>
    <w:bookmarkEnd w:id="1121"/>
    <w:bookmarkEnd w:id="1122"/>
    <w:bookmarkEnd w:id="1123"/>
    <w:p w14:paraId="1C87F709">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9</w:t>
      </w:r>
      <w:bookmarkStart w:id="1136" w:name="_Toc312677496"/>
      <w:bookmarkStart w:id="1137" w:name="_Toc312678022"/>
      <w:bookmarkStart w:id="1138" w:name="_Toc303539140"/>
      <w:bookmarkStart w:id="1139" w:name="_Toc297123534"/>
      <w:bookmarkStart w:id="1140" w:name="_Toc304295560"/>
      <w:bookmarkStart w:id="1141" w:name="_Toc297216193"/>
      <w:bookmarkStart w:id="1142" w:name="_Toc300934983"/>
      <w:r>
        <w:rPr>
          <w:rStyle w:val="14"/>
          <w:rFonts w:ascii="宋体" w:hAnsi="宋体"/>
          <w:color w:val="auto"/>
          <w:kern w:val="2"/>
          <w:sz w:val="24"/>
          <w:szCs w:val="24"/>
          <w:highlight w:val="none"/>
        </w:rPr>
        <w:t>.1试验设备与试验人员</w:t>
      </w:r>
    </w:p>
    <w:bookmarkEnd w:id="1136"/>
    <w:bookmarkEnd w:id="1137"/>
    <w:bookmarkEnd w:id="1138"/>
    <w:bookmarkEnd w:id="1139"/>
    <w:bookmarkEnd w:id="1140"/>
    <w:bookmarkEnd w:id="1141"/>
    <w:bookmarkEnd w:id="1142"/>
    <w:p w14:paraId="43A918D9">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9</w:t>
      </w:r>
      <w:bookmarkStart w:id="1143" w:name="_Toc312678023"/>
      <w:bookmarkStart w:id="1144" w:name="_Toc300934984"/>
      <w:bookmarkStart w:id="1145" w:name="_Toc297216194"/>
      <w:bookmarkStart w:id="1146" w:name="_Toc304295561"/>
      <w:bookmarkStart w:id="1147" w:name="_Toc312677497"/>
      <w:bookmarkStart w:id="1148" w:name="_Toc303539141"/>
      <w:bookmarkStart w:id="1149" w:name="_Toc297123535"/>
      <w:bookmarkStart w:id="1150" w:name="_Toc318581174"/>
      <w:r>
        <w:rPr>
          <w:rStyle w:val="14"/>
          <w:rFonts w:ascii="宋体" w:hAnsi="宋体"/>
          <w:color w:val="auto"/>
          <w:kern w:val="2"/>
          <w:sz w:val="24"/>
          <w:szCs w:val="24"/>
          <w:highlight w:val="none"/>
        </w:rPr>
        <w:t>.1.2 试验设备</w:t>
      </w:r>
    </w:p>
    <w:p w14:paraId="4AD151B1">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施工现场需要配置的试验场所：</w:t>
      </w:r>
      <w:bookmarkEnd w:id="1143"/>
      <w:bookmarkEnd w:id="1144"/>
      <w:bookmarkEnd w:id="1145"/>
      <w:bookmarkEnd w:id="1146"/>
      <w:bookmarkEnd w:id="1147"/>
      <w:bookmarkEnd w:id="1148"/>
      <w:bookmarkEnd w:id="1149"/>
      <w:bookmarkStart w:id="1151" w:name="_Toc300934985"/>
      <w:bookmarkStart w:id="1152" w:name="_Toc312677498"/>
      <w:bookmarkStart w:id="1153" w:name="_Toc304295562"/>
      <w:bookmarkStart w:id="1154" w:name="_Toc312678024"/>
      <w:bookmarkStart w:id="1155" w:name="_Toc303539142"/>
      <w:bookmarkStart w:id="1156" w:name="_Toc297123536"/>
      <w:bookmarkStart w:id="1157" w:name="_Toc297216195"/>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按相关规定执行</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0B58EBF3">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施工现场需要配备的试验设备：</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按相关规定执行。</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794EBCC6">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施工现场需要具备的其他试验条件：</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按相关规定执行</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039C6415">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rPr>
        <w:t>9.3 材料、工程设备和工程的试验和检验的有关约定：</w:t>
      </w:r>
      <w:r>
        <w:rPr>
          <w:rStyle w:val="14"/>
          <w:rFonts w:hint="eastAsia" w:ascii="宋体" w:hAnsi="宋体"/>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14:paraId="087654C2">
      <w:pPr>
        <w:pStyle w:val="20"/>
        <w:spacing w:after="120" w:line="360" w:lineRule="auto"/>
        <w:ind w:firstLine="480" w:firstLineChars="200"/>
        <w:outlineLvl w:val="9"/>
        <w:rPr>
          <w:rStyle w:val="14"/>
          <w:rFonts w:ascii="宋体" w:hAnsi="宋体"/>
          <w:color w:val="auto"/>
          <w:kern w:val="2"/>
          <w:sz w:val="24"/>
          <w:szCs w:val="24"/>
          <w:highlight w:val="none"/>
        </w:rPr>
      </w:pPr>
      <w:bookmarkStart w:id="1158" w:name="_Toc31959"/>
      <w:bookmarkStart w:id="1159" w:name="_Toc69461166"/>
      <w:bookmarkStart w:id="1160" w:name="_Toc256001309"/>
      <w:bookmarkStart w:id="1161" w:name="_Toc256001079"/>
      <w:bookmarkStart w:id="1162" w:name="_Toc17776"/>
      <w:bookmarkStart w:id="1163" w:name="_Toc10666"/>
      <w:bookmarkStart w:id="1164" w:name="_Toc256000842"/>
      <w:bookmarkStart w:id="1165" w:name="_Toc69461821"/>
      <w:bookmarkStart w:id="1166" w:name="_Toc256000094"/>
      <w:bookmarkStart w:id="1167" w:name="_Toc256000346"/>
      <w:bookmarkStart w:id="1168" w:name="_Toc256000061"/>
      <w:bookmarkStart w:id="1169" w:name="_Toc256000575"/>
      <w:bookmarkStart w:id="1170" w:name="_Toc29006"/>
      <w:r>
        <w:rPr>
          <w:rStyle w:val="14"/>
          <w:rFonts w:ascii="宋体" w:hAnsi="宋体"/>
          <w:color w:val="auto"/>
          <w:kern w:val="2"/>
          <w:sz w:val="24"/>
          <w:szCs w:val="24"/>
          <w:highlight w:val="none"/>
        </w:rPr>
        <w:t>9.4 现场工艺试验</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r>
        <w:rPr>
          <w:rStyle w:val="14"/>
          <w:rFonts w:hint="eastAsia" w:ascii="宋体" w:hAnsi="宋体"/>
          <w:color w:val="auto"/>
          <w:kern w:val="2"/>
          <w:sz w:val="24"/>
          <w:szCs w:val="24"/>
          <w:highlight w:val="none"/>
        </w:rPr>
        <w:t xml:space="preserve"> </w:t>
      </w:r>
    </w:p>
    <w:p w14:paraId="16644B2F">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现场工艺试验的有关约定：</w:t>
      </w:r>
      <w:r>
        <w:rPr>
          <w:rStyle w:val="14"/>
          <w:rFonts w:hint="eastAsia" w:ascii="宋体" w:hAnsi="宋体"/>
          <w:color w:val="auto"/>
          <w:kern w:val="2"/>
          <w:sz w:val="24"/>
          <w:szCs w:val="24"/>
          <w:highlight w:val="none"/>
          <w:u w:val="single"/>
        </w:rPr>
        <w:t>执行通用条款</w:t>
      </w:r>
    </w:p>
    <w:bookmarkEnd w:id="1150"/>
    <w:bookmarkEnd w:id="1151"/>
    <w:bookmarkEnd w:id="1152"/>
    <w:bookmarkEnd w:id="1153"/>
    <w:bookmarkEnd w:id="1154"/>
    <w:bookmarkEnd w:id="1155"/>
    <w:bookmarkEnd w:id="1156"/>
    <w:bookmarkEnd w:id="1157"/>
    <w:p w14:paraId="28F7EA79">
      <w:pPr>
        <w:pStyle w:val="22"/>
        <w:spacing w:before="120" w:after="120" w:line="360" w:lineRule="auto"/>
        <w:outlineLvl w:val="9"/>
        <w:rPr>
          <w:rStyle w:val="14"/>
          <w:rFonts w:ascii="宋体" w:hAnsi="宋体" w:eastAsia="宋体"/>
          <w:b w:val="0"/>
          <w:color w:val="auto"/>
          <w:sz w:val="24"/>
          <w:szCs w:val="24"/>
          <w:highlight w:val="none"/>
        </w:rPr>
      </w:pPr>
      <w:bookmarkStart w:id="1171" w:name="_Toc351203642"/>
      <w:bookmarkStart w:id="1172" w:name="_Toc69461167"/>
      <w:bookmarkStart w:id="1173" w:name="_Toc256000843"/>
      <w:bookmarkStart w:id="1174" w:name="_Toc69461822"/>
      <w:bookmarkStart w:id="1175" w:name="_Toc256000576"/>
      <w:bookmarkStart w:id="1176" w:name="_Toc5521"/>
      <w:bookmarkStart w:id="1177" w:name="_Toc2041"/>
      <w:bookmarkStart w:id="1178" w:name="_Toc256000347"/>
      <w:bookmarkStart w:id="1179" w:name="_Toc256001310"/>
      <w:bookmarkStart w:id="1180" w:name="_Toc256001080"/>
      <w:r>
        <w:rPr>
          <w:rStyle w:val="14"/>
          <w:rFonts w:ascii="宋体" w:hAnsi="宋体" w:eastAsia="宋体"/>
          <w:b w:val="0"/>
          <w:color w:val="auto"/>
          <w:sz w:val="24"/>
          <w:szCs w:val="24"/>
          <w:highlight w:val="none"/>
        </w:rPr>
        <w:t>1</w:t>
      </w:r>
      <w:bookmarkEnd w:id="1124"/>
      <w:bookmarkEnd w:id="1125"/>
      <w:bookmarkEnd w:id="1126"/>
      <w:bookmarkEnd w:id="1127"/>
      <w:bookmarkEnd w:id="1128"/>
      <w:bookmarkEnd w:id="1129"/>
      <w:bookmarkEnd w:id="1130"/>
      <w:bookmarkEnd w:id="1131"/>
      <w:bookmarkEnd w:id="1132"/>
      <w:bookmarkEnd w:id="1133"/>
      <w:bookmarkEnd w:id="1134"/>
      <w:bookmarkEnd w:id="1135"/>
      <w:bookmarkStart w:id="1181" w:name="_Toc297120493"/>
      <w:bookmarkStart w:id="1182" w:name="_Toc303539146"/>
      <w:bookmarkStart w:id="1183" w:name="_Toc296346694"/>
      <w:bookmarkStart w:id="1184" w:name="_Toc297123540"/>
      <w:bookmarkStart w:id="1185" w:name="_Toc296891021"/>
      <w:bookmarkStart w:id="1186" w:name="_Toc297048379"/>
      <w:bookmarkStart w:id="1187" w:name="_Toc292559398"/>
      <w:bookmarkStart w:id="1188" w:name="_Toc296347192"/>
      <w:bookmarkStart w:id="1189" w:name="_Toc296503193"/>
      <w:bookmarkStart w:id="1190" w:name="_Toc304295566"/>
      <w:bookmarkStart w:id="1191" w:name="_Toc300934989"/>
      <w:bookmarkStart w:id="1192" w:name="_Toc292559903"/>
      <w:bookmarkStart w:id="1193" w:name="_Toc296891233"/>
      <w:bookmarkStart w:id="1194" w:name="_Toc297216199"/>
      <w:bookmarkStart w:id="1195" w:name="_Toc296944532"/>
      <w:bookmarkStart w:id="1196" w:name="_Toc312678025"/>
      <w:bookmarkStart w:id="1197" w:name="_Toc312677499"/>
      <w:bookmarkStart w:id="1198" w:name="_Toc267251440"/>
      <w:bookmarkStart w:id="1199" w:name="_Toc267251437"/>
      <w:bookmarkStart w:id="1200" w:name="_Toc267251439"/>
      <w:bookmarkStart w:id="1201" w:name="_Toc267251433"/>
      <w:bookmarkStart w:id="1202" w:name="_Toc267251435"/>
      <w:bookmarkStart w:id="1203" w:name="_Toc267251441"/>
      <w:bookmarkStart w:id="1204" w:name="_Toc267251442"/>
      <w:r>
        <w:rPr>
          <w:rStyle w:val="14"/>
          <w:rFonts w:ascii="宋体" w:hAnsi="宋体" w:eastAsia="宋体"/>
          <w:b w:val="0"/>
          <w:color w:val="auto"/>
          <w:sz w:val="24"/>
          <w:szCs w:val="24"/>
          <w:highlight w:val="none"/>
        </w:rPr>
        <w:t>0. 变更</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bookmarkEnd w:id="1196"/>
    <w:bookmarkEnd w:id="1197"/>
    <w:p w14:paraId="0F9098A2">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w:t>
      </w:r>
      <w:bookmarkStart w:id="1205" w:name="_Toc300934990"/>
      <w:bookmarkStart w:id="1206" w:name="_Toc297120494"/>
      <w:bookmarkStart w:id="1207" w:name="_Toc297216200"/>
      <w:bookmarkStart w:id="1208" w:name="_Toc312677500"/>
      <w:bookmarkStart w:id="1209" w:name="_Toc296891234"/>
      <w:bookmarkStart w:id="1210" w:name="_Toc296346695"/>
      <w:bookmarkStart w:id="1211" w:name="_Toc297048380"/>
      <w:bookmarkStart w:id="1212" w:name="_Toc304295567"/>
      <w:bookmarkStart w:id="1213" w:name="_Toc303539147"/>
      <w:bookmarkStart w:id="1214" w:name="_Toc296347193"/>
      <w:bookmarkStart w:id="1215" w:name="_Toc296891022"/>
      <w:bookmarkStart w:id="1216" w:name="_Toc292559399"/>
      <w:bookmarkStart w:id="1217" w:name="_Toc296503194"/>
      <w:bookmarkStart w:id="1218" w:name="_Toc312678026"/>
      <w:bookmarkStart w:id="1219" w:name="_Toc297123541"/>
      <w:bookmarkStart w:id="1220" w:name="_Toc292559904"/>
      <w:bookmarkStart w:id="1221" w:name="_Toc296944533"/>
      <w:r>
        <w:rPr>
          <w:rStyle w:val="14"/>
          <w:rFonts w:ascii="宋体" w:hAnsi="宋体"/>
          <w:color w:val="auto"/>
          <w:kern w:val="2"/>
          <w:sz w:val="24"/>
          <w:szCs w:val="24"/>
          <w:highlight w:val="none"/>
        </w:rPr>
        <w:t>0.1变更的范围</w:t>
      </w:r>
    </w:p>
    <w:p w14:paraId="29BDF7C3">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关于变更的范围的约定：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w:t>
      </w:r>
    </w:p>
    <w:p w14:paraId="084F8539">
      <w:pPr>
        <w:pStyle w:val="20"/>
        <w:spacing w:after="120" w:line="360" w:lineRule="auto"/>
        <w:ind w:firstLine="480" w:firstLineChars="200"/>
        <w:outlineLvl w:val="9"/>
        <w:rPr>
          <w:rStyle w:val="14"/>
          <w:rFonts w:ascii="宋体" w:hAnsi="宋体"/>
          <w:color w:val="auto"/>
          <w:kern w:val="2"/>
          <w:sz w:val="24"/>
          <w:szCs w:val="24"/>
          <w:highlight w:val="none"/>
        </w:rPr>
      </w:pPr>
      <w:bookmarkStart w:id="1222" w:name="_Toc256001311"/>
      <w:bookmarkStart w:id="1223" w:name="_Toc256000577"/>
      <w:bookmarkStart w:id="1224" w:name="_Toc256000348"/>
      <w:bookmarkStart w:id="1225" w:name="_Toc256000095"/>
      <w:bookmarkStart w:id="1226" w:name="_Toc256001081"/>
      <w:bookmarkStart w:id="1227" w:name="_Toc31952"/>
      <w:bookmarkStart w:id="1228" w:name="_Toc256000062"/>
      <w:bookmarkStart w:id="1229" w:name="_Toc10204"/>
      <w:bookmarkStart w:id="1230" w:name="_Toc3763"/>
      <w:bookmarkStart w:id="1231" w:name="_Toc69461168"/>
      <w:bookmarkStart w:id="1232" w:name="_Toc69461823"/>
      <w:bookmarkStart w:id="1233" w:name="_Toc256000844"/>
      <w:bookmarkStart w:id="1234" w:name="_Toc6690"/>
      <w:r>
        <w:rPr>
          <w:rStyle w:val="14"/>
          <w:rFonts w:ascii="宋体" w:hAnsi="宋体"/>
          <w:color w:val="auto"/>
          <w:kern w:val="2"/>
          <w:sz w:val="24"/>
          <w:szCs w:val="24"/>
          <w:highlight w:val="none"/>
        </w:rPr>
        <w:t>10.4 变更估价</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40828630">
      <w:pPr>
        <w:pStyle w:val="20"/>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10.4.1 变更估价原则</w:t>
      </w:r>
    </w:p>
    <w:p w14:paraId="582389C1">
      <w:pPr>
        <w:pStyle w:val="21"/>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 xml:space="preserve">关于变更估价的约定: </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Start w:id="1235" w:name="_Toc297120503"/>
      <w:bookmarkStart w:id="1236" w:name="_Toc300934994"/>
      <w:bookmarkStart w:id="1237" w:name="_Toc292559408"/>
      <w:bookmarkStart w:id="1238" w:name="_Toc296891031"/>
      <w:bookmarkStart w:id="1239" w:name="_Toc297048389"/>
      <w:bookmarkStart w:id="1240" w:name="_Toc296944542"/>
      <w:bookmarkStart w:id="1241" w:name="_Toc292559913"/>
      <w:bookmarkStart w:id="1242" w:name="_Toc304295570"/>
      <w:bookmarkStart w:id="1243" w:name="_Toc296347202"/>
      <w:bookmarkStart w:id="1244" w:name="_Toc297216204"/>
      <w:bookmarkStart w:id="1245" w:name="_Toc297123545"/>
      <w:bookmarkStart w:id="1246" w:name="_Toc296891243"/>
      <w:bookmarkStart w:id="1247" w:name="_Toc296346704"/>
      <w:bookmarkStart w:id="1248" w:name="_Toc303539151"/>
      <w:bookmarkStart w:id="1249" w:name="_Toc312678029"/>
      <w:bookmarkStart w:id="1250" w:name="_Toc312677503"/>
      <w:bookmarkStart w:id="1251" w:name="_Toc296503203"/>
      <w:r>
        <w:rPr>
          <w:rStyle w:val="14"/>
          <w:rFonts w:hint="eastAsia" w:ascii="宋体" w:hAnsi="宋体"/>
          <w:color w:val="auto"/>
          <w:kern w:val="2"/>
          <w:sz w:val="24"/>
          <w:szCs w:val="24"/>
          <w:highlight w:val="none"/>
        </w:rPr>
        <w:t>⑴合同中已有适用的综合单价，按合同中已有的综合单价确定；</w:t>
      </w:r>
    </w:p>
    <w:p w14:paraId="72EA2B98">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⑵合同中有类似的综合单价，参照类似的综合单价确定；</w:t>
      </w:r>
    </w:p>
    <w:p w14:paraId="7970374A">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⑶合同中没有适用或类似的综合单价，由承包人提出新的综合单价，经发包人、审计确认后执行。</w:t>
      </w:r>
    </w:p>
    <w:p w14:paraId="02FEC445">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由承包人提出的新的综合单价，发包人按如下原则进行确认：</w:t>
      </w:r>
    </w:p>
    <w:p w14:paraId="6F4D9F7A">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①人工费、材料费、机械使用费按对应分部工程投标综合单价中相应单价执行；</w:t>
      </w:r>
    </w:p>
    <w:p w14:paraId="70A6DA04">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②管理费和利润，按对应分部工程投标报价中费率系数执行；</w:t>
      </w:r>
    </w:p>
    <w:p w14:paraId="393BA040">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 xml:space="preserve">③如同一分部工程投标人工单价、同一材料的材料单价、同一机械的机械台班单价及管理费率、利润率不同时，取最低者； </w:t>
      </w:r>
    </w:p>
    <w:p w14:paraId="2B4AAB18">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④投标报价中没有的材料，按材料进场当期的《辽宁工程造价信息》执行；</w:t>
      </w:r>
    </w:p>
    <w:p w14:paraId="4B113FD7">
      <w:pPr>
        <w:pStyle w:val="21"/>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⑤投标报价及《辽宁工程造价信息》均没有的材料，材料价格由承包人提出，经监理人核准报发包人、审计确认后作为结算依据。</w:t>
      </w:r>
    </w:p>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14:paraId="0DAA70F6">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监理人审查承包人合理化建议的期限：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76668AB">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发包人审批承包人合理化建议的期限：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w:t>
      </w:r>
    </w:p>
    <w:p w14:paraId="2185AB57">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承</w:t>
      </w:r>
      <w:bookmarkStart w:id="1252" w:name="_Toc296891032"/>
      <w:bookmarkStart w:id="1253" w:name="_Toc296347203"/>
      <w:bookmarkStart w:id="1254" w:name="_Toc297123546"/>
      <w:bookmarkStart w:id="1255" w:name="_Toc297120504"/>
      <w:bookmarkStart w:id="1256" w:name="_Toc292559914"/>
      <w:bookmarkStart w:id="1257" w:name="_Toc296891244"/>
      <w:bookmarkStart w:id="1258" w:name="_Toc296944543"/>
      <w:bookmarkStart w:id="1259" w:name="_Toc297216205"/>
      <w:bookmarkStart w:id="1260" w:name="_Toc300934995"/>
      <w:bookmarkStart w:id="1261" w:name="_Toc297048390"/>
      <w:bookmarkStart w:id="1262" w:name="_Toc292559409"/>
      <w:bookmarkStart w:id="1263" w:name="_Toc296346705"/>
      <w:bookmarkStart w:id="1264" w:name="_Toc312678030"/>
      <w:bookmarkStart w:id="1265" w:name="_Toc304295571"/>
      <w:bookmarkStart w:id="1266" w:name="_Toc312677504"/>
      <w:bookmarkStart w:id="1267" w:name="_Toc296503204"/>
      <w:bookmarkStart w:id="1268" w:name="_Toc318581175"/>
      <w:bookmarkStart w:id="1269" w:name="_Toc303539152"/>
      <w:r>
        <w:rPr>
          <w:rStyle w:val="14"/>
          <w:rFonts w:ascii="宋体" w:hAnsi="宋体"/>
          <w:color w:val="auto"/>
          <w:kern w:val="2"/>
          <w:sz w:val="24"/>
          <w:szCs w:val="24"/>
          <w:highlight w:val="none"/>
        </w:rPr>
        <w:t>包人提出的合理化建议降低了合同价格或者提高了工程经济效益的奖励的方法和金额为：</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p>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14:paraId="065287C2">
      <w:pPr>
        <w:pStyle w:val="20"/>
        <w:spacing w:after="120" w:line="360" w:lineRule="auto"/>
        <w:ind w:firstLine="480" w:firstLineChars="200"/>
        <w:outlineLvl w:val="9"/>
        <w:rPr>
          <w:rStyle w:val="14"/>
          <w:rFonts w:ascii="宋体" w:hAnsi="宋体"/>
          <w:color w:val="auto"/>
          <w:kern w:val="2"/>
          <w:sz w:val="24"/>
          <w:szCs w:val="24"/>
          <w:highlight w:val="none"/>
        </w:rPr>
      </w:pPr>
      <w:bookmarkStart w:id="1270" w:name="_Toc256001082"/>
      <w:bookmarkStart w:id="1271" w:name="_Toc10086"/>
      <w:bookmarkStart w:id="1272" w:name="_Toc9666"/>
      <w:bookmarkStart w:id="1273" w:name="_Toc256001312"/>
      <w:bookmarkStart w:id="1274" w:name="_Toc256000063"/>
      <w:bookmarkStart w:id="1275" w:name="_Toc10691"/>
      <w:bookmarkStart w:id="1276" w:name="_Toc256000845"/>
      <w:bookmarkStart w:id="1277" w:name="_Toc69461824"/>
      <w:bookmarkStart w:id="1278" w:name="_Toc256000096"/>
      <w:bookmarkStart w:id="1279" w:name="_Toc256000578"/>
      <w:bookmarkStart w:id="1280" w:name="_Toc256000349"/>
      <w:bookmarkStart w:id="1281" w:name="_Toc69461169"/>
      <w:bookmarkStart w:id="1282" w:name="_Toc4603"/>
      <w:r>
        <w:rPr>
          <w:rStyle w:val="14"/>
          <w:rFonts w:ascii="宋体" w:hAnsi="宋体"/>
          <w:color w:val="auto"/>
          <w:kern w:val="2"/>
          <w:sz w:val="24"/>
          <w:szCs w:val="24"/>
          <w:highlight w:val="none"/>
        </w:rPr>
        <w:t>1</w:t>
      </w:r>
      <w:bookmarkStart w:id="1283" w:name="_Toc296346700"/>
      <w:bookmarkStart w:id="1284" w:name="_Toc312677507"/>
      <w:bookmarkStart w:id="1285" w:name="_Toc292559404"/>
      <w:bookmarkStart w:id="1286" w:name="_Toc300934997"/>
      <w:bookmarkStart w:id="1287" w:name="_Toc297048385"/>
      <w:bookmarkStart w:id="1288" w:name="_Toc297123548"/>
      <w:bookmarkStart w:id="1289" w:name="_Toc304295574"/>
      <w:bookmarkStart w:id="1290" w:name="_Toc297216207"/>
      <w:bookmarkStart w:id="1291" w:name="_Toc296891239"/>
      <w:bookmarkStart w:id="1292" w:name="_Toc303539154"/>
      <w:bookmarkStart w:id="1293" w:name="_Toc296944538"/>
      <w:bookmarkStart w:id="1294" w:name="_Toc296347198"/>
      <w:bookmarkStart w:id="1295" w:name="_Toc297120499"/>
      <w:bookmarkStart w:id="1296" w:name="_Toc312678033"/>
      <w:bookmarkStart w:id="1297" w:name="_Toc296891027"/>
      <w:bookmarkStart w:id="1298" w:name="_Toc296503199"/>
      <w:bookmarkStart w:id="1299" w:name="_Toc292559909"/>
      <w:r>
        <w:rPr>
          <w:rStyle w:val="14"/>
          <w:rFonts w:ascii="宋体" w:hAnsi="宋体"/>
          <w:color w:val="auto"/>
          <w:kern w:val="2"/>
          <w:sz w:val="24"/>
          <w:szCs w:val="24"/>
          <w:highlight w:val="none"/>
        </w:rPr>
        <w:t>0.7 暂估价</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p>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14:paraId="630373CE">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sz w:val="24"/>
          <w:szCs w:val="24"/>
          <w:highlight w:val="none"/>
        </w:rPr>
        <w:t>暂</w:t>
      </w:r>
      <w:bookmarkStart w:id="1300" w:name="_Toc312677508"/>
      <w:bookmarkStart w:id="1301" w:name="_Toc312678034"/>
      <w:bookmarkStart w:id="1302" w:name="_Toc318581176"/>
      <w:r>
        <w:rPr>
          <w:rStyle w:val="14"/>
          <w:rFonts w:ascii="宋体" w:hAnsi="宋体"/>
          <w:color w:val="auto"/>
          <w:sz w:val="24"/>
          <w:szCs w:val="24"/>
          <w:highlight w:val="none"/>
        </w:rPr>
        <w:t>估价材料和工程设备的明细详见附件</w:t>
      </w:r>
      <w:r>
        <w:rPr>
          <w:rStyle w:val="14"/>
          <w:rFonts w:hint="eastAsia" w:ascii="宋体" w:hAnsi="宋体"/>
          <w:color w:val="auto"/>
          <w:sz w:val="24"/>
          <w:szCs w:val="24"/>
          <w:highlight w:val="none"/>
        </w:rPr>
        <w:t>11：《</w:t>
      </w:r>
      <w:r>
        <w:rPr>
          <w:rStyle w:val="14"/>
          <w:rFonts w:ascii="宋体" w:hAnsi="宋体"/>
          <w:color w:val="auto"/>
          <w:kern w:val="2"/>
          <w:sz w:val="24"/>
          <w:szCs w:val="24"/>
          <w:highlight w:val="none"/>
        </w:rPr>
        <w:t>暂估价一览表</w:t>
      </w:r>
      <w:r>
        <w:rPr>
          <w:rStyle w:val="14"/>
          <w:rFonts w:hint="eastAsia" w:ascii="宋体" w:hAnsi="宋体"/>
          <w:color w:val="auto"/>
          <w:kern w:val="2"/>
          <w:sz w:val="24"/>
          <w:szCs w:val="24"/>
          <w:highlight w:val="none"/>
        </w:rPr>
        <w:t>》</w:t>
      </w:r>
      <w:r>
        <w:rPr>
          <w:rStyle w:val="14"/>
          <w:rFonts w:hint="eastAsia" w:ascii="宋体" w:hAnsi="宋体"/>
          <w:color w:val="auto"/>
          <w:sz w:val="24"/>
          <w:szCs w:val="24"/>
          <w:highlight w:val="none"/>
        </w:rPr>
        <w:t>。</w:t>
      </w:r>
    </w:p>
    <w:bookmarkEnd w:id="1300"/>
    <w:bookmarkEnd w:id="1301"/>
    <w:bookmarkEnd w:id="1302"/>
    <w:p w14:paraId="05B3D58B">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w:t>
      </w:r>
      <w:bookmarkStart w:id="1303" w:name="_Toc318581177"/>
      <w:bookmarkStart w:id="1304" w:name="_Toc312677509"/>
      <w:bookmarkStart w:id="1305" w:name="_Toc312678035"/>
      <w:r>
        <w:rPr>
          <w:rStyle w:val="14"/>
          <w:rFonts w:ascii="宋体" w:hAnsi="宋体"/>
          <w:color w:val="auto"/>
          <w:kern w:val="2"/>
          <w:sz w:val="24"/>
          <w:szCs w:val="24"/>
          <w:highlight w:val="none"/>
        </w:rPr>
        <w:t>0.7.1 依法必须招标的暂估价项目</w:t>
      </w:r>
    </w:p>
    <w:bookmarkEnd w:id="1303"/>
    <w:bookmarkEnd w:id="1304"/>
    <w:bookmarkEnd w:id="1305"/>
    <w:p w14:paraId="34209C2A">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对于依法必须招标的暂估价项目的确认和批准采取第</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种方式确定。</w:t>
      </w:r>
    </w:p>
    <w:p w14:paraId="71FEA981">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10.7.2 不属于依法必须招标的暂估价项目</w:t>
      </w:r>
    </w:p>
    <w:p w14:paraId="352338EE">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对于不属于依法必须招标的暂估价项目的确认和批准采取第</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 xml:space="preserve"> 种方式确定。</w:t>
      </w:r>
    </w:p>
    <w:p w14:paraId="0BB86C47">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kern w:val="2"/>
          <w:sz w:val="24"/>
          <w:szCs w:val="24"/>
          <w:highlight w:val="none"/>
        </w:rPr>
        <w:t>第3种方式：</w:t>
      </w:r>
      <w:r>
        <w:rPr>
          <w:rStyle w:val="14"/>
          <w:rFonts w:ascii="宋体" w:hAnsi="宋体"/>
          <w:color w:val="auto"/>
          <w:sz w:val="24"/>
          <w:szCs w:val="24"/>
          <w:highlight w:val="none"/>
        </w:rPr>
        <w:t>承包人直接实施的暂估价项目</w:t>
      </w:r>
    </w:p>
    <w:p w14:paraId="572F75DF">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承包人直接实施的暂估价项目的约定：</w:t>
      </w:r>
      <w:r>
        <w:rPr>
          <w:rStyle w:val="14"/>
          <w:rFonts w:ascii="宋体" w:hAnsi="宋体"/>
          <w:color w:val="auto"/>
          <w:kern w:val="2"/>
          <w:sz w:val="24"/>
          <w:szCs w:val="24"/>
          <w:highlight w:val="none"/>
          <w:u w:val="single"/>
        </w:rPr>
        <w:t xml:space="preserve">                     </w:t>
      </w:r>
    </w:p>
    <w:p w14:paraId="316E0CCA">
      <w:pPr>
        <w:pStyle w:val="20"/>
        <w:spacing w:line="360" w:lineRule="auto"/>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26CEA082">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10.8 暂列金额</w:t>
      </w:r>
    </w:p>
    <w:p w14:paraId="4F31CD74">
      <w:pPr>
        <w:pStyle w:val="20"/>
        <w:autoSpaceDE w:val="0"/>
        <w:autoSpaceDN w:val="0"/>
        <w:adjustRightInd w:val="0"/>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sz w:val="24"/>
          <w:szCs w:val="24"/>
          <w:highlight w:val="none"/>
        </w:rPr>
        <w:t>合同当事人关于暂列金额使用的约定：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按照发包人要求使用，以发包人批准 </w:t>
      </w:r>
    </w:p>
    <w:p w14:paraId="512D59E3">
      <w:pPr>
        <w:pStyle w:val="20"/>
        <w:autoSpaceDE w:val="0"/>
        <w:autoSpaceDN w:val="0"/>
        <w:adjustRightInd w:val="0"/>
        <w:spacing w:line="360" w:lineRule="auto"/>
        <w:jc w:val="left"/>
        <w:rPr>
          <w:rStyle w:val="14"/>
          <w:rFonts w:ascii="宋体" w:hAnsi="宋体"/>
          <w:color w:val="auto"/>
          <w:sz w:val="24"/>
          <w:szCs w:val="24"/>
          <w:highlight w:val="none"/>
        </w:rPr>
      </w:pPr>
      <w:r>
        <w:rPr>
          <w:rStyle w:val="14"/>
          <w:rFonts w:hint="eastAsia" w:ascii="宋体" w:hAnsi="宋体"/>
          <w:color w:val="auto"/>
          <w:kern w:val="2"/>
          <w:sz w:val="24"/>
          <w:szCs w:val="24"/>
          <w:highlight w:val="none"/>
          <w:u w:val="single"/>
        </w:rPr>
        <w:t xml:space="preserve">    的实际发生的工程量结算    </w:t>
      </w:r>
      <w:r>
        <w:rPr>
          <w:rStyle w:val="14"/>
          <w:rFonts w:hint="eastAsia" w:ascii="宋体" w:hAnsi="宋体"/>
          <w:color w:val="auto"/>
          <w:sz w:val="24"/>
          <w:szCs w:val="24"/>
          <w:highlight w:val="none"/>
        </w:rPr>
        <w:t>。</w:t>
      </w:r>
    </w:p>
    <w:p w14:paraId="6AE6CDD4">
      <w:pPr>
        <w:pStyle w:val="22"/>
        <w:spacing w:before="120" w:after="120" w:line="360" w:lineRule="auto"/>
        <w:outlineLvl w:val="9"/>
        <w:rPr>
          <w:rStyle w:val="14"/>
          <w:rFonts w:ascii="宋体" w:hAnsi="宋体" w:eastAsia="宋体"/>
          <w:b w:val="0"/>
          <w:color w:val="auto"/>
          <w:sz w:val="24"/>
          <w:szCs w:val="24"/>
          <w:highlight w:val="none"/>
        </w:rPr>
      </w:pPr>
      <w:bookmarkStart w:id="1306" w:name="_Toc256001313"/>
      <w:bookmarkStart w:id="1307" w:name="_Toc256000846"/>
      <w:bookmarkStart w:id="1308" w:name="_Toc28238"/>
      <w:bookmarkStart w:id="1309" w:name="_Toc5177"/>
      <w:bookmarkStart w:id="1310" w:name="_Toc351203643"/>
      <w:bookmarkStart w:id="1311" w:name="_Toc256000350"/>
      <w:bookmarkStart w:id="1312" w:name="_Toc69461825"/>
      <w:bookmarkStart w:id="1313" w:name="_Toc69461170"/>
      <w:bookmarkStart w:id="1314" w:name="_Toc256000579"/>
      <w:bookmarkStart w:id="1315" w:name="_Toc256001083"/>
      <w:r>
        <w:rPr>
          <w:rStyle w:val="14"/>
          <w:rFonts w:ascii="宋体" w:hAnsi="宋体" w:eastAsia="宋体"/>
          <w:b w:val="0"/>
          <w:color w:val="auto"/>
          <w:sz w:val="24"/>
          <w:szCs w:val="24"/>
          <w:highlight w:val="none"/>
        </w:rPr>
        <w:t>11. 价格调整</w:t>
      </w:r>
      <w:bookmarkEnd w:id="1306"/>
      <w:bookmarkEnd w:id="1307"/>
      <w:bookmarkEnd w:id="1308"/>
      <w:bookmarkEnd w:id="1309"/>
      <w:bookmarkEnd w:id="1310"/>
      <w:bookmarkEnd w:id="1311"/>
      <w:bookmarkEnd w:id="1312"/>
      <w:bookmarkEnd w:id="1313"/>
      <w:bookmarkEnd w:id="1314"/>
      <w:bookmarkEnd w:id="1315"/>
    </w:p>
    <w:p w14:paraId="0D6F7221">
      <w:pPr>
        <w:pStyle w:val="20"/>
        <w:spacing w:after="120" w:line="360" w:lineRule="auto"/>
        <w:ind w:firstLine="480" w:firstLineChars="200"/>
        <w:rPr>
          <w:rStyle w:val="14"/>
          <w:rFonts w:ascii="宋体" w:hAnsi="宋体"/>
          <w:color w:val="auto"/>
          <w:kern w:val="2"/>
          <w:sz w:val="24"/>
          <w:szCs w:val="24"/>
          <w:highlight w:val="none"/>
        </w:rPr>
      </w:pPr>
      <w:bookmarkStart w:id="1316" w:name="_Toc297048387"/>
      <w:bookmarkStart w:id="1317" w:name="_Toc296891241"/>
      <w:bookmarkStart w:id="1318" w:name="_Toc304295577"/>
      <w:bookmarkStart w:id="1319" w:name="_Toc296944540"/>
      <w:bookmarkStart w:id="1320" w:name="_Toc297120501"/>
      <w:bookmarkStart w:id="1321" w:name="_Toc296346702"/>
      <w:bookmarkStart w:id="1322" w:name="_Toc292559911"/>
      <w:bookmarkStart w:id="1323" w:name="_Toc312678039"/>
      <w:bookmarkStart w:id="1324" w:name="_Toc296503201"/>
      <w:bookmarkStart w:id="1325" w:name="_Toc303539157"/>
      <w:bookmarkStart w:id="1326" w:name="_Toc297216209"/>
      <w:bookmarkStart w:id="1327" w:name="_Toc296347200"/>
      <w:bookmarkStart w:id="1328" w:name="_Toc300935000"/>
      <w:bookmarkStart w:id="1329" w:name="_Toc296891029"/>
      <w:bookmarkStart w:id="1330" w:name="_Toc297123550"/>
      <w:bookmarkStart w:id="1331" w:name="_Toc292559406"/>
      <w:r>
        <w:rPr>
          <w:rStyle w:val="14"/>
          <w:rFonts w:ascii="宋体" w:hAnsi="宋体"/>
          <w:color w:val="auto"/>
          <w:kern w:val="2"/>
          <w:sz w:val="24"/>
          <w:szCs w:val="24"/>
          <w:highlight w:val="none"/>
        </w:rPr>
        <w:t>11.1 市场价格波动引起的调整</w:t>
      </w:r>
    </w:p>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14:paraId="44B327D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sz w:val="24"/>
          <w:szCs w:val="24"/>
          <w:highlight w:val="none"/>
        </w:rPr>
        <w:t>市场价格波动是否调整合同价格的约定：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不</w:t>
      </w:r>
      <w:r>
        <w:rPr>
          <w:rStyle w:val="14"/>
          <w:rFonts w:ascii="宋体" w:hAnsi="宋体"/>
          <w:color w:val="auto"/>
          <w:kern w:val="2"/>
          <w:sz w:val="24"/>
          <w:szCs w:val="24"/>
          <w:highlight w:val="none"/>
          <w:u w:val="single"/>
        </w:rPr>
        <w:t xml:space="preserve">调整          </w:t>
      </w:r>
      <w:r>
        <w:rPr>
          <w:rStyle w:val="14"/>
          <w:rFonts w:ascii="宋体" w:hAnsi="宋体"/>
          <w:color w:val="auto"/>
          <w:kern w:val="2"/>
          <w:sz w:val="24"/>
          <w:szCs w:val="24"/>
          <w:highlight w:val="none"/>
        </w:rPr>
        <w:t>。</w:t>
      </w:r>
    </w:p>
    <w:p w14:paraId="10FC9454">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因市场价格波动调整合同价格，采用以下第</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种方式对合同价格进行调整：</w:t>
      </w:r>
    </w:p>
    <w:p w14:paraId="4AF512D9">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第1种方式：采用价格指数</w:t>
      </w:r>
      <w:r>
        <w:rPr>
          <w:rStyle w:val="14"/>
          <w:rFonts w:hint="eastAsia" w:ascii="宋体" w:hAnsi="宋体"/>
          <w:color w:val="auto"/>
          <w:kern w:val="2"/>
          <w:sz w:val="24"/>
          <w:szCs w:val="24"/>
          <w:highlight w:val="none"/>
        </w:rPr>
        <w:t>进行价格</w:t>
      </w:r>
      <w:r>
        <w:rPr>
          <w:rStyle w:val="14"/>
          <w:rFonts w:ascii="宋体" w:hAnsi="宋体"/>
          <w:color w:val="auto"/>
          <w:kern w:val="2"/>
          <w:sz w:val="24"/>
          <w:szCs w:val="24"/>
          <w:highlight w:val="none"/>
        </w:rPr>
        <w:t>调整。</w:t>
      </w:r>
    </w:p>
    <w:p w14:paraId="66597BE8">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关于各可调因子、定值和变值权重，以及基本价格指数及其来源的约定：</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 xml:space="preserve">；  </w:t>
      </w:r>
    </w:p>
    <w:p w14:paraId="7DF1048C">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第2种方式：采用造价信息</w:t>
      </w:r>
      <w:r>
        <w:rPr>
          <w:rStyle w:val="14"/>
          <w:rFonts w:hint="eastAsia" w:ascii="宋体" w:hAnsi="宋体"/>
          <w:color w:val="auto"/>
          <w:kern w:val="2"/>
          <w:sz w:val="24"/>
          <w:szCs w:val="24"/>
          <w:highlight w:val="none"/>
        </w:rPr>
        <w:t>进行价格</w:t>
      </w:r>
      <w:r>
        <w:rPr>
          <w:rStyle w:val="14"/>
          <w:rFonts w:ascii="宋体" w:hAnsi="宋体"/>
          <w:color w:val="auto"/>
          <w:kern w:val="2"/>
          <w:sz w:val="24"/>
          <w:szCs w:val="24"/>
          <w:highlight w:val="none"/>
        </w:rPr>
        <w:t>调整。</w:t>
      </w:r>
    </w:p>
    <w:p w14:paraId="1AF51525">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（2）关于基准价格的约定：</w:t>
      </w:r>
      <w:r>
        <w:rPr>
          <w:rStyle w:val="14"/>
          <w:rFonts w:ascii="宋体" w:hAnsi="宋体"/>
          <w:color w:val="auto"/>
          <w:kern w:val="2"/>
          <w:sz w:val="24"/>
          <w:szCs w:val="24"/>
          <w:highlight w:val="none"/>
          <w:u w:val="single"/>
        </w:rPr>
        <w:t>投标截止日期前</w:t>
      </w:r>
      <w:r>
        <w:rPr>
          <w:rStyle w:val="14"/>
          <w:rFonts w:hint="eastAsia" w:ascii="宋体" w:hAnsi="宋体"/>
          <w:color w:val="auto"/>
          <w:kern w:val="2"/>
          <w:sz w:val="24"/>
          <w:szCs w:val="24"/>
          <w:highlight w:val="none"/>
          <w:u w:val="single"/>
        </w:rPr>
        <w:t>28天的造价部门发布的工程所在地的造价信息价格</w:t>
      </w:r>
      <w:r>
        <w:rPr>
          <w:rStyle w:val="14"/>
          <w:rFonts w:ascii="宋体" w:hAnsi="宋体"/>
          <w:color w:val="auto"/>
          <w:kern w:val="2"/>
          <w:sz w:val="24"/>
          <w:szCs w:val="24"/>
          <w:highlight w:val="none"/>
        </w:rPr>
        <w:t>。</w:t>
      </w:r>
    </w:p>
    <w:p w14:paraId="1865B10C">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专用合同条款</w:t>
      </w:r>
      <w:r>
        <w:rPr>
          <w:rStyle w:val="14"/>
          <w:rFonts w:hint="eastAsia" w:ascii="宋体" w:hAnsi="宋体" w:cs="宋体"/>
          <w:color w:val="auto"/>
          <w:kern w:val="2"/>
          <w:sz w:val="24"/>
          <w:szCs w:val="24"/>
          <w:highlight w:val="none"/>
        </w:rPr>
        <w:t>①</w:t>
      </w:r>
      <w:r>
        <w:rPr>
          <w:rStyle w:val="14"/>
          <w:rFonts w:ascii="宋体" w:hAnsi="宋体"/>
          <w:color w:val="auto"/>
          <w:kern w:val="2"/>
          <w:sz w:val="24"/>
          <w:szCs w:val="24"/>
          <w:highlight w:val="none"/>
        </w:rPr>
        <w:t>承包人在已标价工程量清单或预算书中载明的材料单价低于基准价格的：专用合同条款合同履行期间材料单价涨幅以基准价格为基础超过</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%时，或材料单价跌幅以已标价工程量清单或预算书中载明材料单价为基础超过</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rPr>
        <w:t>%时，其超过部分据实调整。</w:t>
      </w:r>
    </w:p>
    <w:p w14:paraId="48581E1F">
      <w:pPr>
        <w:pStyle w:val="20"/>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s="宋体"/>
          <w:color w:val="auto"/>
          <w:kern w:val="2"/>
          <w:sz w:val="24"/>
          <w:szCs w:val="24"/>
          <w:highlight w:val="none"/>
        </w:rPr>
        <w:t>②</w:t>
      </w:r>
      <w:r>
        <w:rPr>
          <w:rStyle w:val="14"/>
          <w:rFonts w:ascii="宋体" w:hAnsi="宋体"/>
          <w:color w:val="auto"/>
          <w:kern w:val="2"/>
          <w:sz w:val="24"/>
          <w:szCs w:val="24"/>
          <w:highlight w:val="none"/>
        </w:rPr>
        <w:t>承包人在已标价工程量清单或预算书中载明的材料单价高于基准价格的：专用合同条款合同履行期间材料单价跌幅以基准价格为基础超过</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%时，材料单价涨幅以已标价工程量清单或预算书中载明材料单价为基础超过</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%时，其超过部分据实调整。</w:t>
      </w:r>
    </w:p>
    <w:p w14:paraId="15661A57">
      <w:pPr>
        <w:pStyle w:val="20"/>
        <w:spacing w:line="360" w:lineRule="auto"/>
        <w:ind w:firstLine="645"/>
        <w:jc w:val="left"/>
        <w:rPr>
          <w:rStyle w:val="14"/>
          <w:rFonts w:ascii="宋体" w:hAnsi="宋体"/>
          <w:color w:val="auto"/>
          <w:kern w:val="2"/>
          <w:sz w:val="24"/>
          <w:szCs w:val="24"/>
          <w:highlight w:val="none"/>
        </w:rPr>
      </w:pPr>
      <w:r>
        <w:rPr>
          <w:rStyle w:val="14"/>
          <w:rFonts w:hint="eastAsia" w:ascii="宋体" w:hAnsi="宋体" w:cs="宋体"/>
          <w:color w:val="auto"/>
          <w:kern w:val="2"/>
          <w:sz w:val="24"/>
          <w:szCs w:val="24"/>
          <w:highlight w:val="none"/>
        </w:rPr>
        <w:t>③</w:t>
      </w:r>
      <w:r>
        <w:rPr>
          <w:rStyle w:val="14"/>
          <w:rFonts w:ascii="宋体" w:hAnsi="宋体"/>
          <w:color w:val="auto"/>
          <w:kern w:val="2"/>
          <w:sz w:val="24"/>
          <w:szCs w:val="24"/>
          <w:highlight w:val="none"/>
        </w:rPr>
        <w:t>承包人在已标价工程量清单或预算书中载明的材料单价等于基准单价的：专用合同条款合同履行期间材料单价涨跌幅以基准单价为基础超过±</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%时，其超过部分据实调整。</w:t>
      </w:r>
    </w:p>
    <w:p w14:paraId="69FCA2B6">
      <w:pPr>
        <w:pStyle w:val="20"/>
        <w:spacing w:line="360" w:lineRule="auto"/>
        <w:ind w:firstLine="645"/>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第3种方式：其他价格调整方式：</w:t>
      </w:r>
      <w:r>
        <w:rPr>
          <w:rStyle w:val="14"/>
          <w:rFonts w:ascii="宋体" w:hAnsi="宋体"/>
          <w:color w:val="auto"/>
          <w:kern w:val="2"/>
          <w:sz w:val="24"/>
          <w:szCs w:val="24"/>
          <w:highlight w:val="none"/>
          <w:u w:val="single"/>
        </w:rPr>
        <w:t xml:space="preserve">                        </w:t>
      </w:r>
    </w:p>
    <w:p w14:paraId="5B3846DC">
      <w:pPr>
        <w:pStyle w:val="20"/>
        <w:spacing w:line="360" w:lineRule="auto"/>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bookmarkEnd w:id="1198"/>
    <w:bookmarkEnd w:id="1199"/>
    <w:bookmarkEnd w:id="1200"/>
    <w:bookmarkEnd w:id="1201"/>
    <w:bookmarkEnd w:id="1202"/>
    <w:bookmarkEnd w:id="1203"/>
    <w:p w14:paraId="6F66C218">
      <w:pPr>
        <w:pStyle w:val="22"/>
        <w:spacing w:before="120" w:after="120" w:line="360" w:lineRule="auto"/>
        <w:outlineLvl w:val="9"/>
        <w:rPr>
          <w:rStyle w:val="14"/>
          <w:rFonts w:ascii="宋体" w:hAnsi="宋体" w:eastAsia="宋体"/>
          <w:b w:val="0"/>
          <w:color w:val="auto"/>
          <w:sz w:val="24"/>
          <w:szCs w:val="24"/>
          <w:highlight w:val="none"/>
        </w:rPr>
      </w:pPr>
      <w:bookmarkStart w:id="1332" w:name="_Toc296944544"/>
      <w:bookmarkStart w:id="1333" w:name="_Toc296891033"/>
      <w:bookmarkStart w:id="1334" w:name="_Toc296503205"/>
      <w:bookmarkStart w:id="1335" w:name="_Toc292559410"/>
      <w:bookmarkStart w:id="1336" w:name="_Toc297048391"/>
      <w:bookmarkStart w:id="1337" w:name="_Toc296891245"/>
      <w:bookmarkStart w:id="1338" w:name="_Toc296347204"/>
      <w:bookmarkStart w:id="1339" w:name="_Toc296346706"/>
      <w:bookmarkStart w:id="1340" w:name="_Toc297120505"/>
      <w:bookmarkStart w:id="1341" w:name="_Toc292559915"/>
      <w:bookmarkStart w:id="1342" w:name="_Toc32048"/>
      <w:bookmarkStart w:id="1343" w:name="_Toc256000351"/>
      <w:bookmarkStart w:id="1344" w:name="_Toc256000580"/>
      <w:bookmarkStart w:id="1345" w:name="_Toc256000847"/>
      <w:bookmarkStart w:id="1346" w:name="_Toc8434"/>
      <w:bookmarkStart w:id="1347" w:name="_Toc256001084"/>
      <w:bookmarkStart w:id="1348" w:name="_Toc69461171"/>
      <w:bookmarkStart w:id="1349" w:name="_Toc351203644"/>
      <w:bookmarkStart w:id="1350" w:name="_Toc69461826"/>
      <w:bookmarkStart w:id="1351" w:name="_Toc256001314"/>
      <w:bookmarkStart w:id="1352" w:name="_Toc297216211"/>
      <w:bookmarkStart w:id="1353" w:name="_Toc304295579"/>
      <w:bookmarkStart w:id="1354" w:name="_Toc297123552"/>
      <w:bookmarkStart w:id="1355" w:name="_Toc303539159"/>
      <w:bookmarkStart w:id="1356" w:name="_Toc312678040"/>
      <w:bookmarkStart w:id="1357" w:name="_Toc300935002"/>
      <w:r>
        <w:rPr>
          <w:rStyle w:val="14"/>
          <w:rFonts w:ascii="宋体" w:hAnsi="宋体" w:eastAsia="宋体"/>
          <w:b w:val="0"/>
          <w:color w:val="auto"/>
          <w:sz w:val="24"/>
          <w:szCs w:val="24"/>
          <w:highlight w:val="none"/>
        </w:rPr>
        <w:t xml:space="preserve">12. </w:t>
      </w:r>
      <w:bookmarkEnd w:id="1332"/>
      <w:bookmarkEnd w:id="1333"/>
      <w:bookmarkEnd w:id="1334"/>
      <w:bookmarkEnd w:id="1335"/>
      <w:bookmarkEnd w:id="1336"/>
      <w:bookmarkEnd w:id="1337"/>
      <w:bookmarkEnd w:id="1338"/>
      <w:bookmarkEnd w:id="1339"/>
      <w:bookmarkEnd w:id="1340"/>
      <w:bookmarkEnd w:id="1341"/>
      <w:r>
        <w:rPr>
          <w:rStyle w:val="14"/>
          <w:rFonts w:ascii="宋体" w:hAnsi="宋体" w:eastAsia="宋体"/>
          <w:b w:val="0"/>
          <w:color w:val="auto"/>
          <w:sz w:val="24"/>
          <w:szCs w:val="24"/>
          <w:highlight w:val="none"/>
        </w:rPr>
        <w:t>合同价格、计量与支付</w:t>
      </w:r>
      <w:bookmarkEnd w:id="1342"/>
      <w:bookmarkEnd w:id="1343"/>
      <w:bookmarkEnd w:id="1344"/>
      <w:bookmarkEnd w:id="1345"/>
      <w:bookmarkEnd w:id="1346"/>
      <w:bookmarkEnd w:id="1347"/>
      <w:bookmarkEnd w:id="1348"/>
      <w:bookmarkEnd w:id="1349"/>
      <w:bookmarkEnd w:id="1350"/>
      <w:bookmarkEnd w:id="1351"/>
    </w:p>
    <w:bookmarkEnd w:id="1352"/>
    <w:bookmarkEnd w:id="1353"/>
    <w:bookmarkEnd w:id="1354"/>
    <w:bookmarkEnd w:id="1355"/>
    <w:bookmarkEnd w:id="1356"/>
    <w:bookmarkEnd w:id="1357"/>
    <w:p w14:paraId="7B31E5C8">
      <w:pPr>
        <w:pStyle w:val="20"/>
        <w:spacing w:after="120" w:line="360" w:lineRule="auto"/>
        <w:ind w:firstLine="480" w:firstLineChars="200"/>
        <w:rPr>
          <w:rStyle w:val="14"/>
          <w:rFonts w:ascii="宋体" w:hAnsi="宋体"/>
          <w:color w:val="auto"/>
          <w:kern w:val="2"/>
          <w:sz w:val="24"/>
          <w:szCs w:val="24"/>
          <w:highlight w:val="none"/>
        </w:rPr>
      </w:pPr>
      <w:bookmarkStart w:id="1358" w:name="_Toc267251461"/>
      <w:bookmarkStart w:id="1359" w:name="_Toc292559411"/>
      <w:bookmarkStart w:id="1360" w:name="_Toc292559916"/>
      <w:bookmarkStart w:id="1361" w:name="_Toc296944545"/>
      <w:bookmarkStart w:id="1362" w:name="_Toc297048392"/>
      <w:bookmarkStart w:id="1363" w:name="_Toc296346707"/>
      <w:bookmarkStart w:id="1364" w:name="_Toc296891246"/>
      <w:bookmarkStart w:id="1365" w:name="_Toc296503206"/>
      <w:bookmarkStart w:id="1366" w:name="_Toc296347205"/>
      <w:bookmarkStart w:id="1367" w:name="_Toc297120506"/>
      <w:bookmarkStart w:id="1368" w:name="_Toc296891034"/>
      <w:bookmarkStart w:id="1369" w:name="_Toc297123553"/>
      <w:bookmarkStart w:id="1370" w:name="_Toc312678041"/>
      <w:bookmarkStart w:id="1371" w:name="_Toc297216212"/>
      <w:bookmarkStart w:id="1372" w:name="_Toc300935003"/>
      <w:bookmarkStart w:id="1373" w:name="_Toc303539160"/>
      <w:bookmarkStart w:id="1374" w:name="_Toc304295580"/>
      <w:r>
        <w:rPr>
          <w:rStyle w:val="14"/>
          <w:rFonts w:ascii="宋体" w:hAnsi="宋体"/>
          <w:color w:val="auto"/>
          <w:kern w:val="2"/>
          <w:sz w:val="24"/>
          <w:szCs w:val="24"/>
          <w:highlight w:val="none"/>
        </w:rPr>
        <w:t>12.1 合</w:t>
      </w:r>
      <w:bookmarkEnd w:id="1358"/>
      <w:bookmarkEnd w:id="1359"/>
      <w:bookmarkEnd w:id="1360"/>
      <w:r>
        <w:rPr>
          <w:rStyle w:val="14"/>
          <w:rFonts w:ascii="宋体" w:hAnsi="宋体"/>
          <w:color w:val="auto"/>
          <w:kern w:val="2"/>
          <w:sz w:val="24"/>
          <w:szCs w:val="24"/>
          <w:highlight w:val="none"/>
        </w:rPr>
        <w:t>同价</w:t>
      </w:r>
      <w:bookmarkEnd w:id="1361"/>
      <w:bookmarkEnd w:id="1362"/>
      <w:bookmarkEnd w:id="1363"/>
      <w:bookmarkEnd w:id="1364"/>
      <w:bookmarkEnd w:id="1365"/>
      <w:bookmarkEnd w:id="1366"/>
      <w:bookmarkEnd w:id="1367"/>
      <w:bookmarkEnd w:id="1368"/>
      <w:r>
        <w:rPr>
          <w:rStyle w:val="14"/>
          <w:rFonts w:ascii="宋体" w:hAnsi="宋体"/>
          <w:color w:val="auto"/>
          <w:kern w:val="2"/>
          <w:sz w:val="24"/>
          <w:szCs w:val="24"/>
          <w:highlight w:val="none"/>
        </w:rPr>
        <w:t>格形式</w:t>
      </w:r>
    </w:p>
    <w:bookmarkEnd w:id="1369"/>
    <w:bookmarkEnd w:id="1370"/>
    <w:bookmarkEnd w:id="1371"/>
    <w:bookmarkEnd w:id="1372"/>
    <w:bookmarkEnd w:id="1373"/>
    <w:bookmarkEnd w:id="1374"/>
    <w:p w14:paraId="3BC0BC6D">
      <w:pPr>
        <w:pStyle w:val="20"/>
        <w:spacing w:line="360" w:lineRule="auto"/>
        <w:ind w:firstLine="645"/>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rPr>
        <w:t>综合单价包含的风险范围：</w:t>
      </w:r>
      <w:r>
        <w:rPr>
          <w:rStyle w:val="14"/>
          <w:rFonts w:hint="eastAsia" w:ascii="宋体" w:hAnsi="宋体"/>
          <w:color w:val="auto"/>
          <w:kern w:val="2"/>
          <w:sz w:val="24"/>
          <w:szCs w:val="24"/>
          <w:highlight w:val="none"/>
          <w:u w:val="single"/>
        </w:rPr>
        <w:t xml:space="preserve">(1)完成本项目招标及图纸范围内所有可能遇到的各种涉及报价的风险因素均应综合考虑到报价中,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14:paraId="365F892E">
      <w:pPr>
        <w:pStyle w:val="20"/>
        <w:spacing w:line="360" w:lineRule="auto"/>
        <w:ind w:firstLine="645"/>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 xml:space="preserve">（2）吊装、运输工具、照明器具和施工的脚手架等由承包人自行解决，费用在投标报价中考虑。 </w:t>
      </w:r>
    </w:p>
    <w:p w14:paraId="51F057A4">
      <w:pPr>
        <w:pStyle w:val="20"/>
        <w:spacing w:line="360" w:lineRule="auto"/>
        <w:ind w:firstLine="645"/>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 xml:space="preserve">（3）风险费用的计算方法：投标人已在投标报价中自行报价，中标后除工程量调整外不再调整。 </w:t>
      </w:r>
    </w:p>
    <w:p w14:paraId="4C67D913">
      <w:pPr>
        <w:pStyle w:val="20"/>
        <w:spacing w:line="360" w:lineRule="auto"/>
        <w:ind w:firstLine="645"/>
        <w:jc w:val="left"/>
        <w:rPr>
          <w:rStyle w:val="14"/>
          <w:rFonts w:hint="eastAsia"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（4）</w:t>
      </w:r>
      <w:r>
        <w:rPr>
          <w:rStyle w:val="14"/>
          <w:rFonts w:ascii="宋体" w:hAnsi="宋体"/>
          <w:color w:val="auto"/>
          <w:kern w:val="2"/>
          <w:sz w:val="24"/>
          <w:szCs w:val="24"/>
          <w:highlight w:val="none"/>
          <w:u w:val="single"/>
        </w:rPr>
        <w:t>风险范围以外的合同价格的调整方法</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因市场价格波动引起的调整按第11.1款</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市场价格波动引起的调整</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约定执行。</w:t>
      </w:r>
    </w:p>
    <w:p w14:paraId="6728DE74">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2、总价合同。</w:t>
      </w:r>
    </w:p>
    <w:p w14:paraId="5B3E2BED">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总价包含的风险范围：</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p>
    <w:p w14:paraId="3DCE4C6B">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风险费用的计算方法：</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60BF592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风险范围以外合同价格的调整方法：</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 xml:space="preserve">        </w:t>
      </w:r>
    </w:p>
    <w:p w14:paraId="435BBDF9">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F6440A1">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3、其他价格方式：</w:t>
      </w:r>
      <w:r>
        <w:rPr>
          <w:rStyle w:val="14"/>
          <w:rFonts w:ascii="宋体" w:hAnsi="宋体"/>
          <w:color w:val="auto"/>
          <w:kern w:val="2"/>
          <w:sz w:val="24"/>
          <w:szCs w:val="24"/>
          <w:highlight w:val="none"/>
          <w:u w:val="single"/>
        </w:rPr>
        <w:t xml:space="preserve">                                     </w:t>
      </w:r>
    </w:p>
    <w:p w14:paraId="48172C6A">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ABDF1EA">
      <w:pPr>
        <w:pStyle w:val="20"/>
        <w:spacing w:after="120" w:line="360" w:lineRule="auto"/>
        <w:ind w:firstLine="480" w:firstLineChars="200"/>
        <w:rPr>
          <w:rStyle w:val="14"/>
          <w:rFonts w:ascii="宋体" w:hAnsi="宋体"/>
          <w:color w:val="auto"/>
          <w:kern w:val="2"/>
          <w:sz w:val="24"/>
          <w:szCs w:val="24"/>
          <w:highlight w:val="none"/>
        </w:rPr>
      </w:pPr>
      <w:bookmarkStart w:id="1375" w:name="_Toc304295581"/>
      <w:bookmarkStart w:id="1376" w:name="_Toc300935004"/>
      <w:bookmarkStart w:id="1377" w:name="_Toc303539161"/>
      <w:bookmarkStart w:id="1378" w:name="_Toc312678042"/>
      <w:bookmarkStart w:id="1379" w:name="_Toc297216213"/>
      <w:bookmarkStart w:id="1380" w:name="_Toc297123554"/>
      <w:bookmarkStart w:id="1381" w:name="_Toc296347206"/>
      <w:bookmarkStart w:id="1382" w:name="_Toc296891035"/>
      <w:bookmarkStart w:id="1383" w:name="_Toc297048393"/>
      <w:bookmarkStart w:id="1384" w:name="_Toc296503207"/>
      <w:bookmarkStart w:id="1385" w:name="_Toc296944546"/>
      <w:bookmarkStart w:id="1386" w:name="_Toc292559917"/>
      <w:bookmarkStart w:id="1387" w:name="_Toc292559412"/>
      <w:bookmarkStart w:id="1388" w:name="_Toc296891247"/>
      <w:bookmarkStart w:id="1389" w:name="_Toc297120507"/>
      <w:bookmarkStart w:id="1390" w:name="_Toc296346708"/>
      <w:r>
        <w:rPr>
          <w:rStyle w:val="14"/>
          <w:rFonts w:ascii="宋体" w:hAnsi="宋体"/>
          <w:color w:val="auto"/>
          <w:kern w:val="2"/>
          <w:sz w:val="24"/>
          <w:szCs w:val="24"/>
          <w:highlight w:val="none"/>
        </w:rPr>
        <w:t>12.2 预付款</w:t>
      </w:r>
    </w:p>
    <w:bookmarkEnd w:id="1375"/>
    <w:bookmarkEnd w:id="1376"/>
    <w:bookmarkEnd w:id="1377"/>
    <w:bookmarkEnd w:id="1378"/>
    <w:bookmarkEnd w:id="1379"/>
    <w:bookmarkEnd w:id="1380"/>
    <w:p w14:paraId="3CDCBEB4">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12.2.1 预付款的支付</w:t>
      </w:r>
    </w:p>
    <w:p w14:paraId="19F59DA1">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预付款支付比例或金额：</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B10BFB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预付款支付期限：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28A4CA01">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预付款扣回的方式：</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4BC95BD8">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12.2.2 预付款担保</w:t>
      </w:r>
    </w:p>
    <w:p w14:paraId="170822EF">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承包人提交预付款担保的期限：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9CBFAF4">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预付款担保的形式为：</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bookmarkEnd w:id="1381"/>
    <w:bookmarkEnd w:id="1382"/>
    <w:bookmarkEnd w:id="1383"/>
    <w:bookmarkEnd w:id="1384"/>
    <w:bookmarkEnd w:id="1385"/>
    <w:bookmarkEnd w:id="1386"/>
    <w:bookmarkEnd w:id="1387"/>
    <w:bookmarkEnd w:id="1388"/>
    <w:bookmarkEnd w:id="1389"/>
    <w:bookmarkEnd w:id="1390"/>
    <w:p w14:paraId="29F33BCE">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12.3 计量</w:t>
      </w:r>
    </w:p>
    <w:p w14:paraId="444F485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12.3.1 计量原则</w:t>
      </w:r>
    </w:p>
    <w:p w14:paraId="3BE3A163">
      <w:pPr>
        <w:pStyle w:val="20"/>
        <w:spacing w:line="420" w:lineRule="exact"/>
        <w:ind w:firstLine="480" w:firstLineChars="200"/>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工程量计算规则：</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工程量计算规则执行国家标准《建设工程工程量清单计价规范》（GB</w:t>
      </w:r>
      <w:r>
        <w:rPr>
          <w:rStyle w:val="14"/>
          <w:rFonts w:hint="eastAsia" w:ascii="宋体" w:hAnsi="宋体"/>
          <w:color w:val="auto"/>
          <w:kern w:val="2"/>
          <w:sz w:val="24"/>
          <w:szCs w:val="24"/>
          <w:highlight w:val="none"/>
          <w:u w:val="single"/>
          <w:lang w:val="en-US" w:eastAsia="zh-CN"/>
        </w:rPr>
        <w:t>/T</w:t>
      </w:r>
      <w:r>
        <w:rPr>
          <w:rStyle w:val="14"/>
          <w:rFonts w:hint="eastAsia" w:ascii="宋体" w:hAnsi="宋体"/>
          <w:color w:val="auto"/>
          <w:kern w:val="2"/>
          <w:sz w:val="24"/>
          <w:szCs w:val="24"/>
          <w:highlight w:val="none"/>
          <w:u w:val="single"/>
        </w:rPr>
        <w:t>50500-20</w:t>
      </w:r>
      <w:r>
        <w:rPr>
          <w:rStyle w:val="14"/>
          <w:rFonts w:hint="eastAsia" w:ascii="宋体" w:hAnsi="宋体"/>
          <w:color w:val="auto"/>
          <w:kern w:val="2"/>
          <w:sz w:val="24"/>
          <w:szCs w:val="24"/>
          <w:highlight w:val="none"/>
          <w:u w:val="single"/>
          <w:lang w:val="en-US" w:eastAsia="zh-CN"/>
        </w:rPr>
        <w:t>24</w:t>
      </w:r>
      <w:r>
        <w:rPr>
          <w:rStyle w:val="14"/>
          <w:rFonts w:hint="eastAsia" w:ascii="宋体" w:hAnsi="宋体"/>
          <w:color w:val="auto"/>
          <w:kern w:val="2"/>
          <w:sz w:val="24"/>
          <w:szCs w:val="24"/>
          <w:highlight w:val="none"/>
          <w:u w:val="single"/>
        </w:rPr>
        <w:t>）及20</w:t>
      </w:r>
      <w:r>
        <w:rPr>
          <w:rStyle w:val="14"/>
          <w:rFonts w:hint="eastAsia" w:ascii="宋体" w:hAnsi="宋体"/>
          <w:color w:val="auto"/>
          <w:kern w:val="2"/>
          <w:sz w:val="24"/>
          <w:szCs w:val="24"/>
          <w:highlight w:val="none"/>
          <w:u w:val="single"/>
          <w:lang w:val="en-US" w:eastAsia="zh-CN"/>
        </w:rPr>
        <w:t>24</w:t>
      </w:r>
      <w:r>
        <w:rPr>
          <w:rStyle w:val="14"/>
          <w:rFonts w:hint="eastAsia" w:ascii="宋体" w:hAnsi="宋体"/>
          <w:color w:val="auto"/>
          <w:kern w:val="2"/>
          <w:sz w:val="24"/>
          <w:szCs w:val="24"/>
          <w:highlight w:val="none"/>
          <w:u w:val="single"/>
        </w:rPr>
        <w:t xml:space="preserve">年《辽宁省建设工程计价依据》或其适用的修订版本。 </w:t>
      </w:r>
    </w:p>
    <w:p w14:paraId="52443410">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12.3.2 计量周期</w:t>
      </w:r>
    </w:p>
    <w:p w14:paraId="68885F69">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关于计量周期的约定：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21E48D4C">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12.3.3 单价合同的计量</w:t>
      </w:r>
    </w:p>
    <w:p w14:paraId="1D067F95">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关于单价合同计量的约定：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按实计算工程量</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7CBE8106">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12.3.4 总价合同的计量</w:t>
      </w:r>
    </w:p>
    <w:p w14:paraId="571A7C46">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关于总价合同计量的约定：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3B430DB8">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12.3.5总价合同采用支付分解表计量支付的，是否适用第</w:t>
      </w:r>
      <w:r>
        <w:rPr>
          <w:rStyle w:val="14"/>
          <w:rFonts w:ascii="宋体" w:hAnsi="宋体"/>
          <w:color w:val="auto"/>
          <w:sz w:val="24"/>
          <w:szCs w:val="24"/>
          <w:highlight w:val="none"/>
        </w:rPr>
        <w:t xml:space="preserve">12.3.4 </w:t>
      </w:r>
      <w:r>
        <w:rPr>
          <w:rStyle w:val="14"/>
          <w:rFonts w:ascii="宋体" w:hAnsi="宋体"/>
          <w:color w:val="auto"/>
          <w:kern w:val="2"/>
          <w:sz w:val="24"/>
          <w:szCs w:val="24"/>
          <w:highlight w:val="none"/>
        </w:rPr>
        <w:t>项</w:t>
      </w:r>
      <w:r>
        <w:rPr>
          <w:rStyle w:val="14"/>
          <w:rFonts w:hint="eastAsia" w:ascii="宋体" w:hAnsi="宋体"/>
          <w:color w:val="auto"/>
          <w:sz w:val="24"/>
          <w:szCs w:val="24"/>
          <w:highlight w:val="none"/>
        </w:rPr>
        <w:t>〔</w:t>
      </w:r>
      <w:r>
        <w:rPr>
          <w:rStyle w:val="14"/>
          <w:rFonts w:ascii="宋体" w:hAnsi="宋体"/>
          <w:color w:val="auto"/>
          <w:sz w:val="24"/>
          <w:szCs w:val="24"/>
          <w:highlight w:val="none"/>
        </w:rPr>
        <w:t>总价合同的计量</w:t>
      </w:r>
      <w:r>
        <w:rPr>
          <w:rStyle w:val="14"/>
          <w:rFonts w:hint="eastAsia" w:ascii="宋体" w:hAnsi="宋体"/>
          <w:color w:val="auto"/>
          <w:sz w:val="24"/>
          <w:szCs w:val="24"/>
          <w:highlight w:val="none"/>
        </w:rPr>
        <w:t>〕</w:t>
      </w:r>
      <w:r>
        <w:rPr>
          <w:rStyle w:val="14"/>
          <w:rFonts w:ascii="宋体" w:hAnsi="宋体"/>
          <w:color w:val="auto"/>
          <w:kern w:val="2"/>
          <w:sz w:val="24"/>
          <w:szCs w:val="24"/>
          <w:highlight w:val="none"/>
        </w:rPr>
        <w:t>约定</w:t>
      </w:r>
      <w:r>
        <w:rPr>
          <w:rStyle w:val="14"/>
          <w:rFonts w:hint="eastAsia" w:ascii="宋体" w:hAnsi="宋体"/>
          <w:color w:val="auto"/>
          <w:kern w:val="2"/>
          <w:sz w:val="24"/>
          <w:szCs w:val="24"/>
          <w:highlight w:val="none"/>
        </w:rPr>
        <w:t>进行计量：</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569C0DE">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12.3.6 其他价格形式合同的计量</w:t>
      </w:r>
    </w:p>
    <w:p w14:paraId="6E2DD835">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其他价格形式的计量方式和程序：</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23557A16">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20405B7D">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12.4 工程进度款支付</w:t>
      </w:r>
    </w:p>
    <w:p w14:paraId="23A817EE">
      <w:pPr>
        <w:pStyle w:val="20"/>
        <w:spacing w:line="360" w:lineRule="auto"/>
        <w:ind w:firstLine="480" w:firstLineChars="200"/>
        <w:jc w:val="left"/>
        <w:rPr>
          <w:rStyle w:val="14"/>
          <w:rFonts w:ascii="宋体" w:hAnsi="宋体"/>
          <w:color w:val="auto"/>
          <w:kern w:val="2"/>
          <w:sz w:val="24"/>
          <w:szCs w:val="24"/>
          <w:highlight w:val="none"/>
        </w:rPr>
      </w:pPr>
      <w:bookmarkStart w:id="1391" w:name="_Toc296503211"/>
      <w:bookmarkStart w:id="1392" w:name="_Toc296346712"/>
      <w:bookmarkStart w:id="1393" w:name="_Toc300935006"/>
      <w:bookmarkStart w:id="1394" w:name="_Toc296891039"/>
      <w:bookmarkStart w:id="1395" w:name="_Toc297120511"/>
      <w:bookmarkStart w:id="1396" w:name="_Toc296891251"/>
      <w:bookmarkStart w:id="1397" w:name="_Toc297048397"/>
      <w:bookmarkStart w:id="1398" w:name="_Toc296347210"/>
      <w:bookmarkStart w:id="1399" w:name="_Toc297216215"/>
      <w:bookmarkStart w:id="1400" w:name="_Toc297123556"/>
      <w:bookmarkStart w:id="1401" w:name="_Toc292559416"/>
      <w:bookmarkStart w:id="1402" w:name="_Toc296944550"/>
      <w:bookmarkStart w:id="1403" w:name="_Toc292559921"/>
      <w:bookmarkStart w:id="1404" w:name="_Toc303539163"/>
      <w:r>
        <w:rPr>
          <w:rStyle w:val="14"/>
          <w:rFonts w:ascii="宋体" w:hAnsi="宋体"/>
          <w:color w:val="auto"/>
          <w:kern w:val="2"/>
          <w:sz w:val="24"/>
          <w:szCs w:val="24"/>
          <w:highlight w:val="none"/>
        </w:rPr>
        <w:t>12.4.1 付款周期</w:t>
      </w:r>
    </w:p>
    <w:p w14:paraId="4F570880">
      <w:pPr>
        <w:pStyle w:val="20"/>
        <w:spacing w:line="360" w:lineRule="auto"/>
        <w:ind w:firstLine="360" w:firstLineChars="150"/>
        <w:jc w:val="left"/>
        <w:rPr>
          <w:rStyle w:val="14"/>
          <w:rFonts w:hint="eastAsia" w:ascii="宋体" w:hAnsi="宋体" w:eastAsia="宋体"/>
          <w:color w:val="auto"/>
          <w:kern w:val="2"/>
          <w:sz w:val="24"/>
          <w:szCs w:val="24"/>
          <w:highlight w:val="none"/>
          <w:lang w:eastAsia="zh-CN"/>
        </w:rPr>
      </w:pPr>
      <w:r>
        <w:rPr>
          <w:rStyle w:val="14"/>
          <w:rFonts w:hint="eastAsia" w:ascii="宋体" w:hAnsi="宋体"/>
          <w:color w:val="auto"/>
          <w:sz w:val="24"/>
          <w:szCs w:val="24"/>
          <w:highlight w:val="none"/>
        </w:rPr>
        <w:t>1)</w:t>
      </w:r>
      <w:r>
        <w:rPr>
          <w:rStyle w:val="14"/>
          <w:rFonts w:hint="eastAsia" w:ascii="宋体" w:hAnsi="宋体"/>
          <w:color w:val="auto"/>
          <w:sz w:val="24"/>
          <w:szCs w:val="24"/>
          <w:highlight w:val="none"/>
          <w:lang w:val="en-US" w:eastAsia="zh-CN"/>
        </w:rPr>
        <w:t>按照工程形象进度支付已完工程额的80%。项目结算后支付至合同金额的97%，3%为质量保证金</w:t>
      </w:r>
      <w:r>
        <w:rPr>
          <w:rStyle w:val="14"/>
          <w:rFonts w:hint="eastAsia" w:ascii="宋体" w:hAnsi="宋体"/>
          <w:color w:val="auto"/>
          <w:sz w:val="24"/>
          <w:szCs w:val="24"/>
          <w:highlight w:val="none"/>
        </w:rPr>
        <w:t>；</w:t>
      </w:r>
      <w:r>
        <w:rPr>
          <w:rStyle w:val="14"/>
          <w:rFonts w:hint="eastAsia" w:ascii="宋体" w:hAnsi="宋体"/>
          <w:color w:val="auto"/>
          <w:sz w:val="24"/>
          <w:szCs w:val="24"/>
          <w:highlight w:val="none"/>
        </w:rPr>
        <w:cr/>
      </w:r>
      <w:r>
        <w:rPr>
          <w:rStyle w:val="14"/>
          <w:rFonts w:hint="eastAsia" w:ascii="宋体" w:hAnsi="宋体"/>
          <w:color w:val="auto"/>
          <w:sz w:val="24"/>
          <w:szCs w:val="24"/>
          <w:highlight w:val="none"/>
        </w:rPr>
        <w:t xml:space="preserve">   2)承包人应于每月 25 日向监理人报送上月 20 日至当月 19 日已完成的工程量报告，并附具进度付款申请单、已完成工程量报表和有关资料。 </w:t>
      </w:r>
      <w:r>
        <w:rPr>
          <w:rStyle w:val="14"/>
          <w:rFonts w:hint="eastAsia" w:ascii="宋体" w:hAnsi="宋体"/>
          <w:color w:val="auto"/>
          <w:sz w:val="24"/>
          <w:szCs w:val="24"/>
          <w:highlight w:val="none"/>
        </w:rPr>
        <w:cr/>
      </w:r>
      <w:r>
        <w:rPr>
          <w:rStyle w:val="14"/>
          <w:rFonts w:hint="eastAsia" w:ascii="宋体" w:hAnsi="宋体"/>
          <w:color w:val="auto"/>
          <w:sz w:val="24"/>
          <w:szCs w:val="24"/>
          <w:highlight w:val="none"/>
        </w:rPr>
        <w:t xml:space="preserve">   3)监理人应在收到承包人提交的工程量报告后 7 天内完成对承包人提交的工程量报表的审核并报送发包人，以确定当月实际完成的工程量。</w:t>
      </w:r>
      <w:r>
        <w:rPr>
          <w:rStyle w:val="14"/>
          <w:rFonts w:hint="eastAsia" w:ascii="宋体" w:hAnsi="宋体"/>
          <w:color w:val="auto"/>
          <w:sz w:val="24"/>
          <w:szCs w:val="24"/>
          <w:highlight w:val="none"/>
        </w:rPr>
        <w:cr/>
      </w:r>
      <w:r>
        <w:rPr>
          <w:rStyle w:val="14"/>
          <w:rFonts w:hint="eastAsia" w:ascii="宋体" w:hAnsi="宋体"/>
          <w:color w:val="auto"/>
          <w:sz w:val="24"/>
          <w:szCs w:val="24"/>
          <w:highlight w:val="none"/>
        </w:rPr>
        <w:t xml:space="preserve">   4)</w:t>
      </w:r>
      <w:r>
        <w:rPr>
          <w:rStyle w:val="14"/>
          <w:rFonts w:hint="eastAsia" w:ascii="宋体" w:hAnsi="宋体"/>
          <w:color w:val="auto"/>
          <w:sz w:val="24"/>
          <w:szCs w:val="24"/>
          <w:highlight w:val="none"/>
          <w:lang w:eastAsia="zh-CN"/>
        </w:rPr>
        <w:t>竣工验收后，乙方负责向政府相关部门报验并通过审核验收合格，同时提交相关档案后，支付全部合同金额的 97%，合同金额的 3%作为质保金;</w:t>
      </w:r>
      <w:r>
        <w:rPr>
          <w:rStyle w:val="14"/>
          <w:rFonts w:hint="eastAsia" w:ascii="宋体" w:hAnsi="宋体"/>
          <w:color w:val="auto"/>
          <w:sz w:val="24"/>
          <w:szCs w:val="24"/>
          <w:highlight w:val="none"/>
        </w:rPr>
        <w:t xml:space="preserve"> </w:t>
      </w:r>
      <w:r>
        <w:rPr>
          <w:rStyle w:val="14"/>
          <w:rFonts w:hint="eastAsia" w:ascii="宋体" w:hAnsi="宋体"/>
          <w:color w:val="auto"/>
          <w:sz w:val="24"/>
          <w:szCs w:val="24"/>
          <w:highlight w:val="none"/>
        </w:rPr>
        <w:cr/>
      </w:r>
      <w:r>
        <w:rPr>
          <w:rStyle w:val="14"/>
          <w:rFonts w:hint="eastAsia" w:ascii="宋体" w:hAnsi="宋体"/>
          <w:color w:val="auto"/>
          <w:sz w:val="24"/>
          <w:szCs w:val="24"/>
          <w:highlight w:val="none"/>
        </w:rPr>
        <w:t xml:space="preserve">   </w:t>
      </w:r>
    </w:p>
    <w:p w14:paraId="61B249EF">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12.4.2 进度付款申请单的编制</w:t>
      </w:r>
    </w:p>
    <w:p w14:paraId="47F15F27">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关于进度付款申请单编制的约定：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按发包人要求。</w:t>
      </w:r>
    </w:p>
    <w:p w14:paraId="57CB75B2">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r>
        <w:rPr>
          <w:rStyle w:val="14"/>
          <w:rFonts w:ascii="宋体" w:hAnsi="宋体"/>
          <w:color w:val="auto"/>
          <w:kern w:val="2"/>
          <w:sz w:val="24"/>
          <w:szCs w:val="24"/>
          <w:highlight w:val="none"/>
        </w:rPr>
        <w:t>2.4.3 进度付款申请单的提交</w:t>
      </w:r>
    </w:p>
    <w:p w14:paraId="0E0D00C0">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（1）单价合同进度付款申请单提交的约定</w:t>
      </w:r>
      <w:r>
        <w:rPr>
          <w:rStyle w:val="14"/>
          <w:rFonts w:hint="eastAsia" w:ascii="宋体" w:hAnsi="宋体"/>
          <w:color w:val="auto"/>
          <w:kern w:val="2"/>
          <w:sz w:val="24"/>
          <w:szCs w:val="24"/>
          <w:highlight w:val="non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AA74CA7">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（2）总价合同进度付款申请单提交的约定</w:t>
      </w:r>
      <w:r>
        <w:rPr>
          <w:rStyle w:val="14"/>
          <w:rFonts w:hint="eastAsia" w:ascii="宋体" w:hAnsi="宋体"/>
          <w:color w:val="auto"/>
          <w:kern w:val="2"/>
          <w:sz w:val="24"/>
          <w:szCs w:val="24"/>
          <w:highlight w:val="none"/>
        </w:rPr>
        <w:t>：</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488C2A7">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（3）其他价格形式合同进度付款申请单提交的约定：</w:t>
      </w:r>
      <w:r>
        <w:rPr>
          <w:rStyle w:val="14"/>
          <w:rFonts w:ascii="宋体" w:hAnsi="宋体"/>
          <w:color w:val="auto"/>
          <w:kern w:val="2"/>
          <w:sz w:val="24"/>
          <w:szCs w:val="24"/>
          <w:highlight w:val="none"/>
          <w:u w:val="single"/>
        </w:rPr>
        <w:t xml:space="preserve">       </w:t>
      </w:r>
    </w:p>
    <w:p w14:paraId="113EA490">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31C27CB7">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12.4.4 进度款审核和支付</w:t>
      </w:r>
    </w:p>
    <w:p w14:paraId="248A423E">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（1）监理人审查并报送发包人的期限：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F727EE2">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发包人完成审批并签发进度款支付证书的期限：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7E68EFBD">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528545A">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（2）发包人支付进度款的期限：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双方商定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8E133DC">
      <w:pPr>
        <w:pStyle w:val="20"/>
        <w:spacing w:line="360" w:lineRule="auto"/>
        <w:ind w:firstLine="600" w:firstLineChars="25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发包人逾期支付进度款的违约金的计算方式：</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p>
    <w:p w14:paraId="6479FC7C">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42BD18E">
      <w:pPr>
        <w:pStyle w:val="20"/>
        <w:spacing w:line="360" w:lineRule="auto"/>
        <w:ind w:firstLine="600" w:firstLineChars="25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12.4.6 支付分解表的编制</w:t>
      </w:r>
    </w:p>
    <w:p w14:paraId="566B779D">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2、总价合同支付分解表的编制与审批：</w:t>
      </w:r>
      <w:r>
        <w:rPr>
          <w:rStyle w:val="14"/>
          <w:rFonts w:ascii="宋体" w:hAnsi="宋体"/>
          <w:color w:val="auto"/>
          <w:kern w:val="2"/>
          <w:sz w:val="24"/>
          <w:szCs w:val="24"/>
          <w:highlight w:val="none"/>
          <w:u w:val="single"/>
        </w:rPr>
        <w:t xml:space="preserve">                  </w:t>
      </w:r>
    </w:p>
    <w:p w14:paraId="66473065">
      <w:pPr>
        <w:pStyle w:val="20"/>
        <w:spacing w:line="360" w:lineRule="auto"/>
        <w:ind w:left="4800" w:hanging="4800" w:hangingChars="20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5CA3A958">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3、单价合同的总价项目支付分解表的编制与审批：</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w:t>
      </w:r>
    </w:p>
    <w:bookmarkEnd w:id="1204"/>
    <w:p w14:paraId="7A47DE24">
      <w:pPr>
        <w:pStyle w:val="22"/>
        <w:spacing w:before="120" w:after="120" w:line="360" w:lineRule="auto"/>
        <w:outlineLvl w:val="9"/>
        <w:rPr>
          <w:rStyle w:val="14"/>
          <w:rFonts w:ascii="宋体" w:hAnsi="宋体" w:eastAsia="宋体"/>
          <w:b w:val="0"/>
          <w:color w:val="auto"/>
          <w:sz w:val="24"/>
          <w:szCs w:val="24"/>
          <w:highlight w:val="none"/>
        </w:rPr>
      </w:pPr>
      <w:bookmarkStart w:id="1405" w:name="_Toc256001315"/>
      <w:bookmarkStart w:id="1406" w:name="_Toc69461827"/>
      <w:bookmarkStart w:id="1407" w:name="_Toc256000848"/>
      <w:bookmarkStart w:id="1408" w:name="_Toc256000581"/>
      <w:bookmarkStart w:id="1409" w:name="_Toc256001085"/>
      <w:bookmarkStart w:id="1410" w:name="_Toc30296"/>
      <w:bookmarkStart w:id="1411" w:name="_Toc8681"/>
      <w:bookmarkStart w:id="1412" w:name="_Toc351203645"/>
      <w:bookmarkStart w:id="1413" w:name="_Toc256000352"/>
      <w:bookmarkStart w:id="1414" w:name="_Toc69461172"/>
      <w:bookmarkStart w:id="1415" w:name="_Toc296891259"/>
      <w:bookmarkStart w:id="1416" w:name="_Toc292559424"/>
      <w:bookmarkStart w:id="1417" w:name="_Toc300935015"/>
      <w:bookmarkStart w:id="1418" w:name="_Toc296503219"/>
      <w:bookmarkStart w:id="1419" w:name="_Toc296891047"/>
      <w:bookmarkStart w:id="1420" w:name="_Toc304295593"/>
      <w:bookmarkStart w:id="1421" w:name="_Toc297216223"/>
      <w:bookmarkStart w:id="1422" w:name="_Toc292559929"/>
      <w:bookmarkStart w:id="1423" w:name="_Toc296347218"/>
      <w:bookmarkStart w:id="1424" w:name="_Toc303539172"/>
      <w:bookmarkStart w:id="1425" w:name="_Toc297123564"/>
      <w:bookmarkStart w:id="1426" w:name="_Toc296944558"/>
      <w:bookmarkStart w:id="1427" w:name="_Toc297048405"/>
      <w:bookmarkStart w:id="1428" w:name="_Toc296346720"/>
      <w:bookmarkStart w:id="1429" w:name="_Toc312678053"/>
      <w:bookmarkStart w:id="1430" w:name="_Toc297120519"/>
      <w:r>
        <w:rPr>
          <w:rStyle w:val="14"/>
          <w:rFonts w:ascii="宋体" w:hAnsi="宋体" w:eastAsia="宋体"/>
          <w:b w:val="0"/>
          <w:color w:val="auto"/>
          <w:sz w:val="24"/>
          <w:szCs w:val="24"/>
          <w:highlight w:val="none"/>
        </w:rPr>
        <w:t>13.</w:t>
      </w:r>
      <w:r>
        <w:rPr>
          <w:rStyle w:val="14"/>
          <w:rFonts w:hint="eastAsia" w:ascii="宋体" w:hAnsi="宋体" w:eastAsia="宋体"/>
          <w:b w:val="0"/>
          <w:color w:val="auto"/>
          <w:sz w:val="24"/>
          <w:szCs w:val="24"/>
          <w:highlight w:val="none"/>
        </w:rPr>
        <w:t xml:space="preserve"> </w:t>
      </w:r>
      <w:r>
        <w:rPr>
          <w:rStyle w:val="14"/>
          <w:rFonts w:ascii="宋体" w:hAnsi="宋体" w:eastAsia="宋体"/>
          <w:b w:val="0"/>
          <w:color w:val="auto"/>
          <w:sz w:val="24"/>
          <w:szCs w:val="24"/>
          <w:highlight w:val="none"/>
        </w:rPr>
        <w:t>验收和工程试车</w:t>
      </w:r>
      <w:bookmarkEnd w:id="1405"/>
      <w:bookmarkEnd w:id="1406"/>
      <w:bookmarkEnd w:id="1407"/>
      <w:bookmarkEnd w:id="1408"/>
      <w:bookmarkEnd w:id="1409"/>
      <w:bookmarkEnd w:id="1410"/>
      <w:bookmarkEnd w:id="1411"/>
      <w:bookmarkEnd w:id="1412"/>
      <w:bookmarkEnd w:id="1413"/>
      <w:bookmarkEnd w:id="1414"/>
    </w:p>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14:paraId="2D56A861">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13.1 分部分项工程验收</w:t>
      </w:r>
    </w:p>
    <w:p w14:paraId="2BC4B75E">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13.1.2监理人不能按时进行验收时，应提前</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小时提交书面延期要求。</w:t>
      </w:r>
    </w:p>
    <w:p w14:paraId="5503BEE0">
      <w:pPr>
        <w:pStyle w:val="20"/>
        <w:spacing w:line="360" w:lineRule="auto"/>
        <w:ind w:firstLine="480" w:firstLineChars="200"/>
        <w:jc w:val="left"/>
        <w:rPr>
          <w:rStyle w:val="14"/>
          <w:rFonts w:ascii="宋体" w:hAnsi="宋体"/>
          <w:b/>
          <w:color w:val="auto"/>
          <w:kern w:val="2"/>
          <w:sz w:val="24"/>
          <w:szCs w:val="24"/>
          <w:highlight w:val="none"/>
        </w:rPr>
      </w:pPr>
      <w:r>
        <w:rPr>
          <w:rStyle w:val="14"/>
          <w:rFonts w:ascii="宋体" w:hAnsi="宋体"/>
          <w:color w:val="auto"/>
          <w:kern w:val="2"/>
          <w:sz w:val="24"/>
          <w:szCs w:val="24"/>
          <w:highlight w:val="none"/>
        </w:rPr>
        <w:t>关于延期最长不得超过：</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小时。</w:t>
      </w:r>
    </w:p>
    <w:p w14:paraId="4E3EB310">
      <w:pPr>
        <w:pStyle w:val="20"/>
        <w:spacing w:after="120" w:line="360" w:lineRule="auto"/>
        <w:ind w:firstLine="480" w:firstLineChars="200"/>
        <w:rPr>
          <w:rStyle w:val="14"/>
          <w:rFonts w:ascii="宋体" w:hAnsi="宋体"/>
          <w:color w:val="auto"/>
          <w:kern w:val="2"/>
          <w:sz w:val="24"/>
          <w:szCs w:val="24"/>
          <w:highlight w:val="none"/>
        </w:rPr>
      </w:pPr>
      <w:bookmarkStart w:id="1431" w:name="_Toc296503223"/>
      <w:bookmarkStart w:id="1432" w:name="_Toc297048409"/>
      <w:bookmarkStart w:id="1433" w:name="_Toc300935016"/>
      <w:bookmarkStart w:id="1434" w:name="_Toc303539173"/>
      <w:bookmarkStart w:id="1435" w:name="_Toc312678056"/>
      <w:bookmarkStart w:id="1436" w:name="_Toc296347222"/>
      <w:bookmarkStart w:id="1437" w:name="_Toc296944562"/>
      <w:bookmarkStart w:id="1438" w:name="_Toc292559933"/>
      <w:bookmarkStart w:id="1439" w:name="_Toc296346724"/>
      <w:bookmarkStart w:id="1440" w:name="_Toc296891051"/>
      <w:bookmarkStart w:id="1441" w:name="_Toc297216224"/>
      <w:bookmarkStart w:id="1442" w:name="_Toc292559428"/>
      <w:bookmarkStart w:id="1443" w:name="_Toc304295596"/>
      <w:bookmarkStart w:id="1444" w:name="_Toc296891263"/>
      <w:bookmarkStart w:id="1445" w:name="_Toc297120523"/>
      <w:bookmarkStart w:id="1446" w:name="_Toc297123565"/>
      <w:bookmarkStart w:id="1447" w:name="_Toc267251476"/>
      <w:bookmarkStart w:id="1448" w:name="_Toc267251474"/>
      <w:bookmarkStart w:id="1449" w:name="_Toc267251473"/>
      <w:bookmarkStart w:id="1450" w:name="_Toc267251475"/>
      <w:bookmarkStart w:id="1451" w:name="_Toc267251471"/>
      <w:bookmarkStart w:id="1452" w:name="_Toc267251470"/>
      <w:bookmarkStart w:id="1453" w:name="_Toc267251472"/>
      <w:r>
        <w:rPr>
          <w:rStyle w:val="14"/>
          <w:rFonts w:ascii="宋体" w:hAnsi="宋体"/>
          <w:color w:val="auto"/>
          <w:kern w:val="2"/>
          <w:sz w:val="24"/>
          <w:szCs w:val="24"/>
          <w:highlight w:val="none"/>
        </w:rPr>
        <w:t>13.2 竣工验收</w:t>
      </w:r>
    </w:p>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14:paraId="5586D2C0">
      <w:pPr>
        <w:pStyle w:val="20"/>
        <w:spacing w:line="360" w:lineRule="auto"/>
        <w:ind w:firstLine="480" w:firstLineChars="200"/>
        <w:jc w:val="left"/>
        <w:rPr>
          <w:rStyle w:val="14"/>
          <w:rFonts w:ascii="宋体" w:hAnsi="宋体"/>
          <w:color w:val="auto"/>
          <w:kern w:val="2"/>
          <w:sz w:val="24"/>
          <w:szCs w:val="24"/>
          <w:highlight w:val="none"/>
        </w:rPr>
      </w:pPr>
      <w:bookmarkStart w:id="1454" w:name="_Toc280868704"/>
      <w:bookmarkStart w:id="1455" w:name="_Toc280868705"/>
      <w:bookmarkStart w:id="1456" w:name="_Toc280868706"/>
      <w:bookmarkStart w:id="1457" w:name="_Toc280868707"/>
      <w:bookmarkStart w:id="1458" w:name="_Toc280868708"/>
      <w:bookmarkStart w:id="1459" w:name="_Toc280868709"/>
      <w:r>
        <w:rPr>
          <w:rStyle w:val="14"/>
          <w:rFonts w:ascii="宋体" w:hAnsi="宋体"/>
          <w:color w:val="auto"/>
          <w:kern w:val="2"/>
          <w:sz w:val="24"/>
          <w:szCs w:val="24"/>
          <w:highlight w:val="none"/>
        </w:rPr>
        <w:t>13.2.2竣工验收程序</w:t>
      </w:r>
    </w:p>
    <w:bookmarkEnd w:id="1454"/>
    <w:p w14:paraId="0DA6E909">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关于竣工验收程序的约定：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w:t>
      </w:r>
      <w:r>
        <w:rPr>
          <w:rStyle w:val="14"/>
          <w:rFonts w:ascii="宋体" w:hAnsi="宋体"/>
          <w:color w:val="auto"/>
          <w:kern w:val="2"/>
          <w:sz w:val="24"/>
          <w:szCs w:val="24"/>
          <w:highlight w:val="none"/>
          <w:u w:val="single"/>
        </w:rPr>
        <w:t xml:space="preserve">                        </w:t>
      </w:r>
    </w:p>
    <w:p w14:paraId="574FD6F8">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发包人不按照本项约定组织竣工验收、颁发工程接收证书的违约金的计算方法：</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4DDAFDC9">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bookmarkEnd w:id="1455"/>
    <w:p w14:paraId="088AF3FC">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13.2.5移交、接收全部与部分工程</w:t>
      </w:r>
    </w:p>
    <w:bookmarkEnd w:id="1456"/>
    <w:p w14:paraId="6DFA8517">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sz w:val="24"/>
          <w:szCs w:val="24"/>
          <w:highlight w:val="none"/>
        </w:rPr>
        <w:t>承包人向发包人移交工程的期限：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乙方向政府相关部门报验并通过审核验收合格后,整体工程验收后10天内，承包人须无条件向发包人移交全部工程   。</w:t>
      </w:r>
    </w:p>
    <w:p w14:paraId="33D19900">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发包人未按本合同约定接收全部或部分工程的，违约金的计算方法为：</w:t>
      </w:r>
      <w:r>
        <w:rPr>
          <w:rStyle w:val="14"/>
          <w:rFonts w:hint="eastAsia" w:ascii="宋体" w:hAnsi="宋体"/>
          <w:color w:val="auto"/>
          <w:kern w:val="2"/>
          <w:sz w:val="24"/>
          <w:szCs w:val="24"/>
          <w:highlight w:val="none"/>
          <w:u w:val="single"/>
        </w:rPr>
        <w:t xml:space="preserve">  /  </w:t>
      </w:r>
    </w:p>
    <w:bookmarkEnd w:id="1457"/>
    <w:p w14:paraId="20EE02B4">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承包人未按时移交工程的，违约金的计算方法为：</w:t>
      </w:r>
      <w:r>
        <w:rPr>
          <w:rStyle w:val="14"/>
          <w:rFonts w:hint="eastAsia" w:ascii="宋体" w:hAnsi="宋体"/>
          <w:color w:val="auto"/>
          <w:kern w:val="2"/>
          <w:sz w:val="24"/>
          <w:szCs w:val="24"/>
          <w:highlight w:val="none"/>
          <w:u w:val="single"/>
        </w:rPr>
        <w:t xml:space="preserve">  / </w:t>
      </w:r>
    </w:p>
    <w:p w14:paraId="5DACD2F7">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13.3 工程试车</w:t>
      </w:r>
    </w:p>
    <w:bookmarkEnd w:id="1458"/>
    <w:p w14:paraId="1104646D">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13.3.1 试车程序</w:t>
      </w:r>
    </w:p>
    <w:p w14:paraId="311E0AFF">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工程试车内容：</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51970DEB">
      <w:pPr>
        <w:pStyle w:val="20"/>
        <w:spacing w:line="360" w:lineRule="auto"/>
        <w:jc w:val="left"/>
        <w:rPr>
          <w:rStyle w:val="14"/>
          <w:rFonts w:ascii="宋体" w:hAnsi="宋体"/>
          <w:color w:val="auto"/>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D008945">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（1）单机无负荷试车费用由</w:t>
      </w:r>
      <w:r>
        <w:rPr>
          <w:rStyle w:val="14"/>
          <w:rFonts w:ascii="宋体" w:hAnsi="宋体"/>
          <w:color w:val="auto"/>
          <w:kern w:val="2"/>
          <w:sz w:val="24"/>
          <w:szCs w:val="24"/>
          <w:highlight w:val="none"/>
          <w:u w:val="single"/>
        </w:rPr>
        <w:t xml:space="preserve">                     </w:t>
      </w:r>
      <w:r>
        <w:rPr>
          <w:rStyle w:val="14"/>
          <w:rFonts w:ascii="宋体" w:hAnsi="宋体"/>
          <w:color w:val="auto"/>
          <w:sz w:val="24"/>
          <w:szCs w:val="24"/>
          <w:highlight w:val="none"/>
        </w:rPr>
        <w:t>承担；</w:t>
      </w:r>
    </w:p>
    <w:p w14:paraId="36265D07">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（2）无负荷联动试车费用由</w:t>
      </w:r>
      <w:r>
        <w:rPr>
          <w:rStyle w:val="14"/>
          <w:rFonts w:ascii="宋体" w:hAnsi="宋体"/>
          <w:color w:val="auto"/>
          <w:kern w:val="2"/>
          <w:sz w:val="24"/>
          <w:szCs w:val="24"/>
          <w:highlight w:val="none"/>
          <w:u w:val="single"/>
        </w:rPr>
        <w:t xml:space="preserve">                     </w:t>
      </w:r>
      <w:r>
        <w:rPr>
          <w:rStyle w:val="14"/>
          <w:rFonts w:ascii="宋体" w:hAnsi="宋体"/>
          <w:color w:val="auto"/>
          <w:sz w:val="24"/>
          <w:szCs w:val="24"/>
          <w:highlight w:val="none"/>
        </w:rPr>
        <w:t>承担。</w:t>
      </w:r>
    </w:p>
    <w:p w14:paraId="2B189318">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13.3.3 投料试车</w:t>
      </w:r>
    </w:p>
    <w:p w14:paraId="6AEACBC8">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sz w:val="24"/>
          <w:szCs w:val="24"/>
          <w:highlight w:val="none"/>
        </w:rPr>
        <w:t>关于投料试车相关事项的约定：</w:t>
      </w:r>
      <w:r>
        <w:rPr>
          <w:rStyle w:val="14"/>
          <w:rFonts w:hint="eastAsia" w:ascii="宋体" w:hAnsi="宋体"/>
          <w:color w:val="auto"/>
          <w:kern w:val="2"/>
          <w:sz w:val="24"/>
          <w:szCs w:val="24"/>
          <w:highlight w:val="none"/>
          <w:u w:val="single"/>
        </w:rPr>
        <w:t xml:space="preserve">                           </w:t>
      </w:r>
    </w:p>
    <w:p w14:paraId="36314F8D">
      <w:pPr>
        <w:pStyle w:val="20"/>
        <w:spacing w:line="360" w:lineRule="auto"/>
        <w:jc w:val="left"/>
        <w:rPr>
          <w:rStyle w:val="14"/>
          <w:rFonts w:ascii="宋体" w:hAnsi="宋体"/>
          <w:color w:val="auto"/>
          <w:sz w:val="24"/>
          <w:szCs w:val="24"/>
          <w:highlight w:val="none"/>
        </w:rPr>
      </w:pP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4B9257C3">
      <w:pPr>
        <w:pStyle w:val="20"/>
        <w:spacing w:after="120" w:line="360" w:lineRule="auto"/>
        <w:ind w:firstLine="480" w:firstLineChars="200"/>
        <w:rPr>
          <w:rStyle w:val="14"/>
          <w:rFonts w:ascii="宋体" w:hAnsi="宋体"/>
          <w:color w:val="auto"/>
          <w:kern w:val="2"/>
          <w:sz w:val="24"/>
          <w:szCs w:val="24"/>
          <w:highlight w:val="none"/>
        </w:rPr>
      </w:pPr>
      <w:bookmarkStart w:id="1460" w:name="_Toc59198340"/>
      <w:bookmarkStart w:id="1461" w:name="_Toc256000113"/>
      <w:bookmarkStart w:id="1462" w:name="_Toc45291960"/>
      <w:bookmarkStart w:id="1463" w:name="_Toc351203646"/>
      <w:r>
        <w:rPr>
          <w:rStyle w:val="14"/>
          <w:rFonts w:hint="eastAsia" w:ascii="宋体" w:hAnsi="宋体"/>
          <w:color w:val="auto"/>
          <w:kern w:val="2"/>
          <w:sz w:val="24"/>
          <w:szCs w:val="24"/>
          <w:highlight w:val="none"/>
        </w:rPr>
        <w:t>13.6 竣工退场</w:t>
      </w:r>
      <w:bookmarkEnd w:id="1460"/>
      <w:bookmarkEnd w:id="1461"/>
      <w:bookmarkEnd w:id="1462"/>
    </w:p>
    <w:p w14:paraId="7E44FBA5">
      <w:pPr>
        <w:pStyle w:val="20"/>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13.6.1 竣工退场</w:t>
      </w:r>
    </w:p>
    <w:p w14:paraId="383D1D3A">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sz w:val="24"/>
          <w:szCs w:val="24"/>
          <w:highlight w:val="none"/>
        </w:rPr>
        <w:t>承包人完成竣工退场的期限：</w:t>
      </w:r>
      <w:r>
        <w:rPr>
          <w:rStyle w:val="14"/>
          <w:rFonts w:hint="eastAsia" w:ascii="宋体" w:hAnsi="宋体"/>
          <w:color w:val="auto"/>
          <w:kern w:val="2"/>
          <w:sz w:val="24"/>
          <w:szCs w:val="24"/>
          <w:highlight w:val="none"/>
          <w:u w:val="single"/>
        </w:rPr>
        <w:t xml:space="preserve"> 竣工验收合格，并提交完整的工程存档资料后退场  。</w:t>
      </w:r>
    </w:p>
    <w:p w14:paraId="0DEAABAC">
      <w:pPr>
        <w:pStyle w:val="22"/>
        <w:spacing w:before="120" w:after="120" w:line="360" w:lineRule="auto"/>
        <w:outlineLvl w:val="9"/>
        <w:rPr>
          <w:rStyle w:val="14"/>
          <w:rFonts w:ascii="宋体" w:hAnsi="宋体" w:eastAsia="宋体"/>
          <w:b w:val="0"/>
          <w:color w:val="auto"/>
          <w:sz w:val="24"/>
          <w:szCs w:val="24"/>
          <w:highlight w:val="none"/>
        </w:rPr>
      </w:pPr>
      <w:bookmarkStart w:id="1464" w:name="_Toc256001086"/>
      <w:bookmarkStart w:id="1465" w:name="_Toc69461173"/>
      <w:bookmarkStart w:id="1466" w:name="_Toc24276"/>
      <w:bookmarkStart w:id="1467" w:name="_Toc256000849"/>
      <w:bookmarkStart w:id="1468" w:name="_Toc69461828"/>
      <w:bookmarkStart w:id="1469" w:name="_Toc256000353"/>
      <w:bookmarkStart w:id="1470" w:name="_Toc8609"/>
      <w:bookmarkStart w:id="1471" w:name="_Toc256001316"/>
      <w:bookmarkStart w:id="1472" w:name="_Toc256000582"/>
      <w:r>
        <w:rPr>
          <w:rStyle w:val="14"/>
          <w:rFonts w:ascii="宋体" w:hAnsi="宋体" w:eastAsia="宋体"/>
          <w:b w:val="0"/>
          <w:color w:val="auto"/>
          <w:sz w:val="24"/>
          <w:szCs w:val="24"/>
          <w:highlight w:val="none"/>
        </w:rPr>
        <w:t>14. 竣工结算</w:t>
      </w:r>
      <w:bookmarkEnd w:id="1463"/>
      <w:bookmarkEnd w:id="1464"/>
      <w:bookmarkEnd w:id="1465"/>
      <w:bookmarkEnd w:id="1466"/>
      <w:bookmarkEnd w:id="1467"/>
      <w:bookmarkEnd w:id="1468"/>
      <w:bookmarkEnd w:id="1469"/>
      <w:bookmarkEnd w:id="1470"/>
      <w:bookmarkEnd w:id="1471"/>
      <w:bookmarkEnd w:id="1472"/>
    </w:p>
    <w:p w14:paraId="11D9F1E0">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14.1 竣工</w:t>
      </w:r>
      <w:r>
        <w:rPr>
          <w:rStyle w:val="14"/>
          <w:rFonts w:hint="eastAsia" w:ascii="宋体" w:hAnsi="宋体"/>
          <w:color w:val="auto"/>
          <w:kern w:val="2"/>
          <w:sz w:val="24"/>
          <w:szCs w:val="24"/>
          <w:highlight w:val="none"/>
        </w:rPr>
        <w:t>结算</w:t>
      </w:r>
      <w:r>
        <w:rPr>
          <w:rStyle w:val="14"/>
          <w:rFonts w:ascii="宋体" w:hAnsi="宋体"/>
          <w:color w:val="auto"/>
          <w:kern w:val="2"/>
          <w:sz w:val="24"/>
          <w:szCs w:val="24"/>
          <w:highlight w:val="none"/>
        </w:rPr>
        <w:t>申请</w:t>
      </w:r>
    </w:p>
    <w:p w14:paraId="7DB8F6CC">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承包人提交竣工</w:t>
      </w:r>
      <w:r>
        <w:rPr>
          <w:rStyle w:val="14"/>
          <w:rFonts w:hint="eastAsia" w:ascii="宋体" w:hAnsi="宋体"/>
          <w:color w:val="auto"/>
          <w:kern w:val="2"/>
          <w:sz w:val="24"/>
          <w:szCs w:val="24"/>
          <w:highlight w:val="none"/>
        </w:rPr>
        <w:t>结算</w:t>
      </w:r>
      <w:r>
        <w:rPr>
          <w:rStyle w:val="14"/>
          <w:rFonts w:ascii="宋体" w:hAnsi="宋体"/>
          <w:color w:val="auto"/>
          <w:kern w:val="2"/>
          <w:sz w:val="24"/>
          <w:szCs w:val="24"/>
          <w:highlight w:val="none"/>
        </w:rPr>
        <w:t>申请单的期限：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0A2D1E6">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竣工</w:t>
      </w:r>
      <w:r>
        <w:rPr>
          <w:rStyle w:val="14"/>
          <w:rFonts w:hint="eastAsia" w:ascii="宋体" w:hAnsi="宋体"/>
          <w:color w:val="auto"/>
          <w:kern w:val="2"/>
          <w:sz w:val="24"/>
          <w:szCs w:val="24"/>
          <w:highlight w:val="none"/>
        </w:rPr>
        <w:t>结算</w:t>
      </w:r>
      <w:r>
        <w:rPr>
          <w:rStyle w:val="14"/>
          <w:rFonts w:ascii="宋体" w:hAnsi="宋体"/>
          <w:color w:val="auto"/>
          <w:kern w:val="2"/>
          <w:sz w:val="24"/>
          <w:szCs w:val="24"/>
          <w:highlight w:val="none"/>
        </w:rPr>
        <w:t>申请单应包括的内容：</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1E140ACF">
      <w:pPr>
        <w:pStyle w:val="20"/>
        <w:spacing w:after="120" w:line="360" w:lineRule="auto"/>
        <w:ind w:firstLine="480" w:firstLineChars="200"/>
        <w:outlineLvl w:val="9"/>
        <w:rPr>
          <w:rStyle w:val="14"/>
          <w:rFonts w:ascii="宋体" w:hAnsi="宋体"/>
          <w:color w:val="auto"/>
          <w:kern w:val="2"/>
          <w:sz w:val="24"/>
          <w:szCs w:val="24"/>
          <w:highlight w:val="none"/>
        </w:rPr>
      </w:pPr>
      <w:bookmarkStart w:id="1473" w:name="_Toc711"/>
      <w:bookmarkStart w:id="1474" w:name="_Toc256000850"/>
      <w:bookmarkStart w:id="1475" w:name="_Toc256000354"/>
      <w:bookmarkStart w:id="1476" w:name="_Toc256000097"/>
      <w:bookmarkStart w:id="1477" w:name="_Toc256000064"/>
      <w:bookmarkStart w:id="1478" w:name="_Toc28482"/>
      <w:bookmarkStart w:id="1479" w:name="_Toc69461174"/>
      <w:bookmarkStart w:id="1480" w:name="_Toc18186"/>
      <w:bookmarkStart w:id="1481" w:name="_Toc256000583"/>
      <w:bookmarkStart w:id="1482" w:name="_Toc2368"/>
      <w:bookmarkStart w:id="1483" w:name="_Toc256001317"/>
      <w:bookmarkStart w:id="1484" w:name="_Toc256001087"/>
      <w:bookmarkStart w:id="1485" w:name="_Toc69461829"/>
      <w:r>
        <w:rPr>
          <w:rStyle w:val="14"/>
          <w:rFonts w:ascii="宋体" w:hAnsi="宋体"/>
          <w:color w:val="auto"/>
          <w:kern w:val="2"/>
          <w:sz w:val="24"/>
          <w:szCs w:val="24"/>
          <w:highlight w:val="none"/>
        </w:rPr>
        <w:t>14.2 竣工结算审核</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29E637D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w:t>
      </w:r>
      <w:r>
        <w:rPr>
          <w:rStyle w:val="14"/>
          <w:rFonts w:hint="eastAsia" w:ascii="宋体" w:hAnsi="宋体"/>
          <w:color w:val="auto"/>
          <w:kern w:val="2"/>
          <w:sz w:val="24"/>
          <w:szCs w:val="24"/>
          <w:highlight w:val="none"/>
        </w:rPr>
        <w:t>审批</w:t>
      </w:r>
      <w:r>
        <w:rPr>
          <w:rStyle w:val="14"/>
          <w:rFonts w:ascii="宋体" w:hAnsi="宋体"/>
          <w:color w:val="auto"/>
          <w:kern w:val="2"/>
          <w:sz w:val="24"/>
          <w:szCs w:val="24"/>
          <w:highlight w:val="none"/>
        </w:rPr>
        <w:t>竣工付款申请单的期限：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430CB70">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发包人完成竣工付款的期限：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DC8350D">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rPr>
        <w:t>关于竣工付款证书异议部分复核的方式和程序：</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p>
    <w:p w14:paraId="536F2062">
      <w:pPr>
        <w:pStyle w:val="20"/>
        <w:spacing w:line="360" w:lineRule="auto"/>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675BCA94">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14.4 最终结清</w:t>
      </w:r>
    </w:p>
    <w:p w14:paraId="1381CB63">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14.4.1 最终结清申请单</w:t>
      </w:r>
    </w:p>
    <w:p w14:paraId="795ED6DC">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承包人提交最终结清申请单的份数：</w:t>
      </w:r>
      <w:r>
        <w:rPr>
          <w:rStyle w:val="14"/>
          <w:rFonts w:hint="eastAsia" w:ascii="宋体" w:hAnsi="宋体"/>
          <w:color w:val="auto"/>
          <w:kern w:val="2"/>
          <w:sz w:val="24"/>
          <w:szCs w:val="24"/>
          <w:highlight w:val="none"/>
          <w:u w:val="single"/>
        </w:rPr>
        <w:t>承包人向发包人提交6套，同时相应备有全套PDF电子文件，以及计算价款的可编辑电子文档，一并递交发包人  。</w:t>
      </w:r>
    </w:p>
    <w:p w14:paraId="44DBA1E2">
      <w:pPr>
        <w:pStyle w:val="20"/>
        <w:spacing w:line="360" w:lineRule="auto"/>
        <w:ind w:firstLine="480" w:firstLineChars="200"/>
        <w:jc w:val="left"/>
        <w:rPr>
          <w:rStyle w:val="14"/>
          <w:rFonts w:ascii="宋体" w:hAnsi="宋体"/>
          <w:color w:val="auto"/>
          <w:sz w:val="24"/>
          <w:szCs w:val="24"/>
          <w:highlight w:val="none"/>
        </w:rPr>
      </w:pPr>
    </w:p>
    <w:p w14:paraId="4E537937">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sz w:val="24"/>
          <w:szCs w:val="24"/>
          <w:highlight w:val="none"/>
        </w:rPr>
        <w:t>承包人提交最终结算申请单的期限：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 xml:space="preserve">。 </w:t>
      </w:r>
    </w:p>
    <w:p w14:paraId="37373F18">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14.4.2 最终结清证书和支付</w:t>
      </w:r>
    </w:p>
    <w:p w14:paraId="3AC6FBAF">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（1）发包人完成最终结清申请单的</w:t>
      </w:r>
      <w:r>
        <w:rPr>
          <w:rStyle w:val="14"/>
          <w:rFonts w:hint="eastAsia" w:ascii="宋体" w:hAnsi="宋体"/>
          <w:color w:val="auto"/>
          <w:kern w:val="2"/>
          <w:sz w:val="24"/>
          <w:szCs w:val="24"/>
          <w:highlight w:val="none"/>
        </w:rPr>
        <w:t>审批</w:t>
      </w:r>
      <w:r>
        <w:rPr>
          <w:rStyle w:val="14"/>
          <w:rFonts w:ascii="宋体" w:hAnsi="宋体"/>
          <w:color w:val="auto"/>
          <w:kern w:val="2"/>
          <w:sz w:val="24"/>
          <w:szCs w:val="24"/>
          <w:highlight w:val="none"/>
        </w:rPr>
        <w:t>并颁发最终结清证书的期限：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由双方另行商定</w:t>
      </w:r>
      <w:r>
        <w:rPr>
          <w:rStyle w:val="14"/>
          <w:rFonts w:ascii="宋体" w:hAnsi="宋体"/>
          <w:color w:val="auto"/>
          <w:kern w:val="2"/>
          <w:sz w:val="24"/>
          <w:szCs w:val="24"/>
          <w:highlight w:val="none"/>
          <w:u w:val="single"/>
        </w:rPr>
        <w:t>。</w:t>
      </w:r>
    </w:p>
    <w:p w14:paraId="7045632C">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（2）发包人完成支付的期限：</w:t>
      </w:r>
      <w:r>
        <w:rPr>
          <w:rStyle w:val="14"/>
          <w:rFonts w:hint="eastAsia" w:ascii="宋体" w:hAnsi="宋体"/>
          <w:color w:val="auto"/>
          <w:kern w:val="2"/>
          <w:sz w:val="24"/>
          <w:szCs w:val="24"/>
          <w:highlight w:val="none"/>
          <w:u w:val="single"/>
        </w:rPr>
        <w:t xml:space="preserve">由双方另行商定 </w:t>
      </w:r>
    </w:p>
    <w:bookmarkEnd w:id="1447"/>
    <w:bookmarkEnd w:id="1448"/>
    <w:bookmarkEnd w:id="1449"/>
    <w:bookmarkEnd w:id="1450"/>
    <w:bookmarkEnd w:id="1451"/>
    <w:bookmarkEnd w:id="1452"/>
    <w:bookmarkEnd w:id="1453"/>
    <w:bookmarkEnd w:id="1459"/>
    <w:p w14:paraId="4C4C5717">
      <w:pPr>
        <w:pStyle w:val="22"/>
        <w:spacing w:before="120" w:after="120" w:line="360" w:lineRule="auto"/>
        <w:outlineLvl w:val="9"/>
        <w:rPr>
          <w:rStyle w:val="14"/>
          <w:rFonts w:ascii="宋体" w:hAnsi="宋体" w:eastAsia="宋体"/>
          <w:b w:val="0"/>
          <w:color w:val="auto"/>
          <w:sz w:val="24"/>
          <w:szCs w:val="24"/>
          <w:highlight w:val="none"/>
        </w:rPr>
      </w:pPr>
      <w:bookmarkStart w:id="1486" w:name="_Toc256000355"/>
      <w:bookmarkStart w:id="1487" w:name="_Toc69461175"/>
      <w:bookmarkStart w:id="1488" w:name="_Toc256000851"/>
      <w:bookmarkStart w:id="1489" w:name="_Toc256001088"/>
      <w:bookmarkStart w:id="1490" w:name="_Toc69461830"/>
      <w:bookmarkStart w:id="1491" w:name="_Toc256001318"/>
      <w:bookmarkStart w:id="1492" w:name="_Toc17923"/>
      <w:bookmarkStart w:id="1493" w:name="_Toc351203647"/>
      <w:bookmarkStart w:id="1494" w:name="_Toc32547"/>
      <w:bookmarkStart w:id="1495" w:name="_Toc256000584"/>
      <w:bookmarkStart w:id="1496" w:name="_Toc267251483"/>
      <w:bookmarkStart w:id="1497" w:name="_Toc267251482"/>
      <w:bookmarkStart w:id="1498" w:name="_Toc267251484"/>
      <w:bookmarkStart w:id="1499" w:name="_Toc267251485"/>
      <w:bookmarkStart w:id="1500" w:name="_Toc267251489"/>
      <w:bookmarkStart w:id="1501" w:name="_Toc267251490"/>
      <w:bookmarkStart w:id="1502" w:name="_Toc267251486"/>
      <w:bookmarkStart w:id="1503" w:name="_Toc267251488"/>
      <w:bookmarkStart w:id="1504" w:name="_Toc267251499"/>
      <w:bookmarkStart w:id="1505" w:name="_Toc267251494"/>
      <w:bookmarkStart w:id="1506" w:name="_Toc267251501"/>
      <w:bookmarkStart w:id="1507" w:name="_Toc267251491"/>
      <w:bookmarkStart w:id="1508" w:name="_Toc267251493"/>
      <w:bookmarkStart w:id="1509" w:name="_Toc267251496"/>
      <w:bookmarkStart w:id="1510" w:name="_Toc267251498"/>
      <w:bookmarkStart w:id="1511" w:name="_Toc267251495"/>
      <w:bookmarkStart w:id="1512" w:name="_Toc267251492"/>
      <w:bookmarkStart w:id="1513" w:name="_Toc267251503"/>
      <w:bookmarkStart w:id="1514" w:name="_Toc267251502"/>
      <w:bookmarkStart w:id="1515" w:name="_Toc267251497"/>
      <w:bookmarkStart w:id="1516" w:name="_Toc267251506"/>
      <w:bookmarkStart w:id="1517" w:name="_Toc267251504"/>
      <w:bookmarkStart w:id="1518" w:name="_Toc267251507"/>
      <w:bookmarkStart w:id="1519" w:name="_Toc267251508"/>
      <w:bookmarkStart w:id="1520" w:name="_Toc267251514"/>
      <w:bookmarkStart w:id="1521" w:name="_Toc267251515"/>
      <w:bookmarkStart w:id="1522" w:name="_Toc267251509"/>
      <w:bookmarkStart w:id="1523" w:name="_Toc267251510"/>
      <w:bookmarkStart w:id="1524" w:name="_Toc267251511"/>
      <w:bookmarkStart w:id="1525" w:name="_Toc267251513"/>
      <w:r>
        <w:rPr>
          <w:rStyle w:val="14"/>
          <w:rFonts w:ascii="宋体" w:hAnsi="宋体" w:eastAsia="宋体"/>
          <w:b w:val="0"/>
          <w:color w:val="auto"/>
          <w:sz w:val="24"/>
          <w:szCs w:val="24"/>
          <w:highlight w:val="none"/>
        </w:rPr>
        <w:t>15. 缺陷责任期与保修</w:t>
      </w:r>
      <w:bookmarkEnd w:id="1486"/>
      <w:bookmarkEnd w:id="1487"/>
      <w:bookmarkEnd w:id="1488"/>
      <w:bookmarkEnd w:id="1489"/>
      <w:bookmarkEnd w:id="1490"/>
      <w:bookmarkEnd w:id="1491"/>
      <w:bookmarkEnd w:id="1492"/>
      <w:bookmarkEnd w:id="1493"/>
      <w:bookmarkEnd w:id="1494"/>
      <w:bookmarkEnd w:id="1495"/>
    </w:p>
    <w:p w14:paraId="24C9F77E">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15.2缺陷责任期</w:t>
      </w:r>
      <w:bookmarkEnd w:id="1496"/>
    </w:p>
    <w:p w14:paraId="6BD6E152">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缺陷责任期的具体期限：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除国家规定的期限外其余为 24个月 </w:t>
      </w:r>
    </w:p>
    <w:p w14:paraId="71A41213">
      <w:pPr>
        <w:pStyle w:val="20"/>
        <w:spacing w:after="120" w:line="360" w:lineRule="auto"/>
        <w:ind w:firstLine="480" w:firstLineChars="200"/>
        <w:outlineLvl w:val="9"/>
        <w:rPr>
          <w:rStyle w:val="14"/>
          <w:rFonts w:ascii="宋体" w:hAnsi="宋体"/>
          <w:color w:val="auto"/>
          <w:kern w:val="2"/>
          <w:sz w:val="24"/>
          <w:szCs w:val="24"/>
          <w:highlight w:val="none"/>
        </w:rPr>
      </w:pPr>
      <w:bookmarkStart w:id="1526" w:name="_Toc69461831"/>
      <w:bookmarkStart w:id="1527" w:name="_Toc69461176"/>
      <w:bookmarkStart w:id="1528" w:name="_Toc256001089"/>
      <w:bookmarkStart w:id="1529" w:name="_Toc2864"/>
      <w:bookmarkStart w:id="1530" w:name="_Toc22833"/>
      <w:bookmarkStart w:id="1531" w:name="_Toc256000356"/>
      <w:bookmarkStart w:id="1532" w:name="_Toc21420"/>
      <w:bookmarkStart w:id="1533" w:name="_Toc256001319"/>
      <w:bookmarkStart w:id="1534" w:name="_Toc256000585"/>
      <w:bookmarkStart w:id="1535" w:name="_Toc256000065"/>
      <w:bookmarkStart w:id="1536" w:name="_Toc13307"/>
      <w:bookmarkStart w:id="1537" w:name="_Toc256000098"/>
      <w:bookmarkStart w:id="1538" w:name="_Toc256000852"/>
      <w:r>
        <w:rPr>
          <w:rStyle w:val="14"/>
          <w:rFonts w:ascii="宋体" w:hAnsi="宋体"/>
          <w:color w:val="auto"/>
          <w:kern w:val="2"/>
          <w:sz w:val="24"/>
          <w:szCs w:val="24"/>
          <w:highlight w:val="none"/>
        </w:rPr>
        <w:t>15.3 质量保证金</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3776A1C3">
      <w:pPr>
        <w:pStyle w:val="20"/>
        <w:spacing w:line="360" w:lineRule="auto"/>
        <w:ind w:firstLine="480" w:firstLineChars="200"/>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rPr>
        <w:t>关于是否扣留质量保证金的约定：</w:t>
      </w:r>
      <w:r>
        <w:rPr>
          <w:rStyle w:val="14"/>
          <w:rFonts w:hint="eastAsia" w:ascii="宋体" w:hAnsi="宋体"/>
          <w:color w:val="auto"/>
          <w:kern w:val="2"/>
          <w:sz w:val="24"/>
          <w:szCs w:val="24"/>
          <w:highlight w:val="none"/>
          <w:u w:val="single"/>
        </w:rPr>
        <w:t xml:space="preserve"> 扣留</w:t>
      </w:r>
      <w:r>
        <w:rPr>
          <w:rStyle w:val="14"/>
          <w:rFonts w:ascii="宋体" w:hAnsi="宋体"/>
          <w:color w:val="auto"/>
          <w:kern w:val="2"/>
          <w:sz w:val="24"/>
          <w:szCs w:val="24"/>
          <w:highlight w:val="none"/>
        </w:rPr>
        <w:t>。</w:t>
      </w:r>
      <w:r>
        <w:rPr>
          <w:rStyle w:val="14"/>
          <w:rFonts w:hint="eastAsia" w:ascii="宋体" w:hAnsi="宋体"/>
          <w:color w:val="auto"/>
          <w:kern w:val="2"/>
          <w:sz w:val="24"/>
          <w:szCs w:val="24"/>
          <w:highlight w:val="none"/>
        </w:rPr>
        <w:t>在工程项目竣工前，承包人按专用合同条款第3.7条提供履约担保的，发包人不得同时预留工程质量保证金。</w:t>
      </w:r>
    </w:p>
    <w:p w14:paraId="1C7EB559">
      <w:pPr>
        <w:pStyle w:val="20"/>
        <w:spacing w:line="360" w:lineRule="auto"/>
        <w:ind w:firstLine="480" w:firstLineChars="200"/>
        <w:jc w:val="left"/>
        <w:rPr>
          <w:rStyle w:val="14"/>
          <w:rFonts w:ascii="宋体" w:hAnsi="宋体"/>
          <w:color w:val="auto"/>
          <w:kern w:val="2"/>
          <w:sz w:val="24"/>
          <w:szCs w:val="24"/>
          <w:highlight w:val="none"/>
        </w:rPr>
      </w:pPr>
    </w:p>
    <w:p w14:paraId="653EE682">
      <w:pPr>
        <w:pStyle w:val="20"/>
        <w:spacing w:line="360" w:lineRule="auto"/>
        <w:ind w:firstLine="480" w:firstLineChars="200"/>
        <w:jc w:val="left"/>
        <w:outlineLvl w:val="9"/>
        <w:rPr>
          <w:rStyle w:val="14"/>
          <w:rFonts w:ascii="宋体" w:hAnsi="宋体"/>
          <w:color w:val="auto"/>
          <w:kern w:val="2"/>
          <w:sz w:val="24"/>
          <w:szCs w:val="24"/>
          <w:highlight w:val="none"/>
        </w:rPr>
      </w:pPr>
      <w:bookmarkStart w:id="1539" w:name="_Toc256000357"/>
      <w:bookmarkStart w:id="1540" w:name="_Toc256000586"/>
      <w:bookmarkStart w:id="1541" w:name="_Toc7166"/>
      <w:bookmarkStart w:id="1542" w:name="_Toc256000853"/>
      <w:bookmarkStart w:id="1543" w:name="_Toc5682"/>
      <w:bookmarkStart w:id="1544" w:name="_Toc69461177"/>
      <w:bookmarkStart w:id="1545" w:name="_Toc256000066"/>
      <w:bookmarkStart w:id="1546" w:name="_Toc12317"/>
      <w:bookmarkStart w:id="1547" w:name="_Toc256001090"/>
      <w:bookmarkStart w:id="1548" w:name="_Toc69461832"/>
      <w:bookmarkStart w:id="1549" w:name="_Toc256001320"/>
      <w:bookmarkStart w:id="1550" w:name="_Toc4515"/>
      <w:bookmarkStart w:id="1551" w:name="_Toc256000099"/>
      <w:r>
        <w:rPr>
          <w:rStyle w:val="14"/>
          <w:rFonts w:ascii="宋体" w:hAnsi="宋体"/>
          <w:color w:val="auto"/>
          <w:kern w:val="2"/>
          <w:sz w:val="24"/>
          <w:szCs w:val="24"/>
          <w:highlight w:val="none"/>
        </w:rPr>
        <w:t xml:space="preserve">15.3.1 </w:t>
      </w:r>
      <w:r>
        <w:rPr>
          <w:rStyle w:val="14"/>
          <w:rFonts w:hint="eastAsia" w:ascii="宋体" w:hAnsi="宋体"/>
          <w:color w:val="auto"/>
          <w:kern w:val="2"/>
          <w:sz w:val="24"/>
          <w:szCs w:val="24"/>
          <w:highlight w:val="none"/>
        </w:rPr>
        <w:t>承包人提供</w:t>
      </w:r>
      <w:r>
        <w:rPr>
          <w:rStyle w:val="14"/>
          <w:rFonts w:ascii="宋体" w:hAnsi="宋体"/>
          <w:color w:val="auto"/>
          <w:kern w:val="2"/>
          <w:sz w:val="24"/>
          <w:szCs w:val="24"/>
          <w:highlight w:val="none"/>
        </w:rPr>
        <w:t>质量保证金的</w:t>
      </w:r>
      <w:r>
        <w:rPr>
          <w:rStyle w:val="14"/>
          <w:rFonts w:hint="eastAsia" w:ascii="宋体" w:hAnsi="宋体"/>
          <w:color w:val="auto"/>
          <w:kern w:val="2"/>
          <w:sz w:val="24"/>
          <w:szCs w:val="24"/>
          <w:highlight w:val="none"/>
        </w:rPr>
        <w:t>方</w:t>
      </w:r>
      <w:r>
        <w:rPr>
          <w:rStyle w:val="14"/>
          <w:rFonts w:ascii="宋体" w:hAnsi="宋体"/>
          <w:color w:val="auto"/>
          <w:kern w:val="2"/>
          <w:sz w:val="24"/>
          <w:szCs w:val="24"/>
          <w:highlight w:val="none"/>
        </w:rPr>
        <w:t>式</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023F44FE">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质量保证金采用以下第</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3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种方式：</w:t>
      </w:r>
    </w:p>
    <w:p w14:paraId="68B01299">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（1）质量保证金保函，保证金额为：</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 xml:space="preserve">； </w:t>
      </w:r>
    </w:p>
    <w:p w14:paraId="6D429431">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（2）</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%的工程款；</w:t>
      </w:r>
    </w:p>
    <w:p w14:paraId="5C000EB5">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（3）其他</w:t>
      </w:r>
      <w:r>
        <w:rPr>
          <w:rStyle w:val="14"/>
          <w:rFonts w:hint="eastAsia" w:ascii="宋体" w:hAnsi="宋体"/>
          <w:color w:val="auto"/>
          <w:sz w:val="24"/>
          <w:szCs w:val="24"/>
          <w:highlight w:val="none"/>
        </w:rPr>
        <w:t>方</w:t>
      </w:r>
      <w:r>
        <w:rPr>
          <w:rStyle w:val="14"/>
          <w:rFonts w:ascii="宋体" w:hAnsi="宋体"/>
          <w:color w:val="auto"/>
          <w:sz w:val="24"/>
          <w:szCs w:val="24"/>
          <w:highlight w:val="none"/>
        </w:rPr>
        <w:t>式:</w:t>
      </w:r>
      <w:r>
        <w:rPr>
          <w:rStyle w:val="14"/>
          <w:rFonts w:ascii="宋体" w:hAnsi="宋体"/>
          <w:color w:val="auto"/>
          <w:sz w:val="24"/>
          <w:szCs w:val="24"/>
          <w:highlight w:val="none"/>
          <w:u w:val="single"/>
        </w:rPr>
        <w:t xml:space="preserve">  </w:t>
      </w:r>
      <w:r>
        <w:rPr>
          <w:rStyle w:val="14"/>
          <w:rFonts w:hint="eastAsia" w:ascii="宋体" w:hAnsi="宋体"/>
          <w:color w:val="auto"/>
          <w:kern w:val="2"/>
          <w:sz w:val="24"/>
          <w:szCs w:val="24"/>
          <w:highlight w:val="none"/>
          <w:u w:val="single"/>
        </w:rPr>
        <w:t xml:space="preserve">工程结算价款的3%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4758BF5B">
      <w:pPr>
        <w:pStyle w:val="20"/>
        <w:spacing w:line="360" w:lineRule="auto"/>
        <w:ind w:firstLine="480" w:firstLineChars="200"/>
        <w:jc w:val="left"/>
        <w:outlineLvl w:val="9"/>
        <w:rPr>
          <w:rStyle w:val="14"/>
          <w:rFonts w:ascii="宋体" w:hAnsi="宋体"/>
          <w:color w:val="auto"/>
          <w:kern w:val="2"/>
          <w:sz w:val="24"/>
          <w:szCs w:val="24"/>
          <w:highlight w:val="none"/>
        </w:rPr>
      </w:pPr>
      <w:bookmarkStart w:id="1552" w:name="_Toc256000100"/>
      <w:bookmarkStart w:id="1553" w:name="_Toc256001091"/>
      <w:bookmarkStart w:id="1554" w:name="_Toc30860"/>
      <w:bookmarkStart w:id="1555" w:name="_Toc256000067"/>
      <w:bookmarkStart w:id="1556" w:name="_Toc69461833"/>
      <w:bookmarkStart w:id="1557" w:name="_Toc256000587"/>
      <w:bookmarkStart w:id="1558" w:name="_Toc32324"/>
      <w:bookmarkStart w:id="1559" w:name="_Toc256000854"/>
      <w:bookmarkStart w:id="1560" w:name="_Toc256000358"/>
      <w:bookmarkStart w:id="1561" w:name="_Toc5117"/>
      <w:bookmarkStart w:id="1562" w:name="_Toc69461178"/>
      <w:bookmarkStart w:id="1563" w:name="_Toc4390"/>
      <w:bookmarkStart w:id="1564" w:name="_Toc256001321"/>
      <w:r>
        <w:rPr>
          <w:rStyle w:val="14"/>
          <w:rFonts w:ascii="宋体" w:hAnsi="宋体"/>
          <w:color w:val="auto"/>
          <w:kern w:val="2"/>
          <w:sz w:val="24"/>
          <w:szCs w:val="24"/>
          <w:highlight w:val="none"/>
        </w:rPr>
        <w:t>15.3.2 质量保证金的扣留</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r>
        <w:rPr>
          <w:rStyle w:val="14"/>
          <w:rFonts w:ascii="宋体" w:hAnsi="宋体"/>
          <w:color w:val="auto"/>
          <w:kern w:val="2"/>
          <w:sz w:val="24"/>
          <w:szCs w:val="24"/>
          <w:highlight w:val="none"/>
        </w:rPr>
        <w:t xml:space="preserve"> </w:t>
      </w:r>
    </w:p>
    <w:p w14:paraId="6ED76446">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质量保证金的扣留采取以下第</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(2)</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种方式：</w:t>
      </w:r>
    </w:p>
    <w:p w14:paraId="5F9B1C82">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（1）在支付工程进度款时逐次扣留，在此情形下，质量保证金的计算基数不包括预付款的支付、扣回以及价格调整的金额；</w:t>
      </w:r>
    </w:p>
    <w:p w14:paraId="6E9D1DBA">
      <w:pPr>
        <w:pStyle w:val="20"/>
        <w:autoSpaceDE w:val="0"/>
        <w:autoSpaceDN w:val="0"/>
        <w:adjustRightInd w:val="0"/>
        <w:spacing w:line="360" w:lineRule="auto"/>
        <w:ind w:firstLine="480" w:firstLineChars="200"/>
        <w:jc w:val="left"/>
        <w:outlineLvl w:val="9"/>
        <w:rPr>
          <w:rStyle w:val="14"/>
          <w:rFonts w:ascii="宋体" w:hAnsi="宋体"/>
          <w:color w:val="auto"/>
          <w:sz w:val="24"/>
          <w:szCs w:val="24"/>
          <w:highlight w:val="none"/>
        </w:rPr>
      </w:pPr>
      <w:bookmarkStart w:id="1565" w:name="_Toc21525"/>
      <w:bookmarkStart w:id="1566" w:name="_Toc69461179"/>
      <w:bookmarkStart w:id="1567" w:name="_Toc256001092"/>
      <w:bookmarkStart w:id="1568" w:name="_Toc256000588"/>
      <w:bookmarkStart w:id="1569" w:name="_Toc256001322"/>
      <w:bookmarkStart w:id="1570" w:name="_Toc256000359"/>
      <w:bookmarkStart w:id="1571" w:name="_Toc256000101"/>
      <w:bookmarkStart w:id="1572" w:name="_Toc15723"/>
      <w:bookmarkStart w:id="1573" w:name="_Toc69461834"/>
      <w:bookmarkStart w:id="1574" w:name="_Toc29412"/>
      <w:bookmarkStart w:id="1575" w:name="_Toc31254"/>
      <w:bookmarkStart w:id="1576" w:name="_Toc256000855"/>
      <w:bookmarkStart w:id="1577" w:name="_Toc256000068"/>
      <w:r>
        <w:rPr>
          <w:rStyle w:val="14"/>
          <w:rFonts w:ascii="宋体" w:hAnsi="宋体"/>
          <w:color w:val="auto"/>
          <w:sz w:val="24"/>
          <w:szCs w:val="24"/>
          <w:highlight w:val="none"/>
        </w:rPr>
        <w:t>（2）工程竣工结算时一次性扣留质量保证金；</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7D4FED78">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（3）其他扣留方式:</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201658ED">
      <w:pPr>
        <w:pStyle w:val="20"/>
        <w:spacing w:line="360" w:lineRule="auto"/>
        <w:ind w:firstLine="480" w:firstLineChars="200"/>
        <w:jc w:val="left"/>
        <w:rPr>
          <w:rStyle w:val="14"/>
          <w:rFonts w:ascii="宋体" w:hAnsi="宋体"/>
          <w:color w:val="auto"/>
          <w:sz w:val="24"/>
          <w:szCs w:val="24"/>
          <w:highlight w:val="none"/>
          <w:u w:val="single"/>
        </w:rPr>
      </w:pPr>
      <w:r>
        <w:rPr>
          <w:rStyle w:val="14"/>
          <w:rFonts w:ascii="宋体" w:hAnsi="宋体"/>
          <w:color w:val="auto"/>
          <w:kern w:val="2"/>
          <w:sz w:val="24"/>
          <w:szCs w:val="24"/>
          <w:highlight w:val="none"/>
        </w:rPr>
        <w:t>关于质量保证金的补充约定：</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p>
    <w:p w14:paraId="4BA241C0">
      <w:pPr>
        <w:pStyle w:val="20"/>
        <w:spacing w:line="360" w:lineRule="auto"/>
        <w:jc w:val="left"/>
        <w:rPr>
          <w:rStyle w:val="14"/>
          <w:rFonts w:ascii="宋体" w:hAnsi="宋体"/>
          <w:color w:val="auto"/>
          <w:kern w:val="2"/>
          <w:sz w:val="24"/>
          <w:szCs w:val="24"/>
          <w:highlight w:val="none"/>
        </w:rPr>
      </w:pP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rPr>
        <w:t>。</w:t>
      </w:r>
    </w:p>
    <w:bookmarkEnd w:id="1497"/>
    <w:bookmarkEnd w:id="1498"/>
    <w:p w14:paraId="536E3AC7">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15.4保修</w:t>
      </w:r>
    </w:p>
    <w:bookmarkEnd w:id="1499"/>
    <w:p w14:paraId="298D3B61">
      <w:pPr>
        <w:pStyle w:val="20"/>
        <w:spacing w:line="360" w:lineRule="auto"/>
        <w:ind w:firstLine="468" w:firstLineChars="195"/>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15.4.1 保修责任</w:t>
      </w:r>
    </w:p>
    <w:p w14:paraId="2B238878">
      <w:pPr>
        <w:pStyle w:val="21"/>
        <w:spacing w:line="360" w:lineRule="auto"/>
        <w:ind w:firstLine="468" w:firstLineChars="195"/>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工程保修期为：</w:t>
      </w:r>
      <w:r>
        <w:rPr>
          <w:rStyle w:val="14"/>
          <w:rFonts w:ascii="宋体" w:hAnsi="宋体"/>
          <w:color w:val="auto"/>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按照 《</w:t>
      </w:r>
      <w:r>
        <w:rPr>
          <w:rStyle w:val="14"/>
          <w:rFonts w:hint="eastAsia" w:ascii="宋体" w:hAnsi="宋体"/>
          <w:color w:val="auto"/>
          <w:kern w:val="2"/>
          <w:sz w:val="24"/>
          <w:szCs w:val="24"/>
          <w:highlight w:val="none"/>
          <w:u w:val="single"/>
          <w:lang w:eastAsia="zh-CN"/>
        </w:rPr>
        <w:t>建设工程质量管理条例</w:t>
      </w:r>
      <w:r>
        <w:rPr>
          <w:rStyle w:val="14"/>
          <w:rFonts w:hint="eastAsia" w:ascii="宋体" w:hAnsi="宋体"/>
          <w:color w:val="auto"/>
          <w:kern w:val="2"/>
          <w:sz w:val="24"/>
          <w:szCs w:val="24"/>
          <w:highlight w:val="none"/>
          <w:u w:val="single"/>
        </w:rPr>
        <w:t>》执行 。</w:t>
      </w:r>
    </w:p>
    <w:p w14:paraId="4161CAB5">
      <w:pPr>
        <w:pStyle w:val="20"/>
        <w:spacing w:line="360" w:lineRule="auto"/>
        <w:ind w:firstLine="468" w:firstLineChars="195"/>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15.4.3 修复通知</w:t>
      </w:r>
    </w:p>
    <w:p w14:paraId="6509087A">
      <w:pPr>
        <w:pStyle w:val="20"/>
        <w:spacing w:line="360" w:lineRule="auto"/>
        <w:ind w:firstLine="468" w:firstLineChars="195"/>
        <w:jc w:val="left"/>
        <w:rPr>
          <w:rStyle w:val="14"/>
          <w:rFonts w:ascii="宋体" w:hAnsi="宋体"/>
          <w:color w:val="auto"/>
          <w:sz w:val="24"/>
          <w:szCs w:val="24"/>
          <w:highlight w:val="none"/>
          <w:u w:val="single"/>
        </w:rPr>
      </w:pPr>
      <w:r>
        <w:rPr>
          <w:rStyle w:val="14"/>
          <w:rFonts w:ascii="宋体" w:hAnsi="宋体"/>
          <w:color w:val="auto"/>
          <w:sz w:val="24"/>
          <w:szCs w:val="24"/>
          <w:highlight w:val="none"/>
        </w:rPr>
        <w:t>承包人收到保修通知并到达工程现场的合理时间：</w:t>
      </w:r>
      <w:r>
        <w:rPr>
          <w:rStyle w:val="14"/>
          <w:rFonts w:ascii="宋体" w:hAnsi="宋体"/>
          <w:color w:val="auto"/>
          <w:sz w:val="24"/>
          <w:szCs w:val="24"/>
          <w:highlight w:val="none"/>
          <w:u w:val="single"/>
        </w:rPr>
        <w:t xml:space="preserve">          </w:t>
      </w:r>
    </w:p>
    <w:p w14:paraId="75ADDA47">
      <w:pPr>
        <w:pStyle w:val="20"/>
        <w:spacing w:line="360" w:lineRule="auto"/>
        <w:jc w:val="left"/>
        <w:rPr>
          <w:rStyle w:val="14"/>
          <w:rFonts w:ascii="宋体" w:hAnsi="宋体"/>
          <w:color w:val="auto"/>
          <w:sz w:val="24"/>
          <w:szCs w:val="24"/>
          <w:highlight w:val="none"/>
        </w:rPr>
      </w:pP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bookmarkEnd w:id="1500"/>
    <w:bookmarkEnd w:id="1501"/>
    <w:bookmarkEnd w:id="1502"/>
    <w:bookmarkEnd w:id="1503"/>
    <w:p w14:paraId="3239A4F3">
      <w:pPr>
        <w:pStyle w:val="22"/>
        <w:spacing w:before="120" w:after="120" w:line="360" w:lineRule="auto"/>
        <w:outlineLvl w:val="9"/>
        <w:rPr>
          <w:rStyle w:val="14"/>
          <w:rFonts w:ascii="宋体" w:hAnsi="宋体" w:eastAsia="宋体"/>
          <w:b w:val="0"/>
          <w:color w:val="auto"/>
          <w:sz w:val="24"/>
          <w:szCs w:val="24"/>
          <w:highlight w:val="none"/>
        </w:rPr>
      </w:pPr>
      <w:bookmarkStart w:id="1578" w:name="_Toc69461180"/>
      <w:bookmarkStart w:id="1579" w:name="_Toc256000589"/>
      <w:bookmarkStart w:id="1580" w:name="_Toc69461835"/>
      <w:bookmarkStart w:id="1581" w:name="_Toc10573"/>
      <w:bookmarkStart w:id="1582" w:name="_Toc256000360"/>
      <w:bookmarkStart w:id="1583" w:name="_Toc351203648"/>
      <w:bookmarkStart w:id="1584" w:name="_Toc7023"/>
      <w:bookmarkStart w:id="1585" w:name="_Toc256001093"/>
      <w:bookmarkStart w:id="1586" w:name="_Toc256001323"/>
      <w:bookmarkStart w:id="1587" w:name="_Toc256000856"/>
      <w:bookmarkStart w:id="1588" w:name="_Toc280868717"/>
      <w:bookmarkStart w:id="1589" w:name="_Toc280868718"/>
      <w:r>
        <w:rPr>
          <w:rStyle w:val="14"/>
          <w:rFonts w:ascii="宋体" w:hAnsi="宋体" w:eastAsia="宋体"/>
          <w:b w:val="0"/>
          <w:color w:val="auto"/>
          <w:sz w:val="24"/>
          <w:szCs w:val="24"/>
          <w:highlight w:val="none"/>
        </w:rPr>
        <w:t>16. 违约</w:t>
      </w:r>
      <w:bookmarkEnd w:id="1578"/>
      <w:bookmarkEnd w:id="1579"/>
      <w:bookmarkEnd w:id="1580"/>
      <w:bookmarkEnd w:id="1581"/>
      <w:bookmarkEnd w:id="1582"/>
      <w:bookmarkEnd w:id="1583"/>
      <w:bookmarkEnd w:id="1584"/>
      <w:bookmarkEnd w:id="1585"/>
      <w:bookmarkEnd w:id="1586"/>
      <w:bookmarkEnd w:id="1587"/>
    </w:p>
    <w:p w14:paraId="516AC883">
      <w:pPr>
        <w:pStyle w:val="20"/>
        <w:spacing w:after="120" w:line="360" w:lineRule="auto"/>
        <w:ind w:firstLine="480" w:firstLineChars="200"/>
        <w:outlineLvl w:val="9"/>
        <w:rPr>
          <w:rStyle w:val="14"/>
          <w:rFonts w:ascii="宋体" w:hAnsi="宋体"/>
          <w:color w:val="auto"/>
          <w:kern w:val="2"/>
          <w:sz w:val="24"/>
          <w:szCs w:val="24"/>
          <w:highlight w:val="none"/>
        </w:rPr>
      </w:pPr>
      <w:bookmarkStart w:id="1590" w:name="_Toc256000361"/>
      <w:bookmarkStart w:id="1591" w:name="_Toc256001094"/>
      <w:bookmarkStart w:id="1592" w:name="_Toc256000069"/>
      <w:bookmarkStart w:id="1593" w:name="_Toc69461181"/>
      <w:bookmarkStart w:id="1594" w:name="_Toc256001324"/>
      <w:bookmarkStart w:id="1595" w:name="_Toc9758"/>
      <w:bookmarkStart w:id="1596" w:name="_Toc256000590"/>
      <w:bookmarkStart w:id="1597" w:name="_Toc18586"/>
      <w:bookmarkStart w:id="1598" w:name="_Toc69461836"/>
      <w:bookmarkStart w:id="1599" w:name="_Toc27815"/>
      <w:bookmarkStart w:id="1600" w:name="_Toc14569"/>
      <w:bookmarkStart w:id="1601" w:name="_Toc256000102"/>
      <w:bookmarkStart w:id="1602" w:name="_Toc256000857"/>
      <w:r>
        <w:rPr>
          <w:rStyle w:val="14"/>
          <w:rFonts w:ascii="宋体" w:hAnsi="宋体"/>
          <w:color w:val="auto"/>
          <w:kern w:val="2"/>
          <w:sz w:val="24"/>
          <w:szCs w:val="24"/>
          <w:highlight w:val="none"/>
        </w:rPr>
        <w:t>16.1 发包人违约</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2C2EC9D7">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16.1.1发包人违约的情形</w:t>
      </w:r>
    </w:p>
    <w:p w14:paraId="5988954D">
      <w:pPr>
        <w:pStyle w:val="20"/>
        <w:spacing w:line="360" w:lineRule="auto"/>
        <w:ind w:firstLine="480" w:firstLineChars="200"/>
        <w:jc w:val="left"/>
        <w:rPr>
          <w:rStyle w:val="14"/>
          <w:rFonts w:ascii="宋体" w:hAnsi="宋体"/>
          <w:color w:val="auto"/>
          <w:sz w:val="24"/>
          <w:szCs w:val="24"/>
          <w:highlight w:val="none"/>
          <w:u w:val="single"/>
        </w:rPr>
      </w:pPr>
      <w:r>
        <w:rPr>
          <w:rStyle w:val="14"/>
          <w:rFonts w:ascii="宋体" w:hAnsi="宋体"/>
          <w:color w:val="auto"/>
          <w:sz w:val="24"/>
          <w:szCs w:val="24"/>
          <w:highlight w:val="none"/>
        </w:rPr>
        <w:t>发包人违约的其他情形：</w:t>
      </w:r>
      <w:r>
        <w:rPr>
          <w:rStyle w:val="14"/>
          <w:rFonts w:ascii="宋体" w:hAnsi="宋体"/>
          <w:color w:val="auto"/>
          <w:sz w:val="24"/>
          <w:szCs w:val="24"/>
          <w:highlight w:val="none"/>
          <w:u w:val="single"/>
        </w:rPr>
        <w:t xml:space="preserve">                                </w:t>
      </w:r>
    </w:p>
    <w:p w14:paraId="0326A1AD">
      <w:pPr>
        <w:pStyle w:val="20"/>
        <w:spacing w:line="360" w:lineRule="auto"/>
        <w:ind w:left="1200" w:hanging="1200" w:hangingChars="500"/>
        <w:jc w:val="left"/>
        <w:rPr>
          <w:rStyle w:val="14"/>
          <w:rFonts w:ascii="宋体" w:hAnsi="宋体"/>
          <w:color w:val="auto"/>
          <w:sz w:val="24"/>
          <w:szCs w:val="24"/>
          <w:highlight w:val="none"/>
        </w:rPr>
      </w:pP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0577C903">
      <w:pPr>
        <w:pStyle w:val="20"/>
        <w:spacing w:line="360" w:lineRule="auto"/>
        <w:ind w:left="1200" w:hanging="1200" w:hangingChars="500"/>
        <w:jc w:val="left"/>
        <w:rPr>
          <w:rStyle w:val="14"/>
          <w:rFonts w:ascii="宋体" w:hAnsi="宋体"/>
          <w:color w:val="auto"/>
          <w:sz w:val="24"/>
          <w:szCs w:val="24"/>
          <w:highlight w:val="none"/>
        </w:rPr>
      </w:pPr>
      <w:r>
        <w:rPr>
          <w:rStyle w:val="14"/>
          <w:rFonts w:ascii="宋体" w:hAnsi="宋体"/>
          <w:color w:val="auto"/>
          <w:sz w:val="24"/>
          <w:szCs w:val="24"/>
          <w:highlight w:val="none"/>
        </w:rPr>
        <w:t xml:space="preserve">    16.1.2 发包人违约的责任</w:t>
      </w:r>
    </w:p>
    <w:p w14:paraId="16CA44CC">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发包人违约责任的承担方式和计算方法：</w:t>
      </w:r>
    </w:p>
    <w:p w14:paraId="7C24263D">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（1）因发包人原因未能在计划开工日期前7天内下达开工通知的违约责任：</w:t>
      </w:r>
      <w:r>
        <w:rPr>
          <w:rStyle w:val="14"/>
          <w:rFonts w:ascii="宋体" w:hAnsi="宋体"/>
          <w:color w:val="auto"/>
          <w:sz w:val="24"/>
          <w:szCs w:val="24"/>
          <w:highlight w:val="none"/>
          <w:u w:val="single"/>
        </w:rPr>
        <w:t xml:space="preserve">   </w:t>
      </w:r>
      <w:r>
        <w:rPr>
          <w:rStyle w:val="14"/>
          <w:rFonts w:hint="eastAsia" w:ascii="宋体" w:hAnsi="宋体"/>
          <w:color w:val="auto"/>
          <w:kern w:val="2"/>
          <w:sz w:val="24"/>
          <w:szCs w:val="24"/>
          <w:highlight w:val="none"/>
          <w:u w:val="single"/>
        </w:rPr>
        <w:t>延误的工期相应顺延，但发包人不承担任何形式的违约责任。</w:t>
      </w:r>
    </w:p>
    <w:p w14:paraId="19085608">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（2）因发包人原因未能按合同约定支付合同价款的违约责任：</w:t>
      </w:r>
      <w:r>
        <w:rPr>
          <w:rStyle w:val="14"/>
          <w:rFonts w:hint="eastAsia" w:ascii="宋体" w:hAnsi="宋体"/>
          <w:color w:val="auto"/>
          <w:kern w:val="2"/>
          <w:sz w:val="24"/>
          <w:szCs w:val="24"/>
          <w:highlight w:val="none"/>
          <w:u w:val="single"/>
        </w:rPr>
        <w:t>发包人不支付逾期付款期间的利息，不承担违约责任  。</w:t>
      </w:r>
    </w:p>
    <w:p w14:paraId="0DADC0DC">
      <w:pPr>
        <w:pStyle w:val="20"/>
        <w:spacing w:line="360" w:lineRule="auto"/>
        <w:ind w:firstLine="480" w:firstLineChars="200"/>
        <w:jc w:val="left"/>
        <w:rPr>
          <w:rStyle w:val="14"/>
          <w:rFonts w:ascii="宋体" w:hAnsi="宋体"/>
          <w:color w:val="auto"/>
          <w:sz w:val="24"/>
          <w:szCs w:val="24"/>
          <w:highlight w:val="none"/>
          <w:u w:val="single"/>
        </w:rPr>
      </w:pPr>
      <w:r>
        <w:rPr>
          <w:rStyle w:val="14"/>
          <w:rFonts w:ascii="宋体" w:hAnsi="宋体"/>
          <w:color w:val="auto"/>
          <w:sz w:val="24"/>
          <w:szCs w:val="24"/>
          <w:highlight w:val="none"/>
        </w:rPr>
        <w:t>（3）发包人违反第10.1款</w:t>
      </w:r>
      <w:r>
        <w:rPr>
          <w:rStyle w:val="14"/>
          <w:rFonts w:hint="eastAsia" w:ascii="宋体" w:hAnsi="宋体"/>
          <w:color w:val="auto"/>
          <w:sz w:val="24"/>
          <w:szCs w:val="24"/>
          <w:highlight w:val="none"/>
        </w:rPr>
        <w:t>〔</w:t>
      </w:r>
      <w:r>
        <w:rPr>
          <w:rStyle w:val="14"/>
          <w:rFonts w:ascii="宋体" w:hAnsi="宋体"/>
          <w:color w:val="auto"/>
          <w:sz w:val="24"/>
          <w:szCs w:val="24"/>
          <w:highlight w:val="none"/>
        </w:rPr>
        <w:t>变更的范围</w:t>
      </w:r>
      <w:r>
        <w:rPr>
          <w:rStyle w:val="14"/>
          <w:rFonts w:hint="eastAsia" w:ascii="宋体" w:hAnsi="宋体"/>
          <w:color w:val="auto"/>
          <w:sz w:val="24"/>
          <w:szCs w:val="24"/>
          <w:highlight w:val="none"/>
        </w:rPr>
        <w:t>〕</w:t>
      </w:r>
      <w:r>
        <w:rPr>
          <w:rStyle w:val="14"/>
          <w:rFonts w:ascii="宋体" w:hAnsi="宋体"/>
          <w:color w:val="auto"/>
          <w:sz w:val="24"/>
          <w:szCs w:val="24"/>
          <w:highlight w:val="none"/>
        </w:rPr>
        <w:t>第（2）项约定，自行实施被取消的工作或转由他人实施的违约责任：</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p>
    <w:p w14:paraId="641EB288">
      <w:pPr>
        <w:pStyle w:val="20"/>
        <w:spacing w:line="360" w:lineRule="auto"/>
        <w:jc w:val="left"/>
        <w:rPr>
          <w:rStyle w:val="14"/>
          <w:rFonts w:ascii="宋体" w:hAnsi="宋体"/>
          <w:color w:val="auto"/>
          <w:sz w:val="24"/>
          <w:szCs w:val="24"/>
          <w:highlight w:val="none"/>
        </w:rPr>
      </w:pP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0673D4A5">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（4）发包人提供的材料、工程设备的规格、数量或质量不符合合同约定，或因发包人原因导致交货日期延误或交货地点变更等情况的违约责任：</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38601705">
      <w:pPr>
        <w:pStyle w:val="20"/>
        <w:spacing w:line="360" w:lineRule="auto"/>
        <w:ind w:firstLine="480" w:firstLineChars="200"/>
        <w:jc w:val="left"/>
        <w:rPr>
          <w:rStyle w:val="14"/>
          <w:rFonts w:ascii="宋体" w:hAnsi="宋体"/>
          <w:color w:val="auto"/>
          <w:sz w:val="24"/>
          <w:szCs w:val="24"/>
          <w:highlight w:val="none"/>
          <w:u w:val="single"/>
        </w:rPr>
      </w:pPr>
      <w:r>
        <w:rPr>
          <w:rStyle w:val="14"/>
          <w:rFonts w:ascii="宋体" w:hAnsi="宋体"/>
          <w:color w:val="auto"/>
          <w:sz w:val="24"/>
          <w:szCs w:val="24"/>
          <w:highlight w:val="none"/>
        </w:rPr>
        <w:t>（5）因发包人违反合同约定造成暂停施工的违约责任：</w:t>
      </w:r>
      <w:r>
        <w:rPr>
          <w:rStyle w:val="14"/>
          <w:rFonts w:ascii="宋体" w:hAnsi="宋体"/>
          <w:color w:val="auto"/>
          <w:sz w:val="24"/>
          <w:szCs w:val="24"/>
          <w:highlight w:val="none"/>
          <w:u w:val="single"/>
        </w:rPr>
        <w:t xml:space="preserve">     </w:t>
      </w:r>
    </w:p>
    <w:p w14:paraId="19D9FFC7">
      <w:pPr>
        <w:pStyle w:val="20"/>
        <w:spacing w:line="360" w:lineRule="auto"/>
        <w:jc w:val="left"/>
        <w:rPr>
          <w:rStyle w:val="14"/>
          <w:rFonts w:ascii="宋体" w:hAnsi="宋体"/>
          <w:color w:val="auto"/>
          <w:sz w:val="24"/>
          <w:szCs w:val="24"/>
          <w:highlight w:val="none"/>
        </w:rPr>
      </w:pP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w:t>
      </w:r>
    </w:p>
    <w:p w14:paraId="0FC773BD">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（6）发包人无正当理由没有在约定期限内发出复工指示，导致承包人无法复工的违约责任：</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工期可适当顺延，但发包人不承担任何形式的违约责任。</w:t>
      </w:r>
    </w:p>
    <w:p w14:paraId="51DD8766">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（7）</w:t>
      </w:r>
      <w:r>
        <w:rPr>
          <w:rStyle w:val="14"/>
          <w:rFonts w:hint="eastAsia" w:ascii="宋体" w:hAnsi="宋体"/>
          <w:color w:val="auto"/>
          <w:sz w:val="24"/>
          <w:szCs w:val="24"/>
          <w:highlight w:val="none"/>
        </w:rPr>
        <w:t>其他：</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u w:val="single"/>
        </w:rPr>
        <w:t xml:space="preserve">       </w:t>
      </w:r>
      <w:r>
        <w:rPr>
          <w:rStyle w:val="14"/>
          <w:rFonts w:hint="eastAsia" w:ascii="宋体" w:hAnsi="宋体"/>
          <w:color w:val="auto"/>
          <w:sz w:val="24"/>
          <w:szCs w:val="24"/>
          <w:highlight w:val="none"/>
          <w:u w:val="single"/>
        </w:rPr>
        <w:t xml:space="preserve">  </w:t>
      </w:r>
      <w:r>
        <w:rPr>
          <w:rStyle w:val="14"/>
          <w:rFonts w:ascii="宋体" w:hAnsi="宋体"/>
          <w:color w:val="auto"/>
          <w:sz w:val="24"/>
          <w:szCs w:val="24"/>
          <w:highlight w:val="none"/>
        </w:rPr>
        <w:t>。</w:t>
      </w:r>
    </w:p>
    <w:p w14:paraId="39B03227">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16.1.3 因发包人违约解除合同</w:t>
      </w:r>
    </w:p>
    <w:p w14:paraId="58774949">
      <w:pPr>
        <w:pStyle w:val="20"/>
        <w:autoSpaceDE w:val="0"/>
        <w:autoSpaceDN w:val="0"/>
        <w:adjustRightInd w:val="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承包人按16.1.1项</w:t>
      </w:r>
      <w:r>
        <w:rPr>
          <w:rStyle w:val="14"/>
          <w:rFonts w:hint="eastAsia" w:ascii="宋体" w:hAnsi="宋体"/>
          <w:color w:val="auto"/>
          <w:sz w:val="24"/>
          <w:szCs w:val="24"/>
          <w:highlight w:val="none"/>
        </w:rPr>
        <w:t>〔</w:t>
      </w:r>
      <w:r>
        <w:rPr>
          <w:rStyle w:val="14"/>
          <w:rFonts w:ascii="宋体" w:hAnsi="宋体"/>
          <w:color w:val="auto"/>
          <w:sz w:val="24"/>
          <w:szCs w:val="24"/>
          <w:highlight w:val="none"/>
        </w:rPr>
        <w:t>发包人违约的情形</w:t>
      </w:r>
      <w:r>
        <w:rPr>
          <w:rStyle w:val="14"/>
          <w:rFonts w:hint="eastAsia" w:ascii="宋体" w:hAnsi="宋体"/>
          <w:color w:val="auto"/>
          <w:sz w:val="24"/>
          <w:szCs w:val="24"/>
          <w:highlight w:val="none"/>
        </w:rPr>
        <w:t>〕</w:t>
      </w:r>
      <w:r>
        <w:rPr>
          <w:rStyle w:val="14"/>
          <w:rFonts w:ascii="宋体" w:hAnsi="宋体"/>
          <w:color w:val="auto"/>
          <w:sz w:val="24"/>
          <w:szCs w:val="24"/>
          <w:highlight w:val="none"/>
        </w:rPr>
        <w:t>约定暂停施工满</w:t>
      </w:r>
      <w:r>
        <w:rPr>
          <w:rStyle w:val="14"/>
          <w:rFonts w:ascii="宋体" w:hAnsi="宋体"/>
          <w:color w:val="auto"/>
          <w:sz w:val="24"/>
          <w:szCs w:val="24"/>
          <w:highlight w:val="none"/>
          <w:u w:val="single"/>
        </w:rPr>
        <w:t xml:space="preserve">    </w:t>
      </w:r>
      <w:r>
        <w:rPr>
          <w:rStyle w:val="14"/>
          <w:rFonts w:ascii="宋体" w:hAnsi="宋体"/>
          <w:color w:val="auto"/>
          <w:sz w:val="24"/>
          <w:szCs w:val="24"/>
          <w:highlight w:val="none"/>
        </w:rPr>
        <w:t>天后发包人仍不纠正其违约行为并致使合同目的不能实现的，承包人有权解除合同。</w:t>
      </w:r>
    </w:p>
    <w:p w14:paraId="20CDFF89">
      <w:pPr>
        <w:pStyle w:val="20"/>
        <w:spacing w:after="120" w:line="360" w:lineRule="auto"/>
        <w:ind w:firstLine="480" w:firstLineChars="200"/>
        <w:outlineLvl w:val="9"/>
        <w:rPr>
          <w:rStyle w:val="14"/>
          <w:rFonts w:ascii="宋体" w:hAnsi="宋体"/>
          <w:color w:val="auto"/>
          <w:kern w:val="2"/>
          <w:sz w:val="24"/>
          <w:szCs w:val="24"/>
          <w:highlight w:val="none"/>
        </w:rPr>
      </w:pPr>
      <w:bookmarkStart w:id="1603" w:name="_Toc256000591"/>
      <w:bookmarkStart w:id="1604" w:name="_Toc256000070"/>
      <w:bookmarkStart w:id="1605" w:name="_Toc69461182"/>
      <w:bookmarkStart w:id="1606" w:name="_Toc256001095"/>
      <w:bookmarkStart w:id="1607" w:name="_Toc256000858"/>
      <w:bookmarkStart w:id="1608" w:name="_Toc25870"/>
      <w:bookmarkStart w:id="1609" w:name="_Toc28749"/>
      <w:bookmarkStart w:id="1610" w:name="_Toc69461837"/>
      <w:bookmarkStart w:id="1611" w:name="_Toc256000362"/>
      <w:bookmarkStart w:id="1612" w:name="_Toc16856"/>
      <w:bookmarkStart w:id="1613" w:name="_Toc11516"/>
      <w:bookmarkStart w:id="1614" w:name="_Toc256001325"/>
      <w:bookmarkStart w:id="1615" w:name="_Toc256000103"/>
      <w:r>
        <w:rPr>
          <w:rStyle w:val="14"/>
          <w:rFonts w:ascii="宋体" w:hAnsi="宋体"/>
          <w:color w:val="auto"/>
          <w:kern w:val="2"/>
          <w:sz w:val="24"/>
          <w:szCs w:val="24"/>
          <w:highlight w:val="none"/>
        </w:rPr>
        <w:t>16.2 承包人违约</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50F3B00C">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16.2.1 承包人违约的情形</w:t>
      </w:r>
    </w:p>
    <w:p w14:paraId="033C8016">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承包人违约的其他情形：</w:t>
      </w:r>
      <w:r>
        <w:rPr>
          <w:rStyle w:val="14"/>
          <w:rFonts w:hint="eastAsia" w:ascii="宋体" w:hAnsi="宋体"/>
          <w:color w:val="auto"/>
          <w:kern w:val="2"/>
          <w:sz w:val="24"/>
          <w:szCs w:val="24"/>
          <w:highlight w:val="none"/>
          <w:u w:val="single"/>
        </w:rPr>
        <w:t>(1）承包人私自将合同的全部或部分权利转让给其他人，或私自将合同的全部或部分义务转移给其他人；</w:t>
      </w:r>
    </w:p>
    <w:p w14:paraId="0C458055">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(2）承包人未经监理人批准，私自将己按合同约定进入施工场地的施工设备、临时设施或材料撤离施工场地；</w:t>
      </w:r>
    </w:p>
    <w:p w14:paraId="4CDFC89D">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(3）承包人使用了不合格材料或工程设备，工程质量达不到标准要求，又拒绝清除不合格工程；</w:t>
      </w:r>
    </w:p>
    <w:p w14:paraId="0B06FCAB">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(4）承包人未能按合同进度计划及时完成合同约定的工作，已造成或预期造成工期延误；</w:t>
      </w:r>
    </w:p>
    <w:p w14:paraId="794EAFD7">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14:paraId="6CDE7958">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(6）承包人无法继续履行或明确表示不履行或实质上己停止履行合同；</w:t>
      </w:r>
    </w:p>
    <w:p w14:paraId="2BDA7A63">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(7）承包人不按合同约定履行义务的其他情况。</w:t>
      </w:r>
    </w:p>
    <w:p w14:paraId="705897EC">
      <w:pPr>
        <w:pStyle w:val="20"/>
        <w:spacing w:line="360" w:lineRule="auto"/>
        <w:ind w:firstLine="480" w:firstLineChars="200"/>
        <w:jc w:val="left"/>
        <w:rPr>
          <w:rStyle w:val="14"/>
          <w:rFonts w:ascii="宋体" w:hAnsi="宋体"/>
          <w:color w:val="auto"/>
          <w:sz w:val="24"/>
          <w:szCs w:val="24"/>
          <w:highlight w:val="none"/>
        </w:rPr>
      </w:pPr>
      <w:r>
        <w:rPr>
          <w:rStyle w:val="14"/>
          <w:rFonts w:ascii="宋体" w:hAnsi="宋体"/>
          <w:color w:val="auto"/>
          <w:sz w:val="24"/>
          <w:szCs w:val="24"/>
          <w:highlight w:val="none"/>
        </w:rPr>
        <w:t>16.2.2承包人违约的责任</w:t>
      </w:r>
    </w:p>
    <w:p w14:paraId="0D072F28">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承包人违约责任的承担方式和计算方法：</w:t>
      </w:r>
      <w:r>
        <w:rPr>
          <w:rStyle w:val="14"/>
          <w:rFonts w:hint="eastAsia" w:ascii="宋体" w:hAnsi="宋体"/>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14:paraId="0CEB19E0">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14:paraId="054A7A66">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14:paraId="13745C49">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14:paraId="446FBF0C">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（4）承包人未能按施工进度计划及时完成合同约定的工作，造成工期延误的：</w:t>
      </w:r>
    </w:p>
    <w:p w14:paraId="27AFC57A">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工程施工节点逾期或竣工逾期的，按专用条款7.5.2条款收取违约金；</w:t>
      </w:r>
    </w:p>
    <w:p w14:paraId="6D462E17">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14:paraId="4E416A5E">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（6）承包人违反本合同约定所应支付的违约金，发包人均有权从应付的工程款中直接扣减，无需征得承包人同意。</w:t>
      </w:r>
    </w:p>
    <w:p w14:paraId="5D45C106">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16.2.3 因承包人违约解除合同</w:t>
      </w:r>
    </w:p>
    <w:p w14:paraId="1CFEA5BC">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关于承包人违约解除合同的特别约定：</w:t>
      </w:r>
      <w:r>
        <w:rPr>
          <w:rStyle w:val="14"/>
          <w:rFonts w:ascii="宋体" w:hAnsi="宋体"/>
          <w:color w:val="auto"/>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赔偿因此给发包人造成的一切损失。 </w:t>
      </w:r>
    </w:p>
    <w:p w14:paraId="196E2500">
      <w:pPr>
        <w:pStyle w:val="20"/>
        <w:spacing w:before="120" w:after="120" w:line="360" w:lineRule="auto"/>
        <w:ind w:firstLine="480" w:firstLineChars="200"/>
        <w:rPr>
          <w:rStyle w:val="14"/>
          <w:rFonts w:ascii="宋体" w:hAnsi="宋体"/>
          <w:color w:val="auto"/>
          <w:kern w:val="2"/>
          <w:sz w:val="24"/>
          <w:szCs w:val="24"/>
          <w:highlight w:val="none"/>
          <w:u w:val="single"/>
        </w:rPr>
      </w:pPr>
      <w:r>
        <w:rPr>
          <w:rStyle w:val="14"/>
          <w:rFonts w:ascii="宋体" w:hAnsi="宋体"/>
          <w:color w:val="auto"/>
          <w:sz w:val="24"/>
          <w:szCs w:val="24"/>
          <w:highlight w:val="none"/>
        </w:rPr>
        <w:t>发包人</w:t>
      </w:r>
      <w:r>
        <w:rPr>
          <w:rStyle w:val="14"/>
          <w:rFonts w:hint="eastAsia" w:ascii="宋体" w:hAnsi="宋体"/>
          <w:color w:val="auto"/>
          <w:sz w:val="24"/>
          <w:szCs w:val="24"/>
          <w:highlight w:val="none"/>
        </w:rPr>
        <w:t>继续</w:t>
      </w:r>
      <w:r>
        <w:rPr>
          <w:rStyle w:val="14"/>
          <w:rFonts w:ascii="宋体" w:hAnsi="宋体"/>
          <w:color w:val="auto"/>
          <w:sz w:val="24"/>
          <w:szCs w:val="24"/>
          <w:highlight w:val="none"/>
        </w:rPr>
        <w:t>使用承包人在施工现场的材料、设备、临时工程、承包人文件和由承包人或以其名义编制的其他文件</w:t>
      </w:r>
      <w:r>
        <w:rPr>
          <w:rStyle w:val="14"/>
          <w:rFonts w:hint="eastAsia" w:ascii="宋体" w:hAnsi="宋体"/>
          <w:color w:val="auto"/>
          <w:sz w:val="24"/>
          <w:szCs w:val="24"/>
          <w:highlight w:val="none"/>
        </w:rPr>
        <w:t>的费用承担方式</w:t>
      </w:r>
      <w:r>
        <w:rPr>
          <w:rStyle w:val="14"/>
          <w:rFonts w:ascii="宋体" w:hAnsi="宋体"/>
          <w:color w:val="auto"/>
          <w:sz w:val="24"/>
          <w:szCs w:val="24"/>
          <w:highlight w:val="none"/>
        </w:rPr>
        <w:t>：</w:t>
      </w:r>
      <w:r>
        <w:rPr>
          <w:rStyle w:val="14"/>
          <w:rFonts w:hint="eastAsia" w:ascii="宋体" w:hAnsi="宋体"/>
          <w:color w:val="auto"/>
          <w:kern w:val="2"/>
          <w:sz w:val="24"/>
          <w:szCs w:val="24"/>
          <w:highlight w:val="none"/>
          <w:u w:val="single"/>
        </w:rPr>
        <w:t>承包人承担。</w:t>
      </w:r>
    </w:p>
    <w:p w14:paraId="49094431">
      <w:pPr>
        <w:pStyle w:val="22"/>
        <w:spacing w:before="120" w:after="120" w:line="360" w:lineRule="auto"/>
        <w:outlineLvl w:val="9"/>
        <w:rPr>
          <w:rStyle w:val="14"/>
          <w:rFonts w:ascii="宋体" w:hAnsi="宋体" w:eastAsia="宋体"/>
          <w:b w:val="0"/>
          <w:color w:val="auto"/>
          <w:sz w:val="24"/>
          <w:szCs w:val="24"/>
          <w:highlight w:val="none"/>
        </w:rPr>
      </w:pPr>
      <w:bookmarkStart w:id="1616" w:name="_Toc69461838"/>
      <w:bookmarkStart w:id="1617" w:name="_Toc256000363"/>
      <w:bookmarkStart w:id="1618" w:name="_Toc351203649"/>
      <w:bookmarkStart w:id="1619" w:name="_Toc256001096"/>
      <w:bookmarkStart w:id="1620" w:name="_Toc256000859"/>
      <w:bookmarkStart w:id="1621" w:name="_Toc256001326"/>
      <w:bookmarkStart w:id="1622" w:name="_Toc2487"/>
      <w:bookmarkStart w:id="1623" w:name="_Toc30141"/>
      <w:bookmarkStart w:id="1624" w:name="_Toc256000592"/>
      <w:bookmarkStart w:id="1625" w:name="_Toc69461183"/>
      <w:r>
        <w:rPr>
          <w:rStyle w:val="14"/>
          <w:rFonts w:ascii="宋体" w:hAnsi="宋体" w:eastAsia="宋体"/>
          <w:b w:val="0"/>
          <w:color w:val="auto"/>
          <w:sz w:val="24"/>
          <w:szCs w:val="24"/>
          <w:highlight w:val="none"/>
        </w:rPr>
        <w:t>17. 不可抗力</w:t>
      </w:r>
      <w:bookmarkEnd w:id="1616"/>
      <w:bookmarkEnd w:id="1617"/>
      <w:bookmarkEnd w:id="1618"/>
      <w:bookmarkEnd w:id="1619"/>
      <w:bookmarkEnd w:id="1620"/>
      <w:bookmarkEnd w:id="1621"/>
      <w:bookmarkEnd w:id="1622"/>
      <w:bookmarkEnd w:id="1623"/>
      <w:bookmarkEnd w:id="1624"/>
      <w:bookmarkEnd w:id="1625"/>
      <w:r>
        <w:rPr>
          <w:rStyle w:val="14"/>
          <w:rFonts w:ascii="宋体" w:hAnsi="宋体" w:eastAsia="宋体"/>
          <w:b w:val="0"/>
          <w:color w:val="auto"/>
          <w:sz w:val="24"/>
          <w:szCs w:val="24"/>
          <w:highlight w:val="none"/>
        </w:rPr>
        <w:t xml:space="preserve"> </w:t>
      </w:r>
      <w:bookmarkEnd w:id="1588"/>
    </w:p>
    <w:p w14:paraId="23B3501F">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17.1 不可抗力的确认</w:t>
      </w:r>
    </w:p>
    <w:p w14:paraId="04B5E869">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除通用合同条款约定的不可抗力事件之外，视为不可抗力的其他情形：</w:t>
      </w:r>
      <w:r>
        <w:rPr>
          <w:rStyle w:val="14"/>
          <w:rFonts w:hint="eastAsia" w:ascii="宋体" w:hAnsi="宋体"/>
          <w:color w:val="auto"/>
          <w:kern w:val="2"/>
          <w:sz w:val="24"/>
          <w:szCs w:val="24"/>
          <w:highlight w:val="none"/>
          <w:u w:val="single"/>
        </w:rPr>
        <w:t>烈度6级以上的地震、十级以上持续三天的大风、200㎜以上持续6小时的大雨、持续四天以上的大雪（以上需经市级气象单位确认）  。</w:t>
      </w:r>
    </w:p>
    <w:p w14:paraId="45E1C6CA">
      <w:pPr>
        <w:pStyle w:val="20"/>
        <w:spacing w:line="360" w:lineRule="auto"/>
        <w:ind w:firstLine="480" w:firstLineChars="200"/>
        <w:jc w:val="left"/>
        <w:rPr>
          <w:rStyle w:val="14"/>
          <w:rFonts w:ascii="宋体" w:hAnsi="宋体"/>
          <w:color w:val="auto"/>
          <w:sz w:val="24"/>
          <w:szCs w:val="24"/>
          <w:highlight w:val="none"/>
          <w:u w:val="single"/>
        </w:rPr>
      </w:pPr>
    </w:p>
    <w:p w14:paraId="669F5FDB">
      <w:pPr>
        <w:pStyle w:val="20"/>
        <w:spacing w:after="120" w:line="360" w:lineRule="auto"/>
        <w:ind w:firstLine="480" w:firstLineChars="200"/>
        <w:outlineLvl w:val="9"/>
        <w:rPr>
          <w:rStyle w:val="14"/>
          <w:rFonts w:ascii="宋体" w:hAnsi="宋体"/>
          <w:color w:val="auto"/>
          <w:kern w:val="2"/>
          <w:sz w:val="24"/>
          <w:szCs w:val="24"/>
          <w:highlight w:val="none"/>
        </w:rPr>
      </w:pPr>
      <w:bookmarkStart w:id="1626" w:name="_Toc256000071"/>
      <w:bookmarkStart w:id="1627" w:name="_Toc17652"/>
      <w:bookmarkStart w:id="1628" w:name="_Toc69461839"/>
      <w:bookmarkStart w:id="1629" w:name="_Toc256000364"/>
      <w:bookmarkStart w:id="1630" w:name="_Toc256000104"/>
      <w:bookmarkStart w:id="1631" w:name="_Toc256001327"/>
      <w:bookmarkStart w:id="1632" w:name="_Toc256000593"/>
      <w:bookmarkStart w:id="1633" w:name="_Toc69461184"/>
      <w:bookmarkStart w:id="1634" w:name="_Toc29062"/>
      <w:bookmarkStart w:id="1635" w:name="_Toc19757"/>
      <w:bookmarkStart w:id="1636" w:name="_Toc17278"/>
      <w:bookmarkStart w:id="1637" w:name="_Toc256000860"/>
      <w:bookmarkStart w:id="1638" w:name="_Toc256001097"/>
      <w:r>
        <w:rPr>
          <w:rStyle w:val="14"/>
          <w:rFonts w:ascii="宋体" w:hAnsi="宋体"/>
          <w:color w:val="auto"/>
          <w:kern w:val="2"/>
          <w:sz w:val="24"/>
          <w:szCs w:val="24"/>
          <w:highlight w:val="none"/>
        </w:rPr>
        <w:t>17.4 因不可抗力解除合同</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25C706B1">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合同解除后，发包人应在商定或确定发包人应支付款项后</w:t>
      </w:r>
      <w:r>
        <w:rPr>
          <w:rStyle w:val="14"/>
          <w:rFonts w:ascii="宋体" w:hAnsi="宋体"/>
          <w:color w:val="auto"/>
          <w:kern w:val="2"/>
          <w:sz w:val="24"/>
          <w:szCs w:val="24"/>
          <w:highlight w:val="none"/>
          <w:u w:val="single"/>
        </w:rPr>
        <w:t xml:space="preserve">  90  </w:t>
      </w:r>
      <w:r>
        <w:rPr>
          <w:rStyle w:val="14"/>
          <w:rFonts w:ascii="宋体" w:hAnsi="宋体"/>
          <w:color w:val="auto"/>
          <w:kern w:val="2"/>
          <w:sz w:val="24"/>
          <w:szCs w:val="24"/>
          <w:highlight w:val="none"/>
        </w:rPr>
        <w:t>天内完成款项的支付。</w:t>
      </w:r>
    </w:p>
    <w:p w14:paraId="7227B892">
      <w:pPr>
        <w:pStyle w:val="22"/>
        <w:spacing w:before="120" w:after="120" w:line="360" w:lineRule="auto"/>
        <w:outlineLvl w:val="9"/>
        <w:rPr>
          <w:rStyle w:val="14"/>
          <w:rFonts w:ascii="宋体" w:hAnsi="宋体" w:eastAsia="宋体"/>
          <w:b w:val="0"/>
          <w:color w:val="auto"/>
          <w:sz w:val="24"/>
          <w:szCs w:val="24"/>
          <w:highlight w:val="none"/>
        </w:rPr>
      </w:pPr>
      <w:bookmarkStart w:id="1639" w:name="_Toc69461185"/>
      <w:bookmarkStart w:id="1640" w:name="_Toc256000365"/>
      <w:bookmarkStart w:id="1641" w:name="_Toc23899"/>
      <w:bookmarkStart w:id="1642" w:name="_Toc256001098"/>
      <w:bookmarkStart w:id="1643" w:name="_Toc256000594"/>
      <w:bookmarkStart w:id="1644" w:name="_Toc256000861"/>
      <w:bookmarkStart w:id="1645" w:name="_Toc351203650"/>
      <w:bookmarkStart w:id="1646" w:name="_Toc69461840"/>
      <w:bookmarkStart w:id="1647" w:name="_Toc2594"/>
      <w:bookmarkStart w:id="1648" w:name="_Toc256001328"/>
      <w:r>
        <w:rPr>
          <w:rStyle w:val="14"/>
          <w:rFonts w:ascii="宋体" w:hAnsi="宋体" w:eastAsia="宋体"/>
          <w:b w:val="0"/>
          <w:color w:val="auto"/>
          <w:sz w:val="24"/>
          <w:szCs w:val="24"/>
          <w:highlight w:val="none"/>
        </w:rPr>
        <w:t>18. 保险</w:t>
      </w:r>
      <w:bookmarkEnd w:id="1639"/>
      <w:bookmarkEnd w:id="1640"/>
      <w:bookmarkEnd w:id="1641"/>
      <w:bookmarkEnd w:id="1642"/>
      <w:bookmarkEnd w:id="1643"/>
      <w:bookmarkEnd w:id="1644"/>
      <w:bookmarkEnd w:id="1645"/>
      <w:bookmarkEnd w:id="1646"/>
      <w:bookmarkEnd w:id="1647"/>
      <w:bookmarkEnd w:id="1648"/>
    </w:p>
    <w:bookmarkEnd w:id="1589"/>
    <w:p w14:paraId="5F4E1D25">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18.1 工程保险</w:t>
      </w:r>
    </w:p>
    <w:p w14:paraId="20D390C2">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关于工程保险的特别约定：</w:t>
      </w:r>
      <w:r>
        <w:rPr>
          <w:rStyle w:val="14"/>
          <w:rFonts w:ascii="宋体" w:hAnsi="宋体"/>
          <w:color w:val="auto"/>
          <w:sz w:val="24"/>
          <w:szCs w:val="24"/>
          <w:highlight w:val="none"/>
          <w:u w:val="single"/>
        </w:rPr>
        <w:t xml:space="preserve"> </w:t>
      </w:r>
      <w:r>
        <w:rPr>
          <w:rStyle w:val="14"/>
          <w:rFonts w:hint="eastAsia" w:ascii="宋体" w:hAnsi="宋体"/>
          <w:color w:val="auto"/>
          <w:kern w:val="2"/>
          <w:sz w:val="24"/>
          <w:szCs w:val="24"/>
          <w:highlight w:val="none"/>
          <w:u w:val="single"/>
        </w:rPr>
        <w:t>按省、市有关文件执行</w:t>
      </w:r>
      <w:r>
        <w:rPr>
          <w:rStyle w:val="14"/>
          <w:rFonts w:ascii="宋体" w:hAnsi="宋体"/>
          <w:color w:val="auto"/>
          <w:kern w:val="2"/>
          <w:sz w:val="24"/>
          <w:szCs w:val="24"/>
          <w:highlight w:val="none"/>
          <w:u w:val="single"/>
        </w:rPr>
        <w:t>。</w:t>
      </w:r>
    </w:p>
    <w:p w14:paraId="32D18524">
      <w:pPr>
        <w:pStyle w:val="20"/>
        <w:spacing w:after="120" w:line="360" w:lineRule="auto"/>
        <w:ind w:firstLine="480" w:firstLineChars="200"/>
        <w:outlineLvl w:val="9"/>
        <w:rPr>
          <w:rStyle w:val="14"/>
          <w:rFonts w:ascii="宋体" w:hAnsi="宋体"/>
          <w:color w:val="auto"/>
          <w:kern w:val="2"/>
          <w:sz w:val="24"/>
          <w:szCs w:val="24"/>
          <w:highlight w:val="none"/>
        </w:rPr>
      </w:pPr>
      <w:bookmarkStart w:id="1649" w:name="_Toc21713"/>
      <w:bookmarkStart w:id="1650" w:name="_Toc69461841"/>
      <w:bookmarkStart w:id="1651" w:name="_Toc256001099"/>
      <w:bookmarkStart w:id="1652" w:name="_Toc5549"/>
      <w:bookmarkStart w:id="1653" w:name="_Toc256000105"/>
      <w:bookmarkStart w:id="1654" w:name="_Toc23463"/>
      <w:bookmarkStart w:id="1655" w:name="_Toc19366"/>
      <w:bookmarkStart w:id="1656" w:name="_Toc256000595"/>
      <w:bookmarkStart w:id="1657" w:name="_Toc256001329"/>
      <w:bookmarkStart w:id="1658" w:name="_Toc256000366"/>
      <w:bookmarkStart w:id="1659" w:name="_Toc256000862"/>
      <w:bookmarkStart w:id="1660" w:name="_Toc256000072"/>
      <w:bookmarkStart w:id="1661" w:name="_Toc69461186"/>
      <w:r>
        <w:rPr>
          <w:rStyle w:val="14"/>
          <w:rFonts w:ascii="宋体" w:hAnsi="宋体"/>
          <w:color w:val="auto"/>
          <w:kern w:val="2"/>
          <w:sz w:val="24"/>
          <w:szCs w:val="24"/>
          <w:highlight w:val="none"/>
        </w:rPr>
        <w:t>18.3 其他保险</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77273269">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关于其他保险的约定：</w:t>
      </w:r>
      <w:r>
        <w:rPr>
          <w:rStyle w:val="14"/>
          <w:rFonts w:ascii="宋体" w:hAnsi="宋体"/>
          <w:color w:val="auto"/>
          <w:sz w:val="24"/>
          <w:szCs w:val="24"/>
          <w:highlight w:val="none"/>
          <w:u w:val="single"/>
        </w:rPr>
        <w:t xml:space="preserve">  </w:t>
      </w:r>
      <w:r>
        <w:rPr>
          <w:rStyle w:val="14"/>
          <w:rFonts w:hint="eastAsia" w:ascii="宋体" w:hAnsi="宋体"/>
          <w:color w:val="auto"/>
          <w:kern w:val="2"/>
          <w:sz w:val="24"/>
          <w:szCs w:val="24"/>
          <w:highlight w:val="none"/>
          <w:u w:val="single"/>
        </w:rPr>
        <w:t>(1)承包人员工伤事故的保险：承包人应依照有关法律规定参加工伤保险，要求其履行合同所雇佣的全部人员参加工伤保险，缴纳工伤保险费，并要求其分包人也进行此项保险，费用含在投标报价中。</w:t>
      </w:r>
    </w:p>
    <w:p w14:paraId="5563AC14">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(2)人身意外伤害险：承包人应在整个施工期间为其现场机构雇佣的全部人员，投保人身意外伤害险，缴纳保险费，并要求其分包人也进行此项保险，费用含在投标报价中 。</w:t>
      </w:r>
    </w:p>
    <w:p w14:paraId="1684E04D">
      <w:pPr>
        <w:pStyle w:val="21"/>
        <w:spacing w:line="360" w:lineRule="auto"/>
        <w:ind w:firstLine="480" w:firstLineChars="200"/>
        <w:jc w:val="left"/>
        <w:rPr>
          <w:rStyle w:val="14"/>
          <w:rFonts w:ascii="宋体" w:hAnsi="宋体"/>
          <w:color w:val="auto"/>
          <w:kern w:val="2"/>
          <w:sz w:val="24"/>
          <w:szCs w:val="24"/>
          <w:highlight w:val="none"/>
          <w:u w:val="single"/>
        </w:rPr>
      </w:pPr>
      <w:r>
        <w:rPr>
          <w:rStyle w:val="14"/>
          <w:rFonts w:hint="eastAsia" w:ascii="宋体" w:hAnsi="宋体"/>
          <w:color w:val="auto"/>
          <w:kern w:val="2"/>
          <w:sz w:val="24"/>
          <w:szCs w:val="24"/>
          <w:highlight w:val="none"/>
          <w:u w:val="single"/>
        </w:rPr>
        <w:t>承包人是否应为其施工设备等办理财产保险：承包人应为其施工设备、进场的材料和工程设备等办理保险，费用含在投标报价中   。</w:t>
      </w:r>
    </w:p>
    <w:p w14:paraId="6A28EC9A">
      <w:pPr>
        <w:pStyle w:val="20"/>
        <w:spacing w:line="360" w:lineRule="auto"/>
        <w:ind w:firstLine="480" w:firstLineChars="200"/>
        <w:jc w:val="left"/>
        <w:rPr>
          <w:rStyle w:val="14"/>
          <w:rFonts w:ascii="宋体" w:hAnsi="宋体"/>
          <w:color w:val="auto"/>
          <w:kern w:val="2"/>
          <w:sz w:val="24"/>
          <w:szCs w:val="24"/>
          <w:highlight w:val="none"/>
          <w:u w:val="single"/>
        </w:rPr>
      </w:pPr>
    </w:p>
    <w:p w14:paraId="74ADC1BC">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18.7 通知义务</w:t>
      </w:r>
    </w:p>
    <w:p w14:paraId="720A1BC2">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sz w:val="24"/>
          <w:szCs w:val="24"/>
          <w:highlight w:val="none"/>
        </w:rPr>
        <w:t>关于变更保险合同时的通知义务的约定：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执行通用条款</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p>
    <w:bookmarkEnd w:id="1504"/>
    <w:bookmarkEnd w:id="1505"/>
    <w:bookmarkEnd w:id="1506"/>
    <w:bookmarkEnd w:id="1507"/>
    <w:bookmarkEnd w:id="1508"/>
    <w:bookmarkEnd w:id="1509"/>
    <w:bookmarkEnd w:id="1510"/>
    <w:bookmarkEnd w:id="1511"/>
    <w:bookmarkEnd w:id="1512"/>
    <w:bookmarkEnd w:id="1513"/>
    <w:bookmarkEnd w:id="1514"/>
    <w:bookmarkEnd w:id="1515"/>
    <w:p w14:paraId="668BE77B">
      <w:pPr>
        <w:pStyle w:val="22"/>
        <w:spacing w:before="120" w:after="120" w:line="360" w:lineRule="auto"/>
        <w:outlineLvl w:val="9"/>
        <w:rPr>
          <w:rStyle w:val="14"/>
          <w:rFonts w:ascii="宋体" w:hAnsi="宋体" w:eastAsia="宋体"/>
          <w:b w:val="0"/>
          <w:color w:val="auto"/>
          <w:sz w:val="24"/>
          <w:szCs w:val="24"/>
          <w:highlight w:val="none"/>
        </w:rPr>
      </w:pPr>
      <w:bookmarkStart w:id="1662" w:name="_Toc256000367"/>
      <w:bookmarkStart w:id="1663" w:name="_Toc351203651"/>
      <w:bookmarkStart w:id="1664" w:name="_Toc69461187"/>
      <w:bookmarkStart w:id="1665" w:name="_Toc256000863"/>
      <w:bookmarkStart w:id="1666" w:name="_Toc256001100"/>
      <w:bookmarkStart w:id="1667" w:name="_Toc69461842"/>
      <w:bookmarkStart w:id="1668" w:name="_Toc12994"/>
      <w:bookmarkStart w:id="1669" w:name="_Toc29687"/>
      <w:bookmarkStart w:id="1670" w:name="_Toc256001330"/>
      <w:bookmarkStart w:id="1671" w:name="_Toc256000596"/>
      <w:r>
        <w:rPr>
          <w:rStyle w:val="14"/>
          <w:rFonts w:ascii="宋体" w:hAnsi="宋体" w:eastAsia="宋体"/>
          <w:b w:val="0"/>
          <w:color w:val="auto"/>
          <w:sz w:val="24"/>
          <w:szCs w:val="24"/>
          <w:highlight w:val="none"/>
        </w:rPr>
        <w:t>20. 争议解决</w:t>
      </w:r>
      <w:bookmarkEnd w:id="1662"/>
      <w:bookmarkEnd w:id="1663"/>
      <w:bookmarkEnd w:id="1664"/>
      <w:bookmarkEnd w:id="1665"/>
      <w:bookmarkEnd w:id="1666"/>
      <w:bookmarkEnd w:id="1667"/>
      <w:bookmarkEnd w:id="1668"/>
      <w:bookmarkEnd w:id="1669"/>
      <w:bookmarkEnd w:id="1670"/>
      <w:bookmarkEnd w:id="1671"/>
    </w:p>
    <w:bookmarkEnd w:id="1516"/>
    <w:bookmarkEnd w:id="1517"/>
    <w:p w14:paraId="777E0187">
      <w:pPr>
        <w:pStyle w:val="20"/>
        <w:spacing w:after="120" w:line="360" w:lineRule="auto"/>
        <w:ind w:firstLine="480" w:firstLineChars="200"/>
        <w:outlineLvl w:val="9"/>
        <w:rPr>
          <w:rStyle w:val="14"/>
          <w:rFonts w:ascii="宋体" w:hAnsi="宋体"/>
          <w:color w:val="auto"/>
          <w:kern w:val="2"/>
          <w:sz w:val="24"/>
          <w:szCs w:val="24"/>
          <w:highlight w:val="none"/>
        </w:rPr>
      </w:pPr>
      <w:bookmarkStart w:id="1672" w:name="_Toc16036"/>
      <w:bookmarkStart w:id="1673" w:name="_Toc32586"/>
      <w:bookmarkStart w:id="1674" w:name="_Toc256000597"/>
      <w:bookmarkStart w:id="1675" w:name="_Toc69461188"/>
      <w:bookmarkStart w:id="1676" w:name="_Toc18398"/>
      <w:bookmarkStart w:id="1677" w:name="_Toc256001331"/>
      <w:bookmarkStart w:id="1678" w:name="_Toc256000368"/>
      <w:bookmarkStart w:id="1679" w:name="_Toc256000106"/>
      <w:bookmarkStart w:id="1680" w:name="_Toc256001101"/>
      <w:bookmarkStart w:id="1681" w:name="_Toc20836"/>
      <w:bookmarkStart w:id="1682" w:name="_Toc256000073"/>
      <w:bookmarkStart w:id="1683" w:name="_Toc69461843"/>
      <w:bookmarkStart w:id="1684" w:name="_Toc256000864"/>
      <w:r>
        <w:rPr>
          <w:rStyle w:val="14"/>
          <w:rFonts w:ascii="宋体" w:hAnsi="宋体"/>
          <w:color w:val="auto"/>
          <w:kern w:val="2"/>
          <w:sz w:val="24"/>
          <w:szCs w:val="24"/>
          <w:highlight w:val="none"/>
        </w:rPr>
        <w:t>20.3 争</w:t>
      </w:r>
      <w:bookmarkEnd w:id="1518"/>
      <w:r>
        <w:rPr>
          <w:rStyle w:val="14"/>
          <w:rFonts w:ascii="宋体" w:hAnsi="宋体"/>
          <w:color w:val="auto"/>
          <w:kern w:val="2"/>
          <w:sz w:val="24"/>
          <w:szCs w:val="24"/>
          <w:highlight w:val="none"/>
        </w:rPr>
        <w:t>议评审</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2309974E">
      <w:pPr>
        <w:pStyle w:val="20"/>
        <w:spacing w:line="360" w:lineRule="auto"/>
        <w:ind w:left="149" w:leftChars="71" w:firstLine="360" w:firstLineChars="15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合同当事人是否同意将工程争议提交争议评审小组决</w:t>
      </w:r>
      <w:r>
        <w:rPr>
          <w:rStyle w:val="14"/>
          <w:rFonts w:hint="eastAsia" w:ascii="宋体" w:hAnsi="宋体"/>
          <w:color w:val="auto"/>
          <w:kern w:val="2"/>
          <w:sz w:val="24"/>
          <w:szCs w:val="24"/>
          <w:highlight w:val="none"/>
        </w:rPr>
        <w:t>定：</w:t>
      </w:r>
      <w:r>
        <w:rPr>
          <w:rStyle w:val="14"/>
          <w:rFonts w:hint="eastAsia" w:ascii="宋体" w:hAnsi="宋体"/>
          <w:color w:val="auto"/>
          <w:kern w:val="2"/>
          <w:sz w:val="24"/>
          <w:szCs w:val="24"/>
          <w:highlight w:val="none"/>
          <w:u w:val="single"/>
        </w:rPr>
        <w:t xml:space="preserve">    </w:t>
      </w:r>
    </w:p>
    <w:p w14:paraId="339CC2B8">
      <w:pPr>
        <w:pStyle w:val="20"/>
        <w:spacing w:line="360" w:lineRule="auto"/>
        <w:jc w:val="left"/>
        <w:rPr>
          <w:rStyle w:val="14"/>
          <w:rFonts w:ascii="宋体" w:hAnsi="宋体"/>
          <w:color w:val="auto"/>
          <w:kern w:val="2"/>
          <w:sz w:val="24"/>
          <w:szCs w:val="24"/>
          <w:highlight w:val="none"/>
        </w:rPr>
      </w:pPr>
      <w:r>
        <w:rPr>
          <w:rStyle w:val="14"/>
          <w:rFonts w:hint="eastAsia"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rPr>
        <w:t xml:space="preserve">。  </w:t>
      </w:r>
    </w:p>
    <w:p w14:paraId="08D78CCF">
      <w:pPr>
        <w:pStyle w:val="20"/>
        <w:spacing w:line="360" w:lineRule="auto"/>
        <w:ind w:firstLine="480" w:firstLineChars="200"/>
        <w:jc w:val="left"/>
        <w:outlineLvl w:val="9"/>
        <w:rPr>
          <w:rStyle w:val="14"/>
          <w:rFonts w:ascii="宋体" w:hAnsi="宋体"/>
          <w:color w:val="auto"/>
          <w:kern w:val="2"/>
          <w:sz w:val="24"/>
          <w:szCs w:val="24"/>
          <w:highlight w:val="none"/>
        </w:rPr>
      </w:pPr>
      <w:bookmarkStart w:id="1685" w:name="_Toc256000865"/>
      <w:bookmarkStart w:id="1686" w:name="_Toc31093"/>
      <w:bookmarkStart w:id="1687" w:name="_Toc12880"/>
      <w:bookmarkStart w:id="1688" w:name="_Toc256001102"/>
      <w:bookmarkStart w:id="1689" w:name="_Toc13518"/>
      <w:bookmarkStart w:id="1690" w:name="_Toc256001332"/>
      <w:bookmarkStart w:id="1691" w:name="_Toc256000074"/>
      <w:bookmarkStart w:id="1692" w:name="_Toc69461844"/>
      <w:bookmarkStart w:id="1693" w:name="_Toc256000107"/>
      <w:bookmarkStart w:id="1694" w:name="_Toc256000598"/>
      <w:bookmarkStart w:id="1695" w:name="_Toc31833"/>
      <w:bookmarkStart w:id="1696" w:name="_Toc69461189"/>
      <w:bookmarkStart w:id="1697" w:name="_Toc256000369"/>
      <w:r>
        <w:rPr>
          <w:rStyle w:val="14"/>
          <w:rFonts w:ascii="宋体" w:hAnsi="宋体"/>
          <w:color w:val="auto"/>
          <w:kern w:val="2"/>
          <w:sz w:val="24"/>
          <w:szCs w:val="24"/>
          <w:highlight w:val="none"/>
        </w:rPr>
        <w:t>20.3.1 争议评审小组的确定</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556EED79">
      <w:pPr>
        <w:pStyle w:val="20"/>
        <w:spacing w:line="360" w:lineRule="auto"/>
        <w:ind w:firstLine="480" w:firstLineChars="200"/>
        <w:jc w:val="left"/>
        <w:rPr>
          <w:rStyle w:val="14"/>
          <w:rFonts w:ascii="宋体" w:hAnsi="宋体"/>
          <w:color w:val="auto"/>
          <w:kern w:val="2"/>
          <w:sz w:val="24"/>
          <w:szCs w:val="24"/>
          <w:highlight w:val="none"/>
          <w:u w:val="single"/>
        </w:rPr>
      </w:pPr>
      <w:r>
        <w:rPr>
          <w:rStyle w:val="14"/>
          <w:rFonts w:ascii="宋体" w:hAnsi="宋体"/>
          <w:color w:val="auto"/>
          <w:kern w:val="2"/>
          <w:sz w:val="24"/>
          <w:szCs w:val="24"/>
          <w:highlight w:val="none"/>
        </w:rPr>
        <w:t>争议评审小组成员的确定：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5FD3E667">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选定争议评审员的期限：</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175BA832">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争议评审小组成员的报酬承担方式：</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76053279">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其他事项的约定：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379E23A0">
      <w:pPr>
        <w:pStyle w:val="20"/>
        <w:autoSpaceDE w:val="0"/>
        <w:autoSpaceDN w:val="0"/>
        <w:adjustRightInd w:val="0"/>
        <w:spacing w:line="360" w:lineRule="auto"/>
        <w:ind w:firstLine="480" w:firstLineChars="200"/>
        <w:jc w:val="left"/>
        <w:outlineLvl w:val="9"/>
        <w:rPr>
          <w:rStyle w:val="14"/>
          <w:rFonts w:ascii="宋体" w:hAnsi="宋体"/>
          <w:color w:val="auto"/>
          <w:sz w:val="24"/>
          <w:szCs w:val="24"/>
          <w:highlight w:val="none"/>
        </w:rPr>
      </w:pPr>
      <w:bookmarkStart w:id="1698" w:name="_Toc256000370"/>
      <w:bookmarkStart w:id="1699" w:name="_Toc69461190"/>
      <w:bookmarkStart w:id="1700" w:name="_Toc256000599"/>
      <w:bookmarkStart w:id="1701" w:name="_Toc256000866"/>
      <w:bookmarkStart w:id="1702" w:name="_Toc12219"/>
      <w:bookmarkStart w:id="1703" w:name="_Toc69461845"/>
      <w:bookmarkStart w:id="1704" w:name="_Toc256000075"/>
      <w:bookmarkStart w:id="1705" w:name="_Toc23311"/>
      <w:bookmarkStart w:id="1706" w:name="_Toc22039"/>
      <w:bookmarkStart w:id="1707" w:name="_Toc256000108"/>
      <w:bookmarkStart w:id="1708" w:name="_Toc256001103"/>
      <w:bookmarkStart w:id="1709" w:name="_Toc256001333"/>
      <w:bookmarkStart w:id="1710" w:name="_Toc4602"/>
      <w:r>
        <w:rPr>
          <w:rStyle w:val="14"/>
          <w:rFonts w:ascii="宋体" w:hAnsi="宋体"/>
          <w:color w:val="auto"/>
          <w:sz w:val="24"/>
          <w:szCs w:val="24"/>
          <w:highlight w:val="none"/>
        </w:rPr>
        <w:t>20.3.2 争议评审小组的决定</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46727401">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合同当事人关于本项的约定：</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w:t>
      </w:r>
    </w:p>
    <w:p w14:paraId="0EBAEE09">
      <w:pPr>
        <w:pStyle w:val="20"/>
        <w:spacing w:after="120" w:line="360" w:lineRule="auto"/>
        <w:ind w:firstLine="480" w:firstLineChars="200"/>
        <w:outlineLvl w:val="9"/>
        <w:rPr>
          <w:rStyle w:val="14"/>
          <w:rFonts w:ascii="宋体" w:hAnsi="宋体"/>
          <w:color w:val="auto"/>
          <w:kern w:val="2"/>
          <w:sz w:val="24"/>
          <w:szCs w:val="24"/>
          <w:highlight w:val="none"/>
        </w:rPr>
      </w:pPr>
      <w:bookmarkStart w:id="1711" w:name="_Toc256000600"/>
      <w:bookmarkStart w:id="1712" w:name="_Toc25005"/>
      <w:bookmarkStart w:id="1713" w:name="_Toc13535"/>
      <w:bookmarkStart w:id="1714" w:name="_Toc69461191"/>
      <w:bookmarkStart w:id="1715" w:name="_Toc256001334"/>
      <w:bookmarkStart w:id="1716" w:name="_Toc256000371"/>
      <w:bookmarkStart w:id="1717" w:name="_Toc256000867"/>
      <w:bookmarkStart w:id="1718" w:name="_Toc256000076"/>
      <w:bookmarkStart w:id="1719" w:name="_Toc256001104"/>
      <w:bookmarkStart w:id="1720" w:name="_Toc69461846"/>
      <w:bookmarkStart w:id="1721" w:name="_Toc11928"/>
      <w:bookmarkStart w:id="1722" w:name="_Toc256000109"/>
      <w:bookmarkStart w:id="1723" w:name="_Toc2946"/>
      <w:r>
        <w:rPr>
          <w:rStyle w:val="14"/>
          <w:rFonts w:ascii="宋体" w:hAnsi="宋体"/>
          <w:color w:val="auto"/>
          <w:kern w:val="2"/>
          <w:sz w:val="24"/>
          <w:szCs w:val="24"/>
          <w:highlight w:val="none"/>
        </w:rPr>
        <w:t>20.4仲裁或诉讼</w:t>
      </w:r>
      <w:bookmarkEnd w:id="1519"/>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3805E1A4">
      <w:pPr>
        <w:pStyle w:val="20"/>
        <w:spacing w:after="120" w:line="360" w:lineRule="auto"/>
        <w:ind w:firstLine="480" w:firstLineChars="200"/>
        <w:rPr>
          <w:rStyle w:val="14"/>
          <w:rFonts w:ascii="宋体" w:hAnsi="宋体"/>
          <w:color w:val="auto"/>
          <w:kern w:val="2"/>
          <w:sz w:val="24"/>
          <w:szCs w:val="24"/>
          <w:highlight w:val="none"/>
        </w:rPr>
      </w:pPr>
      <w:r>
        <w:rPr>
          <w:rStyle w:val="14"/>
          <w:rFonts w:ascii="宋体" w:hAnsi="宋体"/>
          <w:color w:val="auto"/>
          <w:kern w:val="2"/>
          <w:sz w:val="24"/>
          <w:szCs w:val="24"/>
          <w:highlight w:val="none"/>
        </w:rPr>
        <w:t>因合同及合同有关事项发生的争议，按下列第</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（2）</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种方式</w:t>
      </w:r>
      <w:r>
        <w:rPr>
          <w:rStyle w:val="14"/>
          <w:rFonts w:hint="eastAsia" w:ascii="宋体" w:hAnsi="宋体"/>
          <w:color w:val="auto"/>
          <w:kern w:val="2"/>
          <w:sz w:val="24"/>
          <w:szCs w:val="24"/>
          <w:highlight w:val="none"/>
        </w:rPr>
        <w:t>解</w:t>
      </w:r>
      <w:r>
        <w:rPr>
          <w:rStyle w:val="14"/>
          <w:rFonts w:ascii="宋体" w:hAnsi="宋体"/>
          <w:color w:val="auto"/>
          <w:kern w:val="2"/>
          <w:sz w:val="24"/>
          <w:szCs w:val="24"/>
          <w:highlight w:val="none"/>
        </w:rPr>
        <w:t>决：</w:t>
      </w:r>
    </w:p>
    <w:p w14:paraId="739721B0">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（1）向</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仲裁委员会申请仲裁；</w:t>
      </w:r>
    </w:p>
    <w:p w14:paraId="5313E93D">
      <w:pPr>
        <w:pStyle w:val="20"/>
        <w:spacing w:line="360" w:lineRule="auto"/>
        <w:ind w:firstLine="480" w:firstLineChars="200"/>
        <w:jc w:val="left"/>
        <w:rPr>
          <w:rStyle w:val="14"/>
          <w:rFonts w:ascii="宋体" w:hAnsi="宋体"/>
          <w:color w:val="auto"/>
          <w:kern w:val="2"/>
          <w:sz w:val="24"/>
          <w:szCs w:val="24"/>
          <w:highlight w:val="none"/>
        </w:rPr>
      </w:pPr>
      <w:r>
        <w:rPr>
          <w:rStyle w:val="14"/>
          <w:rFonts w:ascii="宋体" w:hAnsi="宋体"/>
          <w:color w:val="auto"/>
          <w:kern w:val="2"/>
          <w:sz w:val="24"/>
          <w:szCs w:val="24"/>
          <w:highlight w:val="none"/>
        </w:rPr>
        <w:t>（2）向</w:t>
      </w:r>
      <w:r>
        <w:rPr>
          <w:rStyle w:val="14"/>
          <w:rFonts w:ascii="宋体" w:hAnsi="宋体"/>
          <w:color w:val="auto"/>
          <w:kern w:val="2"/>
          <w:sz w:val="24"/>
          <w:szCs w:val="24"/>
          <w:highlight w:val="none"/>
          <w:u w:val="single"/>
        </w:rPr>
        <w:t xml:space="preserve">           </w:t>
      </w:r>
      <w:r>
        <w:rPr>
          <w:rStyle w:val="14"/>
          <w:rFonts w:hint="eastAsia" w:ascii="宋体" w:hAnsi="宋体"/>
          <w:color w:val="auto"/>
          <w:kern w:val="2"/>
          <w:sz w:val="24"/>
          <w:szCs w:val="24"/>
          <w:highlight w:val="none"/>
          <w:u w:val="single"/>
        </w:rPr>
        <w:t xml:space="preserve">工程所在地 </w:t>
      </w:r>
      <w:r>
        <w:rPr>
          <w:rStyle w:val="14"/>
          <w:rFonts w:ascii="宋体" w:hAnsi="宋体"/>
          <w:color w:val="auto"/>
          <w:kern w:val="2"/>
          <w:sz w:val="24"/>
          <w:szCs w:val="24"/>
          <w:highlight w:val="none"/>
          <w:u w:val="single"/>
        </w:rPr>
        <w:t xml:space="preserve">          </w:t>
      </w:r>
      <w:r>
        <w:rPr>
          <w:rStyle w:val="14"/>
          <w:rFonts w:ascii="宋体" w:hAnsi="宋体"/>
          <w:color w:val="auto"/>
          <w:kern w:val="2"/>
          <w:sz w:val="24"/>
          <w:szCs w:val="24"/>
          <w:highlight w:val="none"/>
        </w:rPr>
        <w:t>人民法院起诉。</w:t>
      </w:r>
      <w:bookmarkEnd w:id="1520"/>
      <w:bookmarkEnd w:id="1521"/>
      <w:bookmarkEnd w:id="1522"/>
      <w:bookmarkEnd w:id="1523"/>
      <w:bookmarkEnd w:id="1524"/>
      <w:bookmarkEnd w:id="1525"/>
    </w:p>
    <w:p w14:paraId="1C760915">
      <w:pPr>
        <w:spacing w:line="221" w:lineRule="auto"/>
        <w:rPr>
          <w:rFonts w:ascii="宋体" w:hAnsi="宋体" w:eastAsia="宋体" w:cs="宋体"/>
          <w:color w:val="auto"/>
          <w:sz w:val="21"/>
          <w:szCs w:val="21"/>
          <w:highlight w:val="none"/>
        </w:rPr>
        <w:sectPr>
          <w:headerReference r:id="rId95" w:type="default"/>
          <w:footerReference r:id="rId96" w:type="default"/>
          <w:pgSz w:w="11905" w:h="16839"/>
          <w:pgMar w:top="400" w:right="1785" w:bottom="1004" w:left="1785" w:header="0" w:footer="828" w:gutter="0"/>
          <w:pgNumType w:fmt="decimal"/>
          <w:cols w:space="720" w:num="1"/>
        </w:sectPr>
      </w:pPr>
    </w:p>
    <w:p w14:paraId="7FA5BF88">
      <w:pPr>
        <w:pStyle w:val="5"/>
        <w:spacing w:line="269" w:lineRule="auto"/>
        <w:rPr>
          <w:color w:val="auto"/>
          <w:highlight w:val="none"/>
        </w:rPr>
      </w:pPr>
    </w:p>
    <w:p w14:paraId="607762BD">
      <w:pPr>
        <w:pStyle w:val="5"/>
        <w:spacing w:line="270" w:lineRule="auto"/>
        <w:rPr>
          <w:color w:val="auto"/>
          <w:highlight w:val="none"/>
        </w:rPr>
      </w:pPr>
    </w:p>
    <w:p w14:paraId="60EB8406">
      <w:pPr>
        <w:pStyle w:val="5"/>
        <w:spacing w:line="270" w:lineRule="auto"/>
        <w:rPr>
          <w:color w:val="auto"/>
          <w:highlight w:val="none"/>
        </w:rPr>
      </w:pPr>
    </w:p>
    <w:p w14:paraId="61233711">
      <w:pPr>
        <w:pStyle w:val="5"/>
        <w:spacing w:line="270" w:lineRule="auto"/>
        <w:rPr>
          <w:color w:val="auto"/>
          <w:highlight w:val="none"/>
        </w:rPr>
      </w:pPr>
    </w:p>
    <w:p w14:paraId="5676A413">
      <w:pPr>
        <w:pStyle w:val="5"/>
        <w:spacing w:line="270" w:lineRule="auto"/>
        <w:rPr>
          <w:color w:val="auto"/>
          <w:highlight w:val="none"/>
        </w:rPr>
      </w:pPr>
    </w:p>
    <w:p w14:paraId="50603B7F">
      <w:pPr>
        <w:spacing w:before="87" w:line="227" w:lineRule="auto"/>
        <w:ind w:left="36"/>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14:textOutline w14:w="5050" w14:cap="flat" w14:cmpd="sng">
            <w14:solidFill>
              <w14:srgbClr w14:val="000000"/>
            </w14:solidFill>
            <w14:prstDash w14:val="solid"/>
            <w14:miter w14:val="0"/>
          </w14:textOutline>
        </w:rPr>
        <w:t>附件</w:t>
      </w:r>
    </w:p>
    <w:p w14:paraId="26E093A9">
      <w:pPr>
        <w:spacing w:before="12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协议书附件：</w:t>
      </w:r>
    </w:p>
    <w:p w14:paraId="6BEC1E49">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：承包人承揽工程项目一览表</w:t>
      </w:r>
    </w:p>
    <w:p w14:paraId="726950C4">
      <w:pPr>
        <w:pStyle w:val="5"/>
        <w:rPr>
          <w:color w:val="auto"/>
          <w:highlight w:val="none"/>
        </w:rPr>
      </w:pPr>
    </w:p>
    <w:p w14:paraId="691EE2F1">
      <w:pPr>
        <w:pStyle w:val="5"/>
        <w:rPr>
          <w:color w:val="auto"/>
          <w:highlight w:val="none"/>
        </w:rPr>
      </w:pPr>
    </w:p>
    <w:p w14:paraId="7C8CA335">
      <w:pPr>
        <w:spacing w:before="68" w:line="220"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专用合同条款附件：</w:t>
      </w:r>
    </w:p>
    <w:p w14:paraId="4FB50047">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：发包人供应材料设备一览表</w:t>
      </w:r>
    </w:p>
    <w:p w14:paraId="488AAA0C">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：工程质量保修书</w:t>
      </w:r>
    </w:p>
    <w:p w14:paraId="30DFDFC3">
      <w:pPr>
        <w:spacing w:before="149" w:line="220"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附件</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：主要建设工程文件目录</w:t>
      </w:r>
    </w:p>
    <w:p w14:paraId="01E8106D">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5</w:t>
      </w:r>
      <w:r>
        <w:rPr>
          <w:rFonts w:ascii="宋体" w:hAnsi="宋体" w:eastAsia="宋体" w:cs="宋体"/>
          <w:color w:val="auto"/>
          <w:spacing w:val="-2"/>
          <w:position w:val="14"/>
          <w:sz w:val="21"/>
          <w:szCs w:val="21"/>
          <w:highlight w:val="none"/>
        </w:rPr>
        <w:t>：承包人用于本工程施工的机械设备表</w:t>
      </w:r>
    </w:p>
    <w:p w14:paraId="660F0187">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：承包人主要施工管理人员表</w:t>
      </w:r>
    </w:p>
    <w:p w14:paraId="69E2E43F">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：分包人主要施工管理人员表</w:t>
      </w:r>
    </w:p>
    <w:p w14:paraId="0583B978">
      <w:pPr>
        <w:spacing w:before="149" w:line="220"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：履约担保格式</w:t>
      </w:r>
    </w:p>
    <w:p w14:paraId="68E1DC6E">
      <w:pPr>
        <w:spacing w:before="153" w:line="398" w:lineRule="exact"/>
        <w:ind w:left="45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附件</w:t>
      </w:r>
      <w:r>
        <w:rPr>
          <w:rFonts w:ascii="宋体" w:hAnsi="宋体" w:eastAsia="宋体" w:cs="宋体"/>
          <w:color w:val="auto"/>
          <w:spacing w:val="-34"/>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9</w:t>
      </w:r>
      <w:r>
        <w:rPr>
          <w:rFonts w:ascii="宋体" w:hAnsi="宋体" w:eastAsia="宋体" w:cs="宋体"/>
          <w:color w:val="auto"/>
          <w:spacing w:val="-4"/>
          <w:position w:val="14"/>
          <w:sz w:val="21"/>
          <w:szCs w:val="21"/>
          <w:highlight w:val="none"/>
        </w:rPr>
        <w:t>：预付款担保格式</w:t>
      </w:r>
    </w:p>
    <w:p w14:paraId="49385527">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10</w:t>
      </w:r>
      <w:r>
        <w:rPr>
          <w:rFonts w:ascii="宋体" w:hAnsi="宋体" w:eastAsia="宋体" w:cs="宋体"/>
          <w:color w:val="auto"/>
          <w:spacing w:val="-4"/>
          <w:sz w:val="21"/>
          <w:szCs w:val="21"/>
          <w:highlight w:val="none"/>
        </w:rPr>
        <w:t>：支付担保格式</w:t>
      </w:r>
    </w:p>
    <w:p w14:paraId="1A16CAFC">
      <w:pPr>
        <w:spacing w:before="149" w:line="219" w:lineRule="auto"/>
        <w:ind w:left="45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附件</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5"/>
          <w:sz w:val="21"/>
          <w:szCs w:val="21"/>
          <w:highlight w:val="none"/>
        </w:rPr>
        <w:t>11</w:t>
      </w:r>
      <w:r>
        <w:rPr>
          <w:rFonts w:ascii="宋体" w:hAnsi="宋体" w:eastAsia="宋体" w:cs="宋体"/>
          <w:color w:val="auto"/>
          <w:spacing w:val="-5"/>
          <w:sz w:val="21"/>
          <w:szCs w:val="21"/>
          <w:highlight w:val="none"/>
        </w:rPr>
        <w:t>：暂估价一览表</w:t>
      </w:r>
    </w:p>
    <w:p w14:paraId="3C79300B">
      <w:pPr>
        <w:spacing w:line="219" w:lineRule="auto"/>
        <w:rPr>
          <w:rFonts w:ascii="宋体" w:hAnsi="宋体" w:eastAsia="宋体" w:cs="宋体"/>
          <w:color w:val="auto"/>
          <w:sz w:val="21"/>
          <w:szCs w:val="21"/>
          <w:highlight w:val="none"/>
        </w:rPr>
        <w:sectPr>
          <w:footerReference r:id="rId97" w:type="default"/>
          <w:pgSz w:w="11905" w:h="16839"/>
          <w:pgMar w:top="400" w:right="1785" w:bottom="1004" w:left="1785" w:header="0" w:footer="828" w:gutter="0"/>
          <w:pgNumType w:fmt="decimal"/>
          <w:cols w:space="720" w:num="1"/>
        </w:sectPr>
      </w:pPr>
    </w:p>
    <w:p w14:paraId="05E1A9E6">
      <w:pPr>
        <w:pStyle w:val="5"/>
        <w:spacing w:line="276" w:lineRule="auto"/>
        <w:rPr>
          <w:color w:val="auto"/>
          <w:highlight w:val="none"/>
        </w:rPr>
      </w:pPr>
    </w:p>
    <w:p w14:paraId="071B3F27">
      <w:pPr>
        <w:pStyle w:val="5"/>
        <w:spacing w:line="276" w:lineRule="auto"/>
        <w:rPr>
          <w:color w:val="auto"/>
          <w:highlight w:val="none"/>
        </w:rPr>
      </w:pPr>
    </w:p>
    <w:p w14:paraId="1724BD40">
      <w:pPr>
        <w:pStyle w:val="5"/>
        <w:spacing w:line="276" w:lineRule="auto"/>
        <w:rPr>
          <w:color w:val="auto"/>
          <w:highlight w:val="none"/>
        </w:rPr>
      </w:pPr>
    </w:p>
    <w:p w14:paraId="0AA0BFE4">
      <w:pPr>
        <w:pStyle w:val="5"/>
        <w:spacing w:line="276" w:lineRule="auto"/>
        <w:rPr>
          <w:color w:val="auto"/>
          <w:highlight w:val="none"/>
        </w:rPr>
      </w:pPr>
    </w:p>
    <w:p w14:paraId="02472620">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附件</w:t>
      </w:r>
      <w:r>
        <w:rPr>
          <w:rFonts w:ascii="宋体" w:hAnsi="宋体" w:eastAsia="宋体" w:cs="宋体"/>
          <w:color w:val="auto"/>
          <w:spacing w:val="-31"/>
          <w:sz w:val="24"/>
          <w:szCs w:val="24"/>
          <w:highlight w:val="none"/>
        </w:rPr>
        <w:t xml:space="preserve"> </w:t>
      </w:r>
      <w:r>
        <w:rPr>
          <w:rFonts w:ascii="Times New Roman" w:hAnsi="Times New Roman" w:eastAsia="Times New Roman" w:cs="Times New Roman"/>
          <w:color w:val="auto"/>
          <w:spacing w:val="-15"/>
          <w:sz w:val="24"/>
          <w:szCs w:val="24"/>
          <w:highlight w:val="none"/>
        </w:rPr>
        <w:t>1</w:t>
      </w:r>
      <w:r>
        <w:rPr>
          <w:rFonts w:ascii="宋体" w:hAnsi="宋体" w:eastAsia="宋体" w:cs="宋体"/>
          <w:color w:val="auto"/>
          <w:spacing w:val="-15"/>
          <w:sz w:val="24"/>
          <w:szCs w:val="24"/>
          <w:highlight w:val="none"/>
        </w:rPr>
        <w:t>：</w:t>
      </w:r>
    </w:p>
    <w:p w14:paraId="33B55D54">
      <w:pPr>
        <w:spacing w:before="243" w:line="225" w:lineRule="auto"/>
        <w:ind w:left="2497"/>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承包人承揽工程项目一览表</w:t>
      </w:r>
    </w:p>
    <w:p w14:paraId="5DAFC17B">
      <w:pPr>
        <w:spacing w:line="112" w:lineRule="exact"/>
        <w:rPr>
          <w:color w:val="auto"/>
          <w:highlight w:val="none"/>
        </w:rPr>
      </w:pPr>
    </w:p>
    <w:tbl>
      <w:tblPr>
        <w:tblStyle w:val="17"/>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7C596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02C18DF2">
            <w:pPr>
              <w:spacing w:line="274" w:lineRule="auto"/>
              <w:rPr>
                <w:rFonts w:ascii="Arial"/>
                <w:color w:val="auto"/>
                <w:sz w:val="21"/>
                <w:highlight w:val="none"/>
              </w:rPr>
            </w:pPr>
          </w:p>
          <w:p w14:paraId="72FF1581">
            <w:pPr>
              <w:spacing w:line="274" w:lineRule="auto"/>
              <w:rPr>
                <w:rFonts w:ascii="Arial"/>
                <w:color w:val="auto"/>
                <w:sz w:val="21"/>
                <w:highlight w:val="none"/>
              </w:rPr>
            </w:pPr>
          </w:p>
          <w:p w14:paraId="63D88C5A">
            <w:pPr>
              <w:pStyle w:val="18"/>
              <w:spacing w:before="68" w:line="442" w:lineRule="exact"/>
              <w:ind w:left="359"/>
              <w:rPr>
                <w:color w:val="auto"/>
                <w:highlight w:val="none"/>
              </w:rPr>
            </w:pPr>
            <w:r>
              <w:rPr>
                <w:color w:val="auto"/>
                <w:spacing w:val="-1"/>
                <w:position w:val="17"/>
                <w:highlight w:val="none"/>
              </w:rPr>
              <w:t>单位工程</w:t>
            </w:r>
          </w:p>
          <w:p w14:paraId="3CDB8325">
            <w:pPr>
              <w:pStyle w:val="18"/>
              <w:spacing w:line="222" w:lineRule="auto"/>
              <w:ind w:left="571"/>
              <w:rPr>
                <w:color w:val="auto"/>
                <w:highlight w:val="none"/>
              </w:rPr>
            </w:pPr>
            <w:r>
              <w:rPr>
                <w:color w:val="auto"/>
                <w:spacing w:val="-3"/>
                <w:highlight w:val="none"/>
              </w:rPr>
              <w:t>名称</w:t>
            </w:r>
          </w:p>
        </w:tc>
        <w:tc>
          <w:tcPr>
            <w:tcW w:w="708" w:type="dxa"/>
            <w:tcBorders>
              <w:top w:val="single" w:color="000000" w:sz="10" w:space="0"/>
            </w:tcBorders>
            <w:vAlign w:val="top"/>
          </w:tcPr>
          <w:p w14:paraId="1A685819">
            <w:pPr>
              <w:spacing w:line="274" w:lineRule="auto"/>
              <w:rPr>
                <w:rFonts w:ascii="Arial"/>
                <w:color w:val="auto"/>
                <w:sz w:val="21"/>
                <w:highlight w:val="none"/>
              </w:rPr>
            </w:pPr>
          </w:p>
          <w:p w14:paraId="12A042A9">
            <w:pPr>
              <w:spacing w:line="274" w:lineRule="auto"/>
              <w:rPr>
                <w:rFonts w:ascii="Arial"/>
                <w:color w:val="auto"/>
                <w:sz w:val="21"/>
                <w:highlight w:val="none"/>
              </w:rPr>
            </w:pPr>
          </w:p>
          <w:p w14:paraId="7692039B">
            <w:pPr>
              <w:pStyle w:val="18"/>
              <w:spacing w:before="68" w:line="442" w:lineRule="exact"/>
              <w:ind w:left="144"/>
              <w:rPr>
                <w:color w:val="auto"/>
                <w:highlight w:val="none"/>
              </w:rPr>
            </w:pPr>
            <w:r>
              <w:rPr>
                <w:color w:val="auto"/>
                <w:spacing w:val="-3"/>
                <w:position w:val="17"/>
                <w:highlight w:val="none"/>
              </w:rPr>
              <w:t>建设</w:t>
            </w:r>
          </w:p>
          <w:p w14:paraId="7E86EECC">
            <w:pPr>
              <w:pStyle w:val="18"/>
              <w:spacing w:line="220" w:lineRule="auto"/>
              <w:ind w:left="142"/>
              <w:rPr>
                <w:color w:val="auto"/>
                <w:highlight w:val="none"/>
              </w:rPr>
            </w:pPr>
            <w:r>
              <w:rPr>
                <w:color w:val="auto"/>
                <w:spacing w:val="-2"/>
                <w:highlight w:val="none"/>
              </w:rPr>
              <w:t>规模</w:t>
            </w:r>
          </w:p>
        </w:tc>
        <w:tc>
          <w:tcPr>
            <w:tcW w:w="1106" w:type="dxa"/>
            <w:tcBorders>
              <w:top w:val="single" w:color="000000" w:sz="10" w:space="0"/>
            </w:tcBorders>
            <w:vAlign w:val="top"/>
          </w:tcPr>
          <w:p w14:paraId="04DCF581">
            <w:pPr>
              <w:spacing w:line="329" w:lineRule="auto"/>
              <w:rPr>
                <w:rFonts w:ascii="Arial"/>
                <w:color w:val="auto"/>
                <w:sz w:val="21"/>
                <w:highlight w:val="none"/>
              </w:rPr>
            </w:pPr>
          </w:p>
          <w:p w14:paraId="038C9C19">
            <w:pPr>
              <w:pStyle w:val="18"/>
              <w:spacing w:before="68" w:line="221" w:lineRule="auto"/>
              <w:ind w:left="137"/>
              <w:rPr>
                <w:color w:val="auto"/>
                <w:highlight w:val="none"/>
              </w:rPr>
            </w:pPr>
            <w:r>
              <w:rPr>
                <w:color w:val="auto"/>
                <w:spacing w:val="-2"/>
                <w:highlight w:val="none"/>
              </w:rPr>
              <w:t>建筑面积</w:t>
            </w:r>
          </w:p>
          <w:p w14:paraId="093BC9E6">
            <w:pPr>
              <w:pStyle w:val="18"/>
              <w:spacing w:before="189" w:line="437" w:lineRule="exact"/>
              <w:ind w:left="247"/>
              <w:rPr>
                <w:color w:val="auto"/>
                <w:highlight w:val="none"/>
              </w:rPr>
            </w:pPr>
            <w:r>
              <w:rPr>
                <w:color w:val="auto"/>
                <w:spacing w:val="-4"/>
                <w:position w:val="17"/>
                <w:highlight w:val="none"/>
              </w:rPr>
              <w:t>（平方</w:t>
            </w:r>
          </w:p>
          <w:p w14:paraId="60C1E6B7">
            <w:pPr>
              <w:pStyle w:val="18"/>
              <w:spacing w:line="220" w:lineRule="auto"/>
              <w:ind w:left="346"/>
              <w:rPr>
                <w:color w:val="auto"/>
                <w:highlight w:val="none"/>
              </w:rPr>
            </w:pPr>
            <w:r>
              <w:rPr>
                <w:color w:val="auto"/>
                <w:spacing w:val="-4"/>
                <w:highlight w:val="none"/>
              </w:rPr>
              <w:t>米）</w:t>
            </w:r>
          </w:p>
        </w:tc>
        <w:tc>
          <w:tcPr>
            <w:tcW w:w="732" w:type="dxa"/>
            <w:tcBorders>
              <w:top w:val="single" w:color="000000" w:sz="10" w:space="0"/>
            </w:tcBorders>
            <w:vAlign w:val="top"/>
          </w:tcPr>
          <w:p w14:paraId="5C73A897">
            <w:pPr>
              <w:spacing w:line="274" w:lineRule="auto"/>
              <w:rPr>
                <w:rFonts w:ascii="Arial"/>
                <w:color w:val="auto"/>
                <w:sz w:val="21"/>
                <w:highlight w:val="none"/>
              </w:rPr>
            </w:pPr>
          </w:p>
          <w:p w14:paraId="08C2F63F">
            <w:pPr>
              <w:spacing w:line="274" w:lineRule="auto"/>
              <w:rPr>
                <w:rFonts w:ascii="Arial"/>
                <w:color w:val="auto"/>
                <w:sz w:val="21"/>
                <w:highlight w:val="none"/>
              </w:rPr>
            </w:pPr>
          </w:p>
          <w:p w14:paraId="42152AA7">
            <w:pPr>
              <w:pStyle w:val="18"/>
              <w:spacing w:before="68" w:line="442" w:lineRule="exact"/>
              <w:ind w:left="167"/>
              <w:rPr>
                <w:color w:val="auto"/>
                <w:highlight w:val="none"/>
              </w:rPr>
            </w:pPr>
            <w:r>
              <w:rPr>
                <w:color w:val="auto"/>
                <w:spacing w:val="-3"/>
                <w:position w:val="17"/>
                <w:highlight w:val="none"/>
              </w:rPr>
              <w:t>结构</w:t>
            </w:r>
          </w:p>
          <w:p w14:paraId="2C7DABE9">
            <w:pPr>
              <w:pStyle w:val="18"/>
              <w:spacing w:line="222" w:lineRule="auto"/>
              <w:ind w:left="164"/>
              <w:rPr>
                <w:color w:val="auto"/>
                <w:highlight w:val="none"/>
              </w:rPr>
            </w:pPr>
            <w:r>
              <w:rPr>
                <w:color w:val="auto"/>
                <w:spacing w:val="-3"/>
                <w:highlight w:val="none"/>
              </w:rPr>
              <w:t>形式</w:t>
            </w:r>
          </w:p>
        </w:tc>
        <w:tc>
          <w:tcPr>
            <w:tcW w:w="565" w:type="dxa"/>
            <w:tcBorders>
              <w:top w:val="single" w:color="000000" w:sz="10" w:space="0"/>
            </w:tcBorders>
            <w:textDirection w:val="tbRlV"/>
            <w:vAlign w:val="top"/>
          </w:tcPr>
          <w:p w14:paraId="43A35C35">
            <w:pPr>
              <w:pStyle w:val="18"/>
              <w:spacing w:before="167" w:line="209" w:lineRule="auto"/>
              <w:ind w:left="619"/>
              <w:rPr>
                <w:color w:val="auto"/>
                <w:highlight w:val="none"/>
              </w:rPr>
            </w:pPr>
            <w:r>
              <w:rPr>
                <w:color w:val="auto"/>
                <w:spacing w:val="1"/>
                <w:highlight w:val="none"/>
              </w:rPr>
              <w:t>层</w:t>
            </w:r>
            <w:r>
              <w:rPr>
                <w:color w:val="auto"/>
                <w:spacing w:val="10"/>
                <w:highlight w:val="none"/>
              </w:rPr>
              <w:t xml:space="preserve">  </w:t>
            </w:r>
            <w:r>
              <w:rPr>
                <w:color w:val="auto"/>
                <w:spacing w:val="1"/>
                <w:highlight w:val="none"/>
              </w:rPr>
              <w:t>数</w:t>
            </w:r>
          </w:p>
        </w:tc>
        <w:tc>
          <w:tcPr>
            <w:tcW w:w="838" w:type="dxa"/>
            <w:tcBorders>
              <w:top w:val="single" w:color="000000" w:sz="10" w:space="0"/>
            </w:tcBorders>
            <w:vAlign w:val="top"/>
          </w:tcPr>
          <w:p w14:paraId="640BA9D7">
            <w:pPr>
              <w:spacing w:line="274" w:lineRule="auto"/>
              <w:rPr>
                <w:rFonts w:ascii="Arial"/>
                <w:color w:val="auto"/>
                <w:sz w:val="21"/>
                <w:highlight w:val="none"/>
              </w:rPr>
            </w:pPr>
          </w:p>
          <w:p w14:paraId="5CD42AA2">
            <w:pPr>
              <w:spacing w:line="274" w:lineRule="auto"/>
              <w:rPr>
                <w:rFonts w:ascii="Arial"/>
                <w:color w:val="auto"/>
                <w:sz w:val="21"/>
                <w:highlight w:val="none"/>
              </w:rPr>
            </w:pPr>
          </w:p>
          <w:p w14:paraId="038D7946">
            <w:pPr>
              <w:pStyle w:val="18"/>
              <w:spacing w:before="68" w:line="442" w:lineRule="exact"/>
              <w:ind w:left="220"/>
              <w:rPr>
                <w:color w:val="auto"/>
                <w:highlight w:val="none"/>
              </w:rPr>
            </w:pPr>
            <w:r>
              <w:rPr>
                <w:color w:val="auto"/>
                <w:spacing w:val="-2"/>
                <w:position w:val="17"/>
                <w:highlight w:val="none"/>
              </w:rPr>
              <w:t>生产</w:t>
            </w:r>
          </w:p>
          <w:p w14:paraId="033ED366">
            <w:pPr>
              <w:pStyle w:val="18"/>
              <w:spacing w:line="220" w:lineRule="auto"/>
              <w:ind w:left="227"/>
              <w:rPr>
                <w:color w:val="auto"/>
                <w:highlight w:val="none"/>
              </w:rPr>
            </w:pPr>
            <w:r>
              <w:rPr>
                <w:color w:val="auto"/>
                <w:spacing w:val="-4"/>
                <w:highlight w:val="none"/>
              </w:rPr>
              <w:t>能力</w:t>
            </w:r>
          </w:p>
        </w:tc>
        <w:tc>
          <w:tcPr>
            <w:tcW w:w="776" w:type="dxa"/>
            <w:tcBorders>
              <w:top w:val="single" w:color="000000" w:sz="10" w:space="0"/>
            </w:tcBorders>
            <w:vAlign w:val="top"/>
          </w:tcPr>
          <w:p w14:paraId="2A7AFAFD">
            <w:pPr>
              <w:spacing w:line="328" w:lineRule="auto"/>
              <w:rPr>
                <w:rFonts w:ascii="Arial"/>
                <w:color w:val="auto"/>
                <w:sz w:val="21"/>
                <w:highlight w:val="none"/>
              </w:rPr>
            </w:pPr>
          </w:p>
          <w:p w14:paraId="2031D6F8">
            <w:pPr>
              <w:pStyle w:val="18"/>
              <w:spacing w:before="68" w:line="442" w:lineRule="exact"/>
              <w:ind w:left="196"/>
              <w:rPr>
                <w:color w:val="auto"/>
                <w:highlight w:val="none"/>
              </w:rPr>
            </w:pPr>
            <w:r>
              <w:rPr>
                <w:color w:val="auto"/>
                <w:spacing w:val="-3"/>
                <w:position w:val="17"/>
                <w:highlight w:val="none"/>
              </w:rPr>
              <w:t>设备</w:t>
            </w:r>
          </w:p>
          <w:p w14:paraId="54329E22">
            <w:pPr>
              <w:pStyle w:val="18"/>
              <w:spacing w:line="221" w:lineRule="auto"/>
              <w:ind w:left="197"/>
              <w:rPr>
                <w:color w:val="auto"/>
                <w:highlight w:val="none"/>
              </w:rPr>
            </w:pPr>
            <w:r>
              <w:rPr>
                <w:color w:val="auto"/>
                <w:spacing w:val="-3"/>
                <w:highlight w:val="none"/>
              </w:rPr>
              <w:t>安装</w:t>
            </w:r>
          </w:p>
          <w:p w14:paraId="7750F20A">
            <w:pPr>
              <w:pStyle w:val="18"/>
              <w:spacing w:before="184" w:line="221" w:lineRule="auto"/>
              <w:ind w:left="218"/>
              <w:rPr>
                <w:color w:val="auto"/>
                <w:highlight w:val="none"/>
              </w:rPr>
            </w:pPr>
            <w:r>
              <w:rPr>
                <w:color w:val="auto"/>
                <w:spacing w:val="-8"/>
                <w:highlight w:val="none"/>
              </w:rPr>
              <w:t>内容</w:t>
            </w:r>
          </w:p>
        </w:tc>
        <w:tc>
          <w:tcPr>
            <w:tcW w:w="938" w:type="dxa"/>
            <w:tcBorders>
              <w:top w:val="single" w:color="000000" w:sz="10" w:space="0"/>
            </w:tcBorders>
            <w:vAlign w:val="top"/>
          </w:tcPr>
          <w:p w14:paraId="34186492">
            <w:pPr>
              <w:spacing w:line="328" w:lineRule="auto"/>
              <w:rPr>
                <w:rFonts w:ascii="Arial"/>
                <w:color w:val="auto"/>
                <w:sz w:val="21"/>
                <w:highlight w:val="none"/>
              </w:rPr>
            </w:pPr>
          </w:p>
          <w:p w14:paraId="5B8BE87D">
            <w:pPr>
              <w:pStyle w:val="18"/>
              <w:spacing w:before="68" w:line="442" w:lineRule="exact"/>
              <w:ind w:left="171"/>
              <w:rPr>
                <w:color w:val="auto"/>
                <w:highlight w:val="none"/>
              </w:rPr>
            </w:pPr>
            <w:r>
              <w:rPr>
                <w:color w:val="auto"/>
                <w:spacing w:val="-2"/>
                <w:position w:val="17"/>
                <w:highlight w:val="none"/>
              </w:rPr>
              <w:t>合同价</w:t>
            </w:r>
          </w:p>
          <w:p w14:paraId="49E873EE">
            <w:pPr>
              <w:pStyle w:val="18"/>
              <w:spacing w:line="220" w:lineRule="auto"/>
              <w:ind w:left="382"/>
              <w:rPr>
                <w:color w:val="auto"/>
                <w:highlight w:val="none"/>
              </w:rPr>
            </w:pPr>
            <w:r>
              <w:rPr>
                <w:color w:val="auto"/>
                <w:highlight w:val="none"/>
              </w:rPr>
              <w:t>格</w:t>
            </w:r>
          </w:p>
          <w:p w14:paraId="1D7E86F3">
            <w:pPr>
              <w:pStyle w:val="18"/>
              <w:spacing w:before="186" w:line="221" w:lineRule="auto"/>
              <w:ind w:left="177"/>
              <w:rPr>
                <w:color w:val="auto"/>
                <w:highlight w:val="none"/>
              </w:rPr>
            </w:pPr>
            <w:r>
              <w:rPr>
                <w:color w:val="auto"/>
                <w:spacing w:val="-6"/>
                <w:highlight w:val="none"/>
              </w:rPr>
              <w:t>（元）</w:t>
            </w:r>
          </w:p>
        </w:tc>
        <w:tc>
          <w:tcPr>
            <w:tcW w:w="522" w:type="dxa"/>
            <w:tcBorders>
              <w:top w:val="single" w:color="000000" w:sz="10" w:space="0"/>
            </w:tcBorders>
            <w:textDirection w:val="tbRlV"/>
            <w:vAlign w:val="top"/>
          </w:tcPr>
          <w:p w14:paraId="4EBF2713">
            <w:pPr>
              <w:pStyle w:val="18"/>
              <w:spacing w:before="135" w:line="200" w:lineRule="auto"/>
              <w:ind w:left="178"/>
              <w:rPr>
                <w:color w:val="auto"/>
                <w:highlight w:val="none"/>
              </w:rPr>
            </w:pPr>
            <w:r>
              <w:rPr>
                <w:color w:val="auto"/>
                <w:spacing w:val="1"/>
                <w:highlight w:val="none"/>
              </w:rPr>
              <w:t>开</w:t>
            </w:r>
            <w:r>
              <w:rPr>
                <w:color w:val="auto"/>
                <w:spacing w:val="10"/>
                <w:highlight w:val="none"/>
              </w:rPr>
              <w:t xml:space="preserve">  </w:t>
            </w:r>
            <w:r>
              <w:rPr>
                <w:color w:val="auto"/>
                <w:spacing w:val="1"/>
                <w:highlight w:val="none"/>
              </w:rPr>
              <w:t>工</w:t>
            </w:r>
            <w:r>
              <w:rPr>
                <w:color w:val="auto"/>
                <w:spacing w:val="10"/>
                <w:highlight w:val="none"/>
              </w:rPr>
              <w:t xml:space="preserve">  </w:t>
            </w:r>
            <w:r>
              <w:rPr>
                <w:color w:val="auto"/>
                <w:spacing w:val="1"/>
                <w:position w:val="1"/>
                <w:highlight w:val="none"/>
              </w:rPr>
              <w:t>日</w:t>
            </w:r>
            <w:r>
              <w:rPr>
                <w:color w:val="auto"/>
                <w:spacing w:val="8"/>
                <w:position w:val="1"/>
                <w:highlight w:val="none"/>
              </w:rPr>
              <w:t xml:space="preserve">  </w:t>
            </w:r>
            <w:r>
              <w:rPr>
                <w:color w:val="auto"/>
                <w:spacing w:val="1"/>
                <w:highlight w:val="none"/>
              </w:rPr>
              <w:t>期</w:t>
            </w:r>
          </w:p>
        </w:tc>
        <w:tc>
          <w:tcPr>
            <w:tcW w:w="538" w:type="dxa"/>
            <w:tcBorders>
              <w:top w:val="single" w:color="000000" w:sz="10" w:space="0"/>
              <w:right w:val="single" w:color="000000" w:sz="10" w:space="0"/>
            </w:tcBorders>
            <w:textDirection w:val="tbRlV"/>
            <w:vAlign w:val="top"/>
          </w:tcPr>
          <w:p w14:paraId="33135F19">
            <w:pPr>
              <w:pStyle w:val="18"/>
              <w:spacing w:before="146" w:line="200" w:lineRule="auto"/>
              <w:ind w:left="178"/>
              <w:rPr>
                <w:color w:val="auto"/>
                <w:highlight w:val="none"/>
              </w:rPr>
            </w:pPr>
            <w:r>
              <w:rPr>
                <w:color w:val="auto"/>
                <w:spacing w:val="1"/>
                <w:highlight w:val="none"/>
              </w:rPr>
              <w:t>竣</w:t>
            </w:r>
            <w:r>
              <w:rPr>
                <w:color w:val="auto"/>
                <w:spacing w:val="10"/>
                <w:highlight w:val="none"/>
              </w:rPr>
              <w:t xml:space="preserve">  </w:t>
            </w:r>
            <w:r>
              <w:rPr>
                <w:color w:val="auto"/>
                <w:spacing w:val="1"/>
                <w:highlight w:val="none"/>
              </w:rPr>
              <w:t>工</w:t>
            </w:r>
            <w:r>
              <w:rPr>
                <w:color w:val="auto"/>
                <w:spacing w:val="10"/>
                <w:highlight w:val="none"/>
              </w:rPr>
              <w:t xml:space="preserve">  </w:t>
            </w:r>
            <w:r>
              <w:rPr>
                <w:color w:val="auto"/>
                <w:spacing w:val="1"/>
                <w:position w:val="1"/>
                <w:highlight w:val="none"/>
              </w:rPr>
              <w:t>日</w:t>
            </w:r>
            <w:r>
              <w:rPr>
                <w:color w:val="auto"/>
                <w:spacing w:val="8"/>
                <w:position w:val="1"/>
                <w:highlight w:val="none"/>
              </w:rPr>
              <w:t xml:space="preserve">  </w:t>
            </w:r>
            <w:r>
              <w:rPr>
                <w:color w:val="auto"/>
                <w:spacing w:val="1"/>
                <w:highlight w:val="none"/>
              </w:rPr>
              <w:t>期</w:t>
            </w:r>
          </w:p>
        </w:tc>
      </w:tr>
      <w:tr w14:paraId="4062B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0FA934F2">
            <w:pPr>
              <w:rPr>
                <w:rFonts w:ascii="Arial"/>
                <w:color w:val="auto"/>
                <w:sz w:val="21"/>
                <w:highlight w:val="none"/>
              </w:rPr>
            </w:pPr>
            <w:r>
              <w:rPr>
                <w:color w:val="auto"/>
                <w:highlight w:val="none"/>
              </w:rPr>
              <w:pict>
                <v:rect id="_x0000_s2052" o:spid="_x0000_s2052" o:spt="1" style="position:absolute;left:0pt;margin-left:0.85pt;margin-top:1.3pt;height:0.75pt;width:76.85pt;mso-position-horizontal-relative:page;mso-position-vertical-relative:page;z-index:251680768;mso-width-relative:page;mso-height-relative:page;" fillcolor="#000000" filled="t" stroked="f" coordsize="21600,21600">
                  <v:path/>
                  <v:fill on="t" focussize="0,0"/>
                  <v:stroke on="f"/>
                  <v:imagedata o:title=""/>
                  <o:lock v:ext="edit"/>
                </v:rect>
              </w:pict>
            </w:r>
          </w:p>
        </w:tc>
        <w:tc>
          <w:tcPr>
            <w:tcW w:w="708" w:type="dxa"/>
            <w:vAlign w:val="top"/>
          </w:tcPr>
          <w:p w14:paraId="42920A76">
            <w:pPr>
              <w:rPr>
                <w:rFonts w:ascii="Arial"/>
                <w:color w:val="auto"/>
                <w:sz w:val="21"/>
                <w:highlight w:val="none"/>
              </w:rPr>
            </w:pPr>
            <w:r>
              <w:rPr>
                <w:color w:val="auto"/>
                <w:highlight w:val="none"/>
              </w:rPr>
              <w:pict>
                <v:shape id="_x0000_s2053" o:spid="_x0000_s2053" style="position:absolute;left:0pt;margin-left:-0.7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rPr>
                <w:color w:val="auto"/>
                <w:highlight w:val="none"/>
              </w:rPr>
              <w:pict>
                <v:shape id="_x0000_s2054" o:spid="_x0000_s2054" style="position:absolute;left:0pt;margin-left:1.45pt;margin-top:1.3pt;height:0.75pt;width:33.4pt;mso-position-horizontal-relative:page;mso-position-vertical-relative:page;z-index:251667456;mso-width-relative:page;mso-height-relative:page;" fillcolor="#000000" filled="t" stroked="f" coordsize="668,15" path="m0,14l667,14,667,0,0,0,0,14xe">
                  <v:path/>
                  <v:fill on="t" focussize="0,0"/>
                  <v:stroke on="f"/>
                  <v:imagedata o:title=""/>
                  <o:lock v:ext="edit"/>
                </v:shape>
              </w:pict>
            </w:r>
          </w:p>
        </w:tc>
        <w:tc>
          <w:tcPr>
            <w:tcW w:w="1106" w:type="dxa"/>
            <w:vAlign w:val="top"/>
          </w:tcPr>
          <w:p w14:paraId="01BE3A8E">
            <w:pPr>
              <w:rPr>
                <w:rFonts w:ascii="Arial"/>
                <w:color w:val="auto"/>
                <w:sz w:val="21"/>
                <w:highlight w:val="none"/>
              </w:rPr>
            </w:pPr>
            <w:r>
              <w:rPr>
                <w:color w:val="auto"/>
                <w:highlight w:val="none"/>
              </w:rPr>
              <w:pict>
                <v:shape id="_x0000_s2055" o:spid="_x0000_s2055" style="position:absolute;left:0pt;margin-left:-0.6pt;margin-top:1.3pt;height:0.75pt;width:2.2pt;mso-position-horizontal-relative:page;mso-position-vertical-relative:page;z-index:251671552;mso-width-relative:page;mso-height-relative:page;" fillcolor="#000000" filled="t" stroked="f" coordsize="44,15" path="m0,14l43,14,43,0,0,0,0,14xe">
                  <v:path/>
                  <v:fill on="t" focussize="0,0"/>
                  <v:stroke on="f"/>
                  <v:imagedata o:title=""/>
                  <o:lock v:ext="edit"/>
                </v:shape>
              </w:pict>
            </w:r>
            <w:r>
              <w:rPr>
                <w:color w:val="auto"/>
                <w:highlight w:val="none"/>
              </w:rPr>
              <w:pict>
                <v:shape id="_x0000_s2056" o:spid="_x0000_s2056" style="position:absolute;left:0pt;margin-left:1.55pt;margin-top:1.3pt;height:0.75pt;width:53.35pt;mso-position-horizontal-relative:page;mso-position-vertical-relative:page;z-index:251662336;mso-width-relative:page;mso-height-relative:page;" fillcolor="#000000" filled="t" stroked="f" coordsize="1066,15" path="m0,14l1066,14,1066,0,0,0,0,14xe">
                  <v:path/>
                  <v:fill on="t" focussize="0,0"/>
                  <v:stroke on="f"/>
                  <v:imagedata o:title=""/>
                  <o:lock v:ext="edit"/>
                </v:shape>
              </w:pict>
            </w:r>
          </w:p>
        </w:tc>
        <w:tc>
          <w:tcPr>
            <w:tcW w:w="732" w:type="dxa"/>
            <w:vAlign w:val="top"/>
          </w:tcPr>
          <w:p w14:paraId="09849DAC">
            <w:pPr>
              <w:rPr>
                <w:rFonts w:ascii="Arial"/>
                <w:color w:val="auto"/>
                <w:sz w:val="21"/>
                <w:highlight w:val="none"/>
              </w:rPr>
            </w:pPr>
            <w:r>
              <w:rPr>
                <w:color w:val="auto"/>
                <w:highlight w:val="none"/>
              </w:rPr>
              <w:pict>
                <v:shape id="_x0000_s2057" o:spid="_x0000_s2057" style="position:absolute;left:0pt;margin-left:-0.4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rPr>
                <w:color w:val="auto"/>
                <w:highlight w:val="none"/>
              </w:rPr>
              <w:pict>
                <v:shape id="_x0000_s2058" o:spid="_x0000_s2058" style="position:absolute;left:0pt;margin-left:1.75pt;margin-top:1.3pt;height:0.75pt;width:34.6pt;mso-position-horizontal-relative:page;mso-position-vertical-relative:page;z-index:251666432;mso-width-relative:page;mso-height-relative:page;" fillcolor="#000000" filled="t" stroked="f" coordsize="691,15" path="m0,14l691,14,691,0,0,0,0,14xe">
                  <v:path/>
                  <v:fill on="t" focussize="0,0"/>
                  <v:stroke on="f"/>
                  <v:imagedata o:title=""/>
                  <o:lock v:ext="edit"/>
                </v:shape>
              </w:pict>
            </w:r>
          </w:p>
        </w:tc>
        <w:tc>
          <w:tcPr>
            <w:tcW w:w="565" w:type="dxa"/>
            <w:vAlign w:val="top"/>
          </w:tcPr>
          <w:p w14:paraId="3949AB32">
            <w:pPr>
              <w:rPr>
                <w:rFonts w:ascii="Arial"/>
                <w:color w:val="auto"/>
                <w:sz w:val="21"/>
                <w:highlight w:val="none"/>
              </w:rPr>
            </w:pPr>
            <w:r>
              <w:rPr>
                <w:color w:val="auto"/>
                <w:highlight w:val="none"/>
              </w:rPr>
              <w:pict>
                <v:shape id="_x0000_s2059" o:spid="_x0000_s2059" style="position:absolute;left:0pt;margin-left:-0.3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rPr>
                <w:color w:val="auto"/>
                <w:highlight w:val="none"/>
              </w:rPr>
              <w:pict>
                <v:shape id="_x0000_s2060" o:spid="_x0000_s2060" style="position:absolute;left:0pt;margin-left:1.9pt;margin-top:1.3pt;height:0.75pt;width:26.2pt;mso-position-horizontal-relative:page;mso-position-vertical-relative:page;z-index:251668480;mso-width-relative:page;mso-height-relative:page;" fillcolor="#000000" filled="t" stroked="f" coordsize="524,15" path="m0,14l523,14,523,0,0,0,0,14xe">
                  <v:path/>
                  <v:fill on="t" focussize="0,0"/>
                  <v:stroke on="f"/>
                  <v:imagedata o:title=""/>
                  <o:lock v:ext="edit"/>
                </v:shape>
              </w:pict>
            </w:r>
          </w:p>
        </w:tc>
        <w:tc>
          <w:tcPr>
            <w:tcW w:w="838" w:type="dxa"/>
            <w:vAlign w:val="top"/>
          </w:tcPr>
          <w:p w14:paraId="65777CC7">
            <w:pPr>
              <w:rPr>
                <w:rFonts w:ascii="Arial"/>
                <w:color w:val="auto"/>
                <w:sz w:val="21"/>
                <w:highlight w:val="none"/>
              </w:rPr>
            </w:pPr>
            <w:r>
              <w:rPr>
                <w:color w:val="auto"/>
                <w:highlight w:val="none"/>
              </w:rPr>
              <w:pict>
                <v:shape id="_x0000_s2061" o:spid="_x0000_s2061" style="position:absolute;left:0pt;margin-left:-0.2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rPr>
                <w:color w:val="auto"/>
                <w:highlight w:val="none"/>
              </w:rPr>
              <w:pict>
                <v:shape id="_x0000_s2062" o:spid="_x0000_s2062" style="position:absolute;left:0pt;margin-left:1.95pt;margin-top:1.3pt;height:0.75pt;width:39.9pt;mso-position-horizontal-relative:page;mso-position-vertical-relative:page;z-index:251664384;mso-width-relative:page;mso-height-relative:page;" fillcolor="#000000" filled="t" stroked="f" coordsize="798,15" path="m0,14l797,14,797,0,0,0,0,14xe">
                  <v:path/>
                  <v:fill on="t" focussize="0,0"/>
                  <v:stroke on="f"/>
                  <v:imagedata o:title=""/>
                  <o:lock v:ext="edit"/>
                </v:shape>
              </w:pict>
            </w:r>
          </w:p>
        </w:tc>
        <w:tc>
          <w:tcPr>
            <w:tcW w:w="776" w:type="dxa"/>
            <w:vAlign w:val="top"/>
          </w:tcPr>
          <w:p w14:paraId="7CD37EE7">
            <w:pPr>
              <w:rPr>
                <w:rFonts w:ascii="Arial"/>
                <w:color w:val="auto"/>
                <w:sz w:val="21"/>
                <w:highlight w:val="none"/>
              </w:rPr>
            </w:pPr>
            <w:r>
              <w:rPr>
                <w:color w:val="auto"/>
                <w:highlight w:val="none"/>
              </w:rPr>
              <w:pict>
                <v:shape id="_x0000_s2063" o:spid="_x0000_s2063" style="position:absolute;left:0pt;margin-left:-0.1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rPr>
                <w:color w:val="auto"/>
                <w:highlight w:val="none"/>
              </w:rPr>
              <w:pict>
                <v:shape id="_x0000_s2064" o:spid="_x0000_s2064" style="position:absolute;left:0pt;margin-left:2.05pt;margin-top:1.3pt;height:0.75pt;width:36.75pt;mso-position-horizontal-relative:page;mso-position-vertical-relative:page;z-index:251665408;mso-width-relative:page;mso-height-relative:page;" fillcolor="#000000" filled="t" stroked="f" coordsize="735,15" path="m0,14l734,14,734,0,0,0,0,14xe">
                  <v:path/>
                  <v:fill on="t" focussize="0,0"/>
                  <v:stroke on="f"/>
                  <v:imagedata o:title=""/>
                  <o:lock v:ext="edit"/>
                </v:shape>
              </w:pict>
            </w:r>
          </w:p>
        </w:tc>
        <w:tc>
          <w:tcPr>
            <w:tcW w:w="938" w:type="dxa"/>
            <w:vAlign w:val="top"/>
          </w:tcPr>
          <w:p w14:paraId="50E98056">
            <w:pPr>
              <w:rPr>
                <w:rFonts w:ascii="Arial"/>
                <w:color w:val="auto"/>
                <w:sz w:val="21"/>
                <w:highlight w:val="none"/>
              </w:rPr>
            </w:pPr>
            <w:r>
              <w:rPr>
                <w:color w:val="auto"/>
                <w:highlight w:val="none"/>
              </w:rPr>
              <w:pict>
                <v:shape id="_x0000_s2065" o:spid="_x0000_s2065" style="position:absolute;left:0pt;margin-left:0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rPr>
                <w:color w:val="auto"/>
                <w:highlight w:val="none"/>
              </w:rPr>
              <w:pict>
                <v:shape id="_x0000_s2066" o:spid="_x0000_s2066" style="position:absolute;left:0pt;margin-left:2.2pt;margin-top:1.3pt;height:0.75pt;width:44.9pt;mso-position-horizontal-relative:page;mso-position-vertical-relative:page;z-index:251663360;mso-width-relative:page;mso-height-relative:page;" fillcolor="#000000" filled="t" stroked="f" coordsize="898,15" path="m0,14l897,14,897,0,0,0,0,14xe">
                  <v:path/>
                  <v:fill on="t" focussize="0,0"/>
                  <v:stroke on="f"/>
                  <v:imagedata o:title=""/>
                  <o:lock v:ext="edit"/>
                </v:shape>
              </w:pict>
            </w:r>
          </w:p>
        </w:tc>
        <w:tc>
          <w:tcPr>
            <w:tcW w:w="522" w:type="dxa"/>
            <w:vAlign w:val="top"/>
          </w:tcPr>
          <w:p w14:paraId="78D3E5EE">
            <w:pPr>
              <w:rPr>
                <w:rFonts w:ascii="Arial"/>
                <w:color w:val="auto"/>
                <w:sz w:val="21"/>
                <w:highlight w:val="none"/>
              </w:rPr>
            </w:pPr>
            <w:r>
              <w:rPr>
                <w:color w:val="auto"/>
                <w:highlight w:val="none"/>
              </w:rPr>
              <w:pict>
                <v:shape id="_x0000_s2067" o:spid="_x0000_s2067" style="position:absolute;left:0pt;margin-left:0.1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rPr>
                <w:color w:val="auto"/>
                <w:highlight w:val="none"/>
              </w:rPr>
              <w:pict>
                <v:shape id="_x0000_s2068" o:spid="_x0000_s2068" style="position:absolute;left:0pt;margin-left:2.3pt;margin-top:1.3pt;height:0.75pt;width:24.05pt;mso-position-horizontal-relative:page;mso-position-vertical-relative:page;z-index:251669504;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14:paraId="0565A6F3">
            <w:pPr>
              <w:rPr>
                <w:rFonts w:ascii="Arial"/>
                <w:color w:val="auto"/>
                <w:sz w:val="21"/>
                <w:highlight w:val="none"/>
              </w:rPr>
            </w:pPr>
            <w:r>
              <w:rPr>
                <w:color w:val="auto"/>
                <w:highlight w:val="none"/>
              </w:rPr>
              <w:pict>
                <v:shape id="_x0000_s2069" o:spid="_x0000_s2069" style="position:absolute;left:0pt;margin-left:0.25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rPr>
                <w:color w:val="auto"/>
                <w:highlight w:val="none"/>
              </w:rPr>
              <w:pict>
                <v:shape id="_x0000_s2070" o:spid="_x0000_s2070" style="position:absolute;left:0pt;margin-left:2.4pt;margin-top:1.3pt;height:0.75pt;width:23.8pt;mso-position-horizontal-relative:page;mso-position-vertical-relative:page;z-index:251670528;mso-width-relative:page;mso-height-relative:page;" fillcolor="#000000" filled="t" stroked="f" coordsize="475,15" path="m0,14l475,14,475,0,0,0,0,14xe">
                  <v:path/>
                  <v:fill on="t" focussize="0,0"/>
                  <v:stroke on="f"/>
                  <v:imagedata o:title=""/>
                  <o:lock v:ext="edit"/>
                </v:shape>
              </w:pict>
            </w:r>
          </w:p>
        </w:tc>
      </w:tr>
      <w:tr w14:paraId="1DE4F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98A9B16">
            <w:pPr>
              <w:rPr>
                <w:rFonts w:ascii="Arial"/>
                <w:color w:val="auto"/>
                <w:sz w:val="21"/>
                <w:highlight w:val="none"/>
              </w:rPr>
            </w:pPr>
          </w:p>
        </w:tc>
        <w:tc>
          <w:tcPr>
            <w:tcW w:w="708" w:type="dxa"/>
            <w:vAlign w:val="top"/>
          </w:tcPr>
          <w:p w14:paraId="37206464">
            <w:pPr>
              <w:rPr>
                <w:rFonts w:ascii="Arial"/>
                <w:color w:val="auto"/>
                <w:sz w:val="21"/>
                <w:highlight w:val="none"/>
              </w:rPr>
            </w:pPr>
          </w:p>
        </w:tc>
        <w:tc>
          <w:tcPr>
            <w:tcW w:w="1106" w:type="dxa"/>
            <w:vAlign w:val="top"/>
          </w:tcPr>
          <w:p w14:paraId="5F065682">
            <w:pPr>
              <w:rPr>
                <w:rFonts w:ascii="Arial"/>
                <w:color w:val="auto"/>
                <w:sz w:val="21"/>
                <w:highlight w:val="none"/>
              </w:rPr>
            </w:pPr>
          </w:p>
        </w:tc>
        <w:tc>
          <w:tcPr>
            <w:tcW w:w="732" w:type="dxa"/>
            <w:vAlign w:val="top"/>
          </w:tcPr>
          <w:p w14:paraId="01B28E25">
            <w:pPr>
              <w:rPr>
                <w:rFonts w:ascii="Arial"/>
                <w:color w:val="auto"/>
                <w:sz w:val="21"/>
                <w:highlight w:val="none"/>
              </w:rPr>
            </w:pPr>
          </w:p>
        </w:tc>
        <w:tc>
          <w:tcPr>
            <w:tcW w:w="565" w:type="dxa"/>
            <w:vAlign w:val="top"/>
          </w:tcPr>
          <w:p w14:paraId="612C3FE5">
            <w:pPr>
              <w:rPr>
                <w:rFonts w:ascii="Arial"/>
                <w:color w:val="auto"/>
                <w:sz w:val="21"/>
                <w:highlight w:val="none"/>
              </w:rPr>
            </w:pPr>
          </w:p>
        </w:tc>
        <w:tc>
          <w:tcPr>
            <w:tcW w:w="838" w:type="dxa"/>
            <w:vAlign w:val="top"/>
          </w:tcPr>
          <w:p w14:paraId="40E92CC5">
            <w:pPr>
              <w:rPr>
                <w:rFonts w:ascii="Arial"/>
                <w:color w:val="auto"/>
                <w:sz w:val="21"/>
                <w:highlight w:val="none"/>
              </w:rPr>
            </w:pPr>
          </w:p>
        </w:tc>
        <w:tc>
          <w:tcPr>
            <w:tcW w:w="776" w:type="dxa"/>
            <w:vAlign w:val="top"/>
          </w:tcPr>
          <w:p w14:paraId="5A54C672">
            <w:pPr>
              <w:rPr>
                <w:rFonts w:ascii="Arial"/>
                <w:color w:val="auto"/>
                <w:sz w:val="21"/>
                <w:highlight w:val="none"/>
              </w:rPr>
            </w:pPr>
          </w:p>
        </w:tc>
        <w:tc>
          <w:tcPr>
            <w:tcW w:w="938" w:type="dxa"/>
            <w:vAlign w:val="top"/>
          </w:tcPr>
          <w:p w14:paraId="5D218691">
            <w:pPr>
              <w:rPr>
                <w:rFonts w:ascii="Arial"/>
                <w:color w:val="auto"/>
                <w:sz w:val="21"/>
                <w:highlight w:val="none"/>
              </w:rPr>
            </w:pPr>
          </w:p>
        </w:tc>
        <w:tc>
          <w:tcPr>
            <w:tcW w:w="522" w:type="dxa"/>
            <w:vAlign w:val="top"/>
          </w:tcPr>
          <w:p w14:paraId="31C6549C">
            <w:pPr>
              <w:rPr>
                <w:rFonts w:ascii="Arial"/>
                <w:color w:val="auto"/>
                <w:sz w:val="21"/>
                <w:highlight w:val="none"/>
              </w:rPr>
            </w:pPr>
          </w:p>
        </w:tc>
        <w:tc>
          <w:tcPr>
            <w:tcW w:w="538" w:type="dxa"/>
            <w:tcBorders>
              <w:right w:val="single" w:color="000000" w:sz="10" w:space="0"/>
            </w:tcBorders>
            <w:vAlign w:val="top"/>
          </w:tcPr>
          <w:p w14:paraId="7CFF47D2">
            <w:pPr>
              <w:rPr>
                <w:rFonts w:ascii="Arial"/>
                <w:color w:val="auto"/>
                <w:sz w:val="21"/>
                <w:highlight w:val="none"/>
              </w:rPr>
            </w:pPr>
          </w:p>
        </w:tc>
      </w:tr>
      <w:tr w14:paraId="6827B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C2893FC">
            <w:pPr>
              <w:rPr>
                <w:rFonts w:ascii="Arial"/>
                <w:color w:val="auto"/>
                <w:sz w:val="21"/>
                <w:highlight w:val="none"/>
              </w:rPr>
            </w:pPr>
          </w:p>
        </w:tc>
        <w:tc>
          <w:tcPr>
            <w:tcW w:w="708" w:type="dxa"/>
            <w:vAlign w:val="top"/>
          </w:tcPr>
          <w:p w14:paraId="4910DB10">
            <w:pPr>
              <w:rPr>
                <w:rFonts w:ascii="Arial"/>
                <w:color w:val="auto"/>
                <w:sz w:val="21"/>
                <w:highlight w:val="none"/>
              </w:rPr>
            </w:pPr>
          </w:p>
        </w:tc>
        <w:tc>
          <w:tcPr>
            <w:tcW w:w="1106" w:type="dxa"/>
            <w:vAlign w:val="top"/>
          </w:tcPr>
          <w:p w14:paraId="1D558027">
            <w:pPr>
              <w:rPr>
                <w:rFonts w:ascii="Arial"/>
                <w:color w:val="auto"/>
                <w:sz w:val="21"/>
                <w:highlight w:val="none"/>
              </w:rPr>
            </w:pPr>
          </w:p>
        </w:tc>
        <w:tc>
          <w:tcPr>
            <w:tcW w:w="732" w:type="dxa"/>
            <w:vAlign w:val="top"/>
          </w:tcPr>
          <w:p w14:paraId="30AF660D">
            <w:pPr>
              <w:rPr>
                <w:rFonts w:ascii="Arial"/>
                <w:color w:val="auto"/>
                <w:sz w:val="21"/>
                <w:highlight w:val="none"/>
              </w:rPr>
            </w:pPr>
          </w:p>
        </w:tc>
        <w:tc>
          <w:tcPr>
            <w:tcW w:w="565" w:type="dxa"/>
            <w:vAlign w:val="top"/>
          </w:tcPr>
          <w:p w14:paraId="037B4920">
            <w:pPr>
              <w:rPr>
                <w:rFonts w:ascii="Arial"/>
                <w:color w:val="auto"/>
                <w:sz w:val="21"/>
                <w:highlight w:val="none"/>
              </w:rPr>
            </w:pPr>
          </w:p>
        </w:tc>
        <w:tc>
          <w:tcPr>
            <w:tcW w:w="838" w:type="dxa"/>
            <w:vAlign w:val="top"/>
          </w:tcPr>
          <w:p w14:paraId="46FF97CA">
            <w:pPr>
              <w:rPr>
                <w:rFonts w:ascii="Arial"/>
                <w:color w:val="auto"/>
                <w:sz w:val="21"/>
                <w:highlight w:val="none"/>
              </w:rPr>
            </w:pPr>
          </w:p>
        </w:tc>
        <w:tc>
          <w:tcPr>
            <w:tcW w:w="776" w:type="dxa"/>
            <w:vAlign w:val="top"/>
          </w:tcPr>
          <w:p w14:paraId="58732246">
            <w:pPr>
              <w:rPr>
                <w:rFonts w:ascii="Arial"/>
                <w:color w:val="auto"/>
                <w:sz w:val="21"/>
                <w:highlight w:val="none"/>
              </w:rPr>
            </w:pPr>
          </w:p>
        </w:tc>
        <w:tc>
          <w:tcPr>
            <w:tcW w:w="938" w:type="dxa"/>
            <w:vAlign w:val="top"/>
          </w:tcPr>
          <w:p w14:paraId="49E801A0">
            <w:pPr>
              <w:rPr>
                <w:rFonts w:ascii="Arial"/>
                <w:color w:val="auto"/>
                <w:sz w:val="21"/>
                <w:highlight w:val="none"/>
              </w:rPr>
            </w:pPr>
          </w:p>
        </w:tc>
        <w:tc>
          <w:tcPr>
            <w:tcW w:w="522" w:type="dxa"/>
            <w:vAlign w:val="top"/>
          </w:tcPr>
          <w:p w14:paraId="530604B0">
            <w:pPr>
              <w:rPr>
                <w:rFonts w:ascii="Arial"/>
                <w:color w:val="auto"/>
                <w:sz w:val="21"/>
                <w:highlight w:val="none"/>
              </w:rPr>
            </w:pPr>
          </w:p>
        </w:tc>
        <w:tc>
          <w:tcPr>
            <w:tcW w:w="538" w:type="dxa"/>
            <w:tcBorders>
              <w:right w:val="single" w:color="000000" w:sz="10" w:space="0"/>
            </w:tcBorders>
            <w:vAlign w:val="top"/>
          </w:tcPr>
          <w:p w14:paraId="12BEF012">
            <w:pPr>
              <w:rPr>
                <w:rFonts w:ascii="Arial"/>
                <w:color w:val="auto"/>
                <w:sz w:val="21"/>
                <w:highlight w:val="none"/>
              </w:rPr>
            </w:pPr>
          </w:p>
        </w:tc>
      </w:tr>
      <w:tr w14:paraId="53CEA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410CECBB">
            <w:pPr>
              <w:rPr>
                <w:rFonts w:ascii="Arial"/>
                <w:color w:val="auto"/>
                <w:sz w:val="21"/>
                <w:highlight w:val="none"/>
              </w:rPr>
            </w:pPr>
          </w:p>
        </w:tc>
        <w:tc>
          <w:tcPr>
            <w:tcW w:w="708" w:type="dxa"/>
            <w:vAlign w:val="top"/>
          </w:tcPr>
          <w:p w14:paraId="63E559BF">
            <w:pPr>
              <w:rPr>
                <w:rFonts w:ascii="Arial"/>
                <w:color w:val="auto"/>
                <w:sz w:val="21"/>
                <w:highlight w:val="none"/>
              </w:rPr>
            </w:pPr>
          </w:p>
        </w:tc>
        <w:tc>
          <w:tcPr>
            <w:tcW w:w="1106" w:type="dxa"/>
            <w:vAlign w:val="top"/>
          </w:tcPr>
          <w:p w14:paraId="58D8768A">
            <w:pPr>
              <w:rPr>
                <w:rFonts w:ascii="Arial"/>
                <w:color w:val="auto"/>
                <w:sz w:val="21"/>
                <w:highlight w:val="none"/>
              </w:rPr>
            </w:pPr>
          </w:p>
        </w:tc>
        <w:tc>
          <w:tcPr>
            <w:tcW w:w="732" w:type="dxa"/>
            <w:vAlign w:val="top"/>
          </w:tcPr>
          <w:p w14:paraId="28301A7F">
            <w:pPr>
              <w:rPr>
                <w:rFonts w:ascii="Arial"/>
                <w:color w:val="auto"/>
                <w:sz w:val="21"/>
                <w:highlight w:val="none"/>
              </w:rPr>
            </w:pPr>
          </w:p>
        </w:tc>
        <w:tc>
          <w:tcPr>
            <w:tcW w:w="565" w:type="dxa"/>
            <w:vAlign w:val="top"/>
          </w:tcPr>
          <w:p w14:paraId="2AEB2C46">
            <w:pPr>
              <w:rPr>
                <w:rFonts w:ascii="Arial"/>
                <w:color w:val="auto"/>
                <w:sz w:val="21"/>
                <w:highlight w:val="none"/>
              </w:rPr>
            </w:pPr>
          </w:p>
        </w:tc>
        <w:tc>
          <w:tcPr>
            <w:tcW w:w="838" w:type="dxa"/>
            <w:vAlign w:val="top"/>
          </w:tcPr>
          <w:p w14:paraId="04BF44B6">
            <w:pPr>
              <w:rPr>
                <w:rFonts w:ascii="Arial"/>
                <w:color w:val="auto"/>
                <w:sz w:val="21"/>
                <w:highlight w:val="none"/>
              </w:rPr>
            </w:pPr>
          </w:p>
        </w:tc>
        <w:tc>
          <w:tcPr>
            <w:tcW w:w="776" w:type="dxa"/>
            <w:vAlign w:val="top"/>
          </w:tcPr>
          <w:p w14:paraId="6570037D">
            <w:pPr>
              <w:rPr>
                <w:rFonts w:ascii="Arial"/>
                <w:color w:val="auto"/>
                <w:sz w:val="21"/>
                <w:highlight w:val="none"/>
              </w:rPr>
            </w:pPr>
          </w:p>
        </w:tc>
        <w:tc>
          <w:tcPr>
            <w:tcW w:w="938" w:type="dxa"/>
            <w:vAlign w:val="top"/>
          </w:tcPr>
          <w:p w14:paraId="3B837597">
            <w:pPr>
              <w:rPr>
                <w:rFonts w:ascii="Arial"/>
                <w:color w:val="auto"/>
                <w:sz w:val="21"/>
                <w:highlight w:val="none"/>
              </w:rPr>
            </w:pPr>
          </w:p>
        </w:tc>
        <w:tc>
          <w:tcPr>
            <w:tcW w:w="522" w:type="dxa"/>
            <w:vAlign w:val="top"/>
          </w:tcPr>
          <w:p w14:paraId="3E42E90B">
            <w:pPr>
              <w:rPr>
                <w:rFonts w:ascii="Arial"/>
                <w:color w:val="auto"/>
                <w:sz w:val="21"/>
                <w:highlight w:val="none"/>
              </w:rPr>
            </w:pPr>
          </w:p>
        </w:tc>
        <w:tc>
          <w:tcPr>
            <w:tcW w:w="538" w:type="dxa"/>
            <w:tcBorders>
              <w:right w:val="single" w:color="000000" w:sz="10" w:space="0"/>
            </w:tcBorders>
            <w:vAlign w:val="top"/>
          </w:tcPr>
          <w:p w14:paraId="01E026BF">
            <w:pPr>
              <w:rPr>
                <w:rFonts w:ascii="Arial"/>
                <w:color w:val="auto"/>
                <w:sz w:val="21"/>
                <w:highlight w:val="none"/>
              </w:rPr>
            </w:pPr>
          </w:p>
        </w:tc>
      </w:tr>
      <w:tr w14:paraId="0F6D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D044C01">
            <w:pPr>
              <w:rPr>
                <w:rFonts w:ascii="Arial"/>
                <w:color w:val="auto"/>
                <w:sz w:val="21"/>
                <w:highlight w:val="none"/>
              </w:rPr>
            </w:pPr>
          </w:p>
        </w:tc>
        <w:tc>
          <w:tcPr>
            <w:tcW w:w="708" w:type="dxa"/>
            <w:vAlign w:val="top"/>
          </w:tcPr>
          <w:p w14:paraId="4EA7C819">
            <w:pPr>
              <w:rPr>
                <w:rFonts w:ascii="Arial"/>
                <w:color w:val="auto"/>
                <w:sz w:val="21"/>
                <w:highlight w:val="none"/>
              </w:rPr>
            </w:pPr>
          </w:p>
        </w:tc>
        <w:tc>
          <w:tcPr>
            <w:tcW w:w="1106" w:type="dxa"/>
            <w:vAlign w:val="top"/>
          </w:tcPr>
          <w:p w14:paraId="2C2F1D79">
            <w:pPr>
              <w:rPr>
                <w:rFonts w:ascii="Arial"/>
                <w:color w:val="auto"/>
                <w:sz w:val="21"/>
                <w:highlight w:val="none"/>
              </w:rPr>
            </w:pPr>
          </w:p>
        </w:tc>
        <w:tc>
          <w:tcPr>
            <w:tcW w:w="732" w:type="dxa"/>
            <w:vAlign w:val="top"/>
          </w:tcPr>
          <w:p w14:paraId="74C27662">
            <w:pPr>
              <w:rPr>
                <w:rFonts w:ascii="Arial"/>
                <w:color w:val="auto"/>
                <w:sz w:val="21"/>
                <w:highlight w:val="none"/>
              </w:rPr>
            </w:pPr>
          </w:p>
        </w:tc>
        <w:tc>
          <w:tcPr>
            <w:tcW w:w="565" w:type="dxa"/>
            <w:vAlign w:val="top"/>
          </w:tcPr>
          <w:p w14:paraId="7A021D34">
            <w:pPr>
              <w:rPr>
                <w:rFonts w:ascii="Arial"/>
                <w:color w:val="auto"/>
                <w:sz w:val="21"/>
                <w:highlight w:val="none"/>
              </w:rPr>
            </w:pPr>
          </w:p>
        </w:tc>
        <w:tc>
          <w:tcPr>
            <w:tcW w:w="838" w:type="dxa"/>
            <w:vAlign w:val="top"/>
          </w:tcPr>
          <w:p w14:paraId="06014372">
            <w:pPr>
              <w:rPr>
                <w:rFonts w:ascii="Arial"/>
                <w:color w:val="auto"/>
                <w:sz w:val="21"/>
                <w:highlight w:val="none"/>
              </w:rPr>
            </w:pPr>
          </w:p>
        </w:tc>
        <w:tc>
          <w:tcPr>
            <w:tcW w:w="776" w:type="dxa"/>
            <w:vAlign w:val="top"/>
          </w:tcPr>
          <w:p w14:paraId="6BC6C4FE">
            <w:pPr>
              <w:rPr>
                <w:rFonts w:ascii="Arial"/>
                <w:color w:val="auto"/>
                <w:sz w:val="21"/>
                <w:highlight w:val="none"/>
              </w:rPr>
            </w:pPr>
          </w:p>
        </w:tc>
        <w:tc>
          <w:tcPr>
            <w:tcW w:w="938" w:type="dxa"/>
            <w:vAlign w:val="top"/>
          </w:tcPr>
          <w:p w14:paraId="708B2B2B">
            <w:pPr>
              <w:rPr>
                <w:rFonts w:ascii="Arial"/>
                <w:color w:val="auto"/>
                <w:sz w:val="21"/>
                <w:highlight w:val="none"/>
              </w:rPr>
            </w:pPr>
          </w:p>
        </w:tc>
        <w:tc>
          <w:tcPr>
            <w:tcW w:w="522" w:type="dxa"/>
            <w:vAlign w:val="top"/>
          </w:tcPr>
          <w:p w14:paraId="30C8DD4A">
            <w:pPr>
              <w:rPr>
                <w:rFonts w:ascii="Arial"/>
                <w:color w:val="auto"/>
                <w:sz w:val="21"/>
                <w:highlight w:val="none"/>
              </w:rPr>
            </w:pPr>
          </w:p>
        </w:tc>
        <w:tc>
          <w:tcPr>
            <w:tcW w:w="538" w:type="dxa"/>
            <w:tcBorders>
              <w:right w:val="single" w:color="000000" w:sz="10" w:space="0"/>
            </w:tcBorders>
            <w:vAlign w:val="top"/>
          </w:tcPr>
          <w:p w14:paraId="77FCB49B">
            <w:pPr>
              <w:rPr>
                <w:rFonts w:ascii="Arial"/>
                <w:color w:val="auto"/>
                <w:sz w:val="21"/>
                <w:highlight w:val="none"/>
              </w:rPr>
            </w:pPr>
          </w:p>
        </w:tc>
      </w:tr>
      <w:tr w14:paraId="6ADD4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0255F426">
            <w:pPr>
              <w:rPr>
                <w:rFonts w:ascii="Arial"/>
                <w:color w:val="auto"/>
                <w:sz w:val="21"/>
                <w:highlight w:val="none"/>
              </w:rPr>
            </w:pPr>
          </w:p>
        </w:tc>
        <w:tc>
          <w:tcPr>
            <w:tcW w:w="708" w:type="dxa"/>
            <w:vAlign w:val="top"/>
          </w:tcPr>
          <w:p w14:paraId="0836BA32">
            <w:pPr>
              <w:rPr>
                <w:rFonts w:ascii="Arial"/>
                <w:color w:val="auto"/>
                <w:sz w:val="21"/>
                <w:highlight w:val="none"/>
              </w:rPr>
            </w:pPr>
          </w:p>
        </w:tc>
        <w:tc>
          <w:tcPr>
            <w:tcW w:w="1106" w:type="dxa"/>
            <w:vAlign w:val="top"/>
          </w:tcPr>
          <w:p w14:paraId="429D5E10">
            <w:pPr>
              <w:rPr>
                <w:rFonts w:ascii="Arial"/>
                <w:color w:val="auto"/>
                <w:sz w:val="21"/>
                <w:highlight w:val="none"/>
              </w:rPr>
            </w:pPr>
          </w:p>
        </w:tc>
        <w:tc>
          <w:tcPr>
            <w:tcW w:w="732" w:type="dxa"/>
            <w:vAlign w:val="top"/>
          </w:tcPr>
          <w:p w14:paraId="48863884">
            <w:pPr>
              <w:rPr>
                <w:rFonts w:ascii="Arial"/>
                <w:color w:val="auto"/>
                <w:sz w:val="21"/>
                <w:highlight w:val="none"/>
              </w:rPr>
            </w:pPr>
          </w:p>
        </w:tc>
        <w:tc>
          <w:tcPr>
            <w:tcW w:w="565" w:type="dxa"/>
            <w:vAlign w:val="top"/>
          </w:tcPr>
          <w:p w14:paraId="753A523D">
            <w:pPr>
              <w:rPr>
                <w:rFonts w:ascii="Arial"/>
                <w:color w:val="auto"/>
                <w:sz w:val="21"/>
                <w:highlight w:val="none"/>
              </w:rPr>
            </w:pPr>
          </w:p>
        </w:tc>
        <w:tc>
          <w:tcPr>
            <w:tcW w:w="838" w:type="dxa"/>
            <w:vAlign w:val="top"/>
          </w:tcPr>
          <w:p w14:paraId="32C3375E">
            <w:pPr>
              <w:rPr>
                <w:rFonts w:ascii="Arial"/>
                <w:color w:val="auto"/>
                <w:sz w:val="21"/>
                <w:highlight w:val="none"/>
              </w:rPr>
            </w:pPr>
          </w:p>
        </w:tc>
        <w:tc>
          <w:tcPr>
            <w:tcW w:w="776" w:type="dxa"/>
            <w:vAlign w:val="top"/>
          </w:tcPr>
          <w:p w14:paraId="3978942E">
            <w:pPr>
              <w:rPr>
                <w:rFonts w:ascii="Arial"/>
                <w:color w:val="auto"/>
                <w:sz w:val="21"/>
                <w:highlight w:val="none"/>
              </w:rPr>
            </w:pPr>
          </w:p>
        </w:tc>
        <w:tc>
          <w:tcPr>
            <w:tcW w:w="938" w:type="dxa"/>
            <w:vAlign w:val="top"/>
          </w:tcPr>
          <w:p w14:paraId="4874EDE5">
            <w:pPr>
              <w:rPr>
                <w:rFonts w:ascii="Arial"/>
                <w:color w:val="auto"/>
                <w:sz w:val="21"/>
                <w:highlight w:val="none"/>
              </w:rPr>
            </w:pPr>
          </w:p>
        </w:tc>
        <w:tc>
          <w:tcPr>
            <w:tcW w:w="522" w:type="dxa"/>
            <w:vAlign w:val="top"/>
          </w:tcPr>
          <w:p w14:paraId="1DAC61E2">
            <w:pPr>
              <w:rPr>
                <w:rFonts w:ascii="Arial"/>
                <w:color w:val="auto"/>
                <w:sz w:val="21"/>
                <w:highlight w:val="none"/>
              </w:rPr>
            </w:pPr>
          </w:p>
        </w:tc>
        <w:tc>
          <w:tcPr>
            <w:tcW w:w="538" w:type="dxa"/>
            <w:tcBorders>
              <w:right w:val="single" w:color="000000" w:sz="10" w:space="0"/>
            </w:tcBorders>
            <w:vAlign w:val="top"/>
          </w:tcPr>
          <w:p w14:paraId="741812FC">
            <w:pPr>
              <w:rPr>
                <w:rFonts w:ascii="Arial"/>
                <w:color w:val="auto"/>
                <w:sz w:val="21"/>
                <w:highlight w:val="none"/>
              </w:rPr>
            </w:pPr>
          </w:p>
        </w:tc>
      </w:tr>
      <w:tr w14:paraId="5D5B0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2DEDBD2B">
            <w:pPr>
              <w:rPr>
                <w:rFonts w:ascii="Arial"/>
                <w:color w:val="auto"/>
                <w:sz w:val="21"/>
                <w:highlight w:val="none"/>
              </w:rPr>
            </w:pPr>
          </w:p>
        </w:tc>
        <w:tc>
          <w:tcPr>
            <w:tcW w:w="708" w:type="dxa"/>
            <w:vAlign w:val="top"/>
          </w:tcPr>
          <w:p w14:paraId="5A434E26">
            <w:pPr>
              <w:rPr>
                <w:rFonts w:ascii="Arial"/>
                <w:color w:val="auto"/>
                <w:sz w:val="21"/>
                <w:highlight w:val="none"/>
              </w:rPr>
            </w:pPr>
          </w:p>
        </w:tc>
        <w:tc>
          <w:tcPr>
            <w:tcW w:w="1106" w:type="dxa"/>
            <w:vAlign w:val="top"/>
          </w:tcPr>
          <w:p w14:paraId="307B3E5D">
            <w:pPr>
              <w:rPr>
                <w:rFonts w:ascii="Arial"/>
                <w:color w:val="auto"/>
                <w:sz w:val="21"/>
                <w:highlight w:val="none"/>
              </w:rPr>
            </w:pPr>
          </w:p>
        </w:tc>
        <w:tc>
          <w:tcPr>
            <w:tcW w:w="732" w:type="dxa"/>
            <w:vAlign w:val="top"/>
          </w:tcPr>
          <w:p w14:paraId="6536B56D">
            <w:pPr>
              <w:rPr>
                <w:rFonts w:ascii="Arial"/>
                <w:color w:val="auto"/>
                <w:sz w:val="21"/>
                <w:highlight w:val="none"/>
              </w:rPr>
            </w:pPr>
          </w:p>
        </w:tc>
        <w:tc>
          <w:tcPr>
            <w:tcW w:w="565" w:type="dxa"/>
            <w:vAlign w:val="top"/>
          </w:tcPr>
          <w:p w14:paraId="07D51FFE">
            <w:pPr>
              <w:rPr>
                <w:rFonts w:ascii="Arial"/>
                <w:color w:val="auto"/>
                <w:sz w:val="21"/>
                <w:highlight w:val="none"/>
              </w:rPr>
            </w:pPr>
          </w:p>
        </w:tc>
        <w:tc>
          <w:tcPr>
            <w:tcW w:w="838" w:type="dxa"/>
            <w:vAlign w:val="top"/>
          </w:tcPr>
          <w:p w14:paraId="24FBF492">
            <w:pPr>
              <w:rPr>
                <w:rFonts w:ascii="Arial"/>
                <w:color w:val="auto"/>
                <w:sz w:val="21"/>
                <w:highlight w:val="none"/>
              </w:rPr>
            </w:pPr>
          </w:p>
        </w:tc>
        <w:tc>
          <w:tcPr>
            <w:tcW w:w="776" w:type="dxa"/>
            <w:vAlign w:val="top"/>
          </w:tcPr>
          <w:p w14:paraId="33FF8084">
            <w:pPr>
              <w:rPr>
                <w:rFonts w:ascii="Arial"/>
                <w:color w:val="auto"/>
                <w:sz w:val="21"/>
                <w:highlight w:val="none"/>
              </w:rPr>
            </w:pPr>
          </w:p>
        </w:tc>
        <w:tc>
          <w:tcPr>
            <w:tcW w:w="938" w:type="dxa"/>
            <w:vAlign w:val="top"/>
          </w:tcPr>
          <w:p w14:paraId="72036330">
            <w:pPr>
              <w:rPr>
                <w:rFonts w:ascii="Arial"/>
                <w:color w:val="auto"/>
                <w:sz w:val="21"/>
                <w:highlight w:val="none"/>
              </w:rPr>
            </w:pPr>
          </w:p>
        </w:tc>
        <w:tc>
          <w:tcPr>
            <w:tcW w:w="522" w:type="dxa"/>
            <w:vAlign w:val="top"/>
          </w:tcPr>
          <w:p w14:paraId="1238F57E">
            <w:pPr>
              <w:rPr>
                <w:rFonts w:ascii="Arial"/>
                <w:color w:val="auto"/>
                <w:sz w:val="21"/>
                <w:highlight w:val="none"/>
              </w:rPr>
            </w:pPr>
          </w:p>
        </w:tc>
        <w:tc>
          <w:tcPr>
            <w:tcW w:w="538" w:type="dxa"/>
            <w:tcBorders>
              <w:right w:val="single" w:color="000000" w:sz="10" w:space="0"/>
            </w:tcBorders>
            <w:vAlign w:val="top"/>
          </w:tcPr>
          <w:p w14:paraId="4ACAA4DE">
            <w:pPr>
              <w:rPr>
                <w:rFonts w:ascii="Arial"/>
                <w:color w:val="auto"/>
                <w:sz w:val="21"/>
                <w:highlight w:val="none"/>
              </w:rPr>
            </w:pPr>
          </w:p>
        </w:tc>
      </w:tr>
      <w:tr w14:paraId="55687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49145EAE">
            <w:pPr>
              <w:rPr>
                <w:rFonts w:ascii="Arial"/>
                <w:color w:val="auto"/>
                <w:sz w:val="21"/>
                <w:highlight w:val="none"/>
              </w:rPr>
            </w:pPr>
          </w:p>
        </w:tc>
        <w:tc>
          <w:tcPr>
            <w:tcW w:w="708" w:type="dxa"/>
            <w:vAlign w:val="top"/>
          </w:tcPr>
          <w:p w14:paraId="5C5594E4">
            <w:pPr>
              <w:rPr>
                <w:rFonts w:ascii="Arial"/>
                <w:color w:val="auto"/>
                <w:sz w:val="21"/>
                <w:highlight w:val="none"/>
              </w:rPr>
            </w:pPr>
          </w:p>
        </w:tc>
        <w:tc>
          <w:tcPr>
            <w:tcW w:w="1106" w:type="dxa"/>
            <w:vAlign w:val="top"/>
          </w:tcPr>
          <w:p w14:paraId="41A72CCD">
            <w:pPr>
              <w:rPr>
                <w:rFonts w:ascii="Arial"/>
                <w:color w:val="auto"/>
                <w:sz w:val="21"/>
                <w:highlight w:val="none"/>
              </w:rPr>
            </w:pPr>
          </w:p>
        </w:tc>
        <w:tc>
          <w:tcPr>
            <w:tcW w:w="732" w:type="dxa"/>
            <w:vAlign w:val="top"/>
          </w:tcPr>
          <w:p w14:paraId="55C26258">
            <w:pPr>
              <w:rPr>
                <w:rFonts w:ascii="Arial"/>
                <w:color w:val="auto"/>
                <w:sz w:val="21"/>
                <w:highlight w:val="none"/>
              </w:rPr>
            </w:pPr>
          </w:p>
        </w:tc>
        <w:tc>
          <w:tcPr>
            <w:tcW w:w="565" w:type="dxa"/>
            <w:vAlign w:val="top"/>
          </w:tcPr>
          <w:p w14:paraId="63AEF080">
            <w:pPr>
              <w:rPr>
                <w:rFonts w:ascii="Arial"/>
                <w:color w:val="auto"/>
                <w:sz w:val="21"/>
                <w:highlight w:val="none"/>
              </w:rPr>
            </w:pPr>
          </w:p>
        </w:tc>
        <w:tc>
          <w:tcPr>
            <w:tcW w:w="838" w:type="dxa"/>
            <w:vAlign w:val="top"/>
          </w:tcPr>
          <w:p w14:paraId="4A8CA411">
            <w:pPr>
              <w:rPr>
                <w:rFonts w:ascii="Arial"/>
                <w:color w:val="auto"/>
                <w:sz w:val="21"/>
                <w:highlight w:val="none"/>
              </w:rPr>
            </w:pPr>
          </w:p>
        </w:tc>
        <w:tc>
          <w:tcPr>
            <w:tcW w:w="776" w:type="dxa"/>
            <w:vAlign w:val="top"/>
          </w:tcPr>
          <w:p w14:paraId="11C24CD7">
            <w:pPr>
              <w:rPr>
                <w:rFonts w:ascii="Arial"/>
                <w:color w:val="auto"/>
                <w:sz w:val="21"/>
                <w:highlight w:val="none"/>
              </w:rPr>
            </w:pPr>
          </w:p>
        </w:tc>
        <w:tc>
          <w:tcPr>
            <w:tcW w:w="938" w:type="dxa"/>
            <w:vAlign w:val="top"/>
          </w:tcPr>
          <w:p w14:paraId="26F9C21A">
            <w:pPr>
              <w:rPr>
                <w:rFonts w:ascii="Arial"/>
                <w:color w:val="auto"/>
                <w:sz w:val="21"/>
                <w:highlight w:val="none"/>
              </w:rPr>
            </w:pPr>
          </w:p>
        </w:tc>
        <w:tc>
          <w:tcPr>
            <w:tcW w:w="522" w:type="dxa"/>
            <w:vAlign w:val="top"/>
          </w:tcPr>
          <w:p w14:paraId="085E48D2">
            <w:pPr>
              <w:rPr>
                <w:rFonts w:ascii="Arial"/>
                <w:color w:val="auto"/>
                <w:sz w:val="21"/>
                <w:highlight w:val="none"/>
              </w:rPr>
            </w:pPr>
          </w:p>
        </w:tc>
        <w:tc>
          <w:tcPr>
            <w:tcW w:w="538" w:type="dxa"/>
            <w:tcBorders>
              <w:right w:val="single" w:color="000000" w:sz="10" w:space="0"/>
            </w:tcBorders>
            <w:vAlign w:val="top"/>
          </w:tcPr>
          <w:p w14:paraId="5E2F003B">
            <w:pPr>
              <w:rPr>
                <w:rFonts w:ascii="Arial"/>
                <w:color w:val="auto"/>
                <w:sz w:val="21"/>
                <w:highlight w:val="none"/>
              </w:rPr>
            </w:pPr>
          </w:p>
        </w:tc>
      </w:tr>
      <w:tr w14:paraId="07AA8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5983FD9">
            <w:pPr>
              <w:rPr>
                <w:rFonts w:ascii="Arial"/>
                <w:color w:val="auto"/>
                <w:sz w:val="21"/>
                <w:highlight w:val="none"/>
              </w:rPr>
            </w:pPr>
          </w:p>
        </w:tc>
        <w:tc>
          <w:tcPr>
            <w:tcW w:w="708" w:type="dxa"/>
            <w:vAlign w:val="top"/>
          </w:tcPr>
          <w:p w14:paraId="321E0D87">
            <w:pPr>
              <w:rPr>
                <w:rFonts w:ascii="Arial"/>
                <w:color w:val="auto"/>
                <w:sz w:val="21"/>
                <w:highlight w:val="none"/>
              </w:rPr>
            </w:pPr>
          </w:p>
        </w:tc>
        <w:tc>
          <w:tcPr>
            <w:tcW w:w="1106" w:type="dxa"/>
            <w:vAlign w:val="top"/>
          </w:tcPr>
          <w:p w14:paraId="22DDBF6F">
            <w:pPr>
              <w:rPr>
                <w:rFonts w:ascii="Arial"/>
                <w:color w:val="auto"/>
                <w:sz w:val="21"/>
                <w:highlight w:val="none"/>
              </w:rPr>
            </w:pPr>
          </w:p>
        </w:tc>
        <w:tc>
          <w:tcPr>
            <w:tcW w:w="732" w:type="dxa"/>
            <w:vAlign w:val="top"/>
          </w:tcPr>
          <w:p w14:paraId="7DB6B456">
            <w:pPr>
              <w:rPr>
                <w:rFonts w:ascii="Arial"/>
                <w:color w:val="auto"/>
                <w:sz w:val="21"/>
                <w:highlight w:val="none"/>
              </w:rPr>
            </w:pPr>
          </w:p>
        </w:tc>
        <w:tc>
          <w:tcPr>
            <w:tcW w:w="565" w:type="dxa"/>
            <w:vAlign w:val="top"/>
          </w:tcPr>
          <w:p w14:paraId="52397EA0">
            <w:pPr>
              <w:rPr>
                <w:rFonts w:ascii="Arial"/>
                <w:color w:val="auto"/>
                <w:sz w:val="21"/>
                <w:highlight w:val="none"/>
              </w:rPr>
            </w:pPr>
          </w:p>
        </w:tc>
        <w:tc>
          <w:tcPr>
            <w:tcW w:w="838" w:type="dxa"/>
            <w:vAlign w:val="top"/>
          </w:tcPr>
          <w:p w14:paraId="518F329D">
            <w:pPr>
              <w:rPr>
                <w:rFonts w:ascii="Arial"/>
                <w:color w:val="auto"/>
                <w:sz w:val="21"/>
                <w:highlight w:val="none"/>
              </w:rPr>
            </w:pPr>
          </w:p>
        </w:tc>
        <w:tc>
          <w:tcPr>
            <w:tcW w:w="776" w:type="dxa"/>
            <w:vAlign w:val="top"/>
          </w:tcPr>
          <w:p w14:paraId="085438BE">
            <w:pPr>
              <w:rPr>
                <w:rFonts w:ascii="Arial"/>
                <w:color w:val="auto"/>
                <w:sz w:val="21"/>
                <w:highlight w:val="none"/>
              </w:rPr>
            </w:pPr>
          </w:p>
        </w:tc>
        <w:tc>
          <w:tcPr>
            <w:tcW w:w="938" w:type="dxa"/>
            <w:vAlign w:val="top"/>
          </w:tcPr>
          <w:p w14:paraId="309175E6">
            <w:pPr>
              <w:rPr>
                <w:rFonts w:ascii="Arial"/>
                <w:color w:val="auto"/>
                <w:sz w:val="21"/>
                <w:highlight w:val="none"/>
              </w:rPr>
            </w:pPr>
          </w:p>
        </w:tc>
        <w:tc>
          <w:tcPr>
            <w:tcW w:w="522" w:type="dxa"/>
            <w:vAlign w:val="top"/>
          </w:tcPr>
          <w:p w14:paraId="5EB927E1">
            <w:pPr>
              <w:rPr>
                <w:rFonts w:ascii="Arial"/>
                <w:color w:val="auto"/>
                <w:sz w:val="21"/>
                <w:highlight w:val="none"/>
              </w:rPr>
            </w:pPr>
          </w:p>
        </w:tc>
        <w:tc>
          <w:tcPr>
            <w:tcW w:w="538" w:type="dxa"/>
            <w:tcBorders>
              <w:right w:val="single" w:color="000000" w:sz="10" w:space="0"/>
            </w:tcBorders>
            <w:vAlign w:val="top"/>
          </w:tcPr>
          <w:p w14:paraId="182714A9">
            <w:pPr>
              <w:rPr>
                <w:rFonts w:ascii="Arial"/>
                <w:color w:val="auto"/>
                <w:sz w:val="21"/>
                <w:highlight w:val="none"/>
              </w:rPr>
            </w:pPr>
          </w:p>
        </w:tc>
      </w:tr>
      <w:tr w14:paraId="121F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221EDFBF">
            <w:pPr>
              <w:rPr>
                <w:rFonts w:ascii="Arial"/>
                <w:color w:val="auto"/>
                <w:sz w:val="21"/>
                <w:highlight w:val="none"/>
              </w:rPr>
            </w:pPr>
          </w:p>
        </w:tc>
        <w:tc>
          <w:tcPr>
            <w:tcW w:w="708" w:type="dxa"/>
            <w:vAlign w:val="top"/>
          </w:tcPr>
          <w:p w14:paraId="600A7A7C">
            <w:pPr>
              <w:rPr>
                <w:rFonts w:ascii="Arial"/>
                <w:color w:val="auto"/>
                <w:sz w:val="21"/>
                <w:highlight w:val="none"/>
              </w:rPr>
            </w:pPr>
          </w:p>
        </w:tc>
        <w:tc>
          <w:tcPr>
            <w:tcW w:w="1106" w:type="dxa"/>
            <w:vAlign w:val="top"/>
          </w:tcPr>
          <w:p w14:paraId="14751180">
            <w:pPr>
              <w:rPr>
                <w:rFonts w:ascii="Arial"/>
                <w:color w:val="auto"/>
                <w:sz w:val="21"/>
                <w:highlight w:val="none"/>
              </w:rPr>
            </w:pPr>
          </w:p>
        </w:tc>
        <w:tc>
          <w:tcPr>
            <w:tcW w:w="732" w:type="dxa"/>
            <w:vAlign w:val="top"/>
          </w:tcPr>
          <w:p w14:paraId="49A38F1E">
            <w:pPr>
              <w:rPr>
                <w:rFonts w:ascii="Arial"/>
                <w:color w:val="auto"/>
                <w:sz w:val="21"/>
                <w:highlight w:val="none"/>
              </w:rPr>
            </w:pPr>
          </w:p>
        </w:tc>
        <w:tc>
          <w:tcPr>
            <w:tcW w:w="565" w:type="dxa"/>
            <w:vAlign w:val="top"/>
          </w:tcPr>
          <w:p w14:paraId="23684135">
            <w:pPr>
              <w:rPr>
                <w:rFonts w:ascii="Arial"/>
                <w:color w:val="auto"/>
                <w:sz w:val="21"/>
                <w:highlight w:val="none"/>
              </w:rPr>
            </w:pPr>
          </w:p>
        </w:tc>
        <w:tc>
          <w:tcPr>
            <w:tcW w:w="838" w:type="dxa"/>
            <w:vAlign w:val="top"/>
          </w:tcPr>
          <w:p w14:paraId="15C743AD">
            <w:pPr>
              <w:rPr>
                <w:rFonts w:ascii="Arial"/>
                <w:color w:val="auto"/>
                <w:sz w:val="21"/>
                <w:highlight w:val="none"/>
              </w:rPr>
            </w:pPr>
          </w:p>
        </w:tc>
        <w:tc>
          <w:tcPr>
            <w:tcW w:w="776" w:type="dxa"/>
            <w:vAlign w:val="top"/>
          </w:tcPr>
          <w:p w14:paraId="7DA681C5">
            <w:pPr>
              <w:rPr>
                <w:rFonts w:ascii="Arial"/>
                <w:color w:val="auto"/>
                <w:sz w:val="21"/>
                <w:highlight w:val="none"/>
              </w:rPr>
            </w:pPr>
          </w:p>
        </w:tc>
        <w:tc>
          <w:tcPr>
            <w:tcW w:w="938" w:type="dxa"/>
            <w:vAlign w:val="top"/>
          </w:tcPr>
          <w:p w14:paraId="00D43D27">
            <w:pPr>
              <w:rPr>
                <w:rFonts w:ascii="Arial"/>
                <w:color w:val="auto"/>
                <w:sz w:val="21"/>
                <w:highlight w:val="none"/>
              </w:rPr>
            </w:pPr>
          </w:p>
        </w:tc>
        <w:tc>
          <w:tcPr>
            <w:tcW w:w="522" w:type="dxa"/>
            <w:vAlign w:val="top"/>
          </w:tcPr>
          <w:p w14:paraId="49C749B9">
            <w:pPr>
              <w:rPr>
                <w:rFonts w:ascii="Arial"/>
                <w:color w:val="auto"/>
                <w:sz w:val="21"/>
                <w:highlight w:val="none"/>
              </w:rPr>
            </w:pPr>
          </w:p>
        </w:tc>
        <w:tc>
          <w:tcPr>
            <w:tcW w:w="538" w:type="dxa"/>
            <w:tcBorders>
              <w:right w:val="single" w:color="000000" w:sz="10" w:space="0"/>
            </w:tcBorders>
            <w:vAlign w:val="top"/>
          </w:tcPr>
          <w:p w14:paraId="7691E33E">
            <w:pPr>
              <w:rPr>
                <w:rFonts w:ascii="Arial"/>
                <w:color w:val="auto"/>
                <w:sz w:val="21"/>
                <w:highlight w:val="none"/>
              </w:rPr>
            </w:pPr>
          </w:p>
        </w:tc>
      </w:tr>
      <w:tr w14:paraId="0EEE8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5A8D4C0A">
            <w:pPr>
              <w:rPr>
                <w:rFonts w:ascii="Arial"/>
                <w:color w:val="auto"/>
                <w:sz w:val="21"/>
                <w:highlight w:val="none"/>
              </w:rPr>
            </w:pPr>
          </w:p>
        </w:tc>
        <w:tc>
          <w:tcPr>
            <w:tcW w:w="708" w:type="dxa"/>
            <w:tcBorders>
              <w:bottom w:val="single" w:color="000000" w:sz="10" w:space="0"/>
            </w:tcBorders>
            <w:vAlign w:val="top"/>
          </w:tcPr>
          <w:p w14:paraId="68C4C4BD">
            <w:pPr>
              <w:rPr>
                <w:rFonts w:ascii="Arial"/>
                <w:color w:val="auto"/>
                <w:sz w:val="21"/>
                <w:highlight w:val="none"/>
              </w:rPr>
            </w:pPr>
          </w:p>
        </w:tc>
        <w:tc>
          <w:tcPr>
            <w:tcW w:w="1106" w:type="dxa"/>
            <w:tcBorders>
              <w:bottom w:val="single" w:color="000000" w:sz="10" w:space="0"/>
            </w:tcBorders>
            <w:vAlign w:val="top"/>
          </w:tcPr>
          <w:p w14:paraId="42098674">
            <w:pPr>
              <w:rPr>
                <w:rFonts w:ascii="Arial"/>
                <w:color w:val="auto"/>
                <w:sz w:val="21"/>
                <w:highlight w:val="none"/>
              </w:rPr>
            </w:pPr>
          </w:p>
        </w:tc>
        <w:tc>
          <w:tcPr>
            <w:tcW w:w="732" w:type="dxa"/>
            <w:tcBorders>
              <w:bottom w:val="single" w:color="000000" w:sz="10" w:space="0"/>
            </w:tcBorders>
            <w:vAlign w:val="top"/>
          </w:tcPr>
          <w:p w14:paraId="08620893">
            <w:pPr>
              <w:rPr>
                <w:rFonts w:ascii="Arial"/>
                <w:color w:val="auto"/>
                <w:sz w:val="21"/>
                <w:highlight w:val="none"/>
              </w:rPr>
            </w:pPr>
          </w:p>
        </w:tc>
        <w:tc>
          <w:tcPr>
            <w:tcW w:w="565" w:type="dxa"/>
            <w:tcBorders>
              <w:bottom w:val="single" w:color="000000" w:sz="10" w:space="0"/>
            </w:tcBorders>
            <w:vAlign w:val="top"/>
          </w:tcPr>
          <w:p w14:paraId="6C6E2042">
            <w:pPr>
              <w:rPr>
                <w:rFonts w:ascii="Arial"/>
                <w:color w:val="auto"/>
                <w:sz w:val="21"/>
                <w:highlight w:val="none"/>
              </w:rPr>
            </w:pPr>
          </w:p>
        </w:tc>
        <w:tc>
          <w:tcPr>
            <w:tcW w:w="838" w:type="dxa"/>
            <w:tcBorders>
              <w:bottom w:val="single" w:color="000000" w:sz="10" w:space="0"/>
            </w:tcBorders>
            <w:vAlign w:val="top"/>
          </w:tcPr>
          <w:p w14:paraId="1DD7EEC6">
            <w:pPr>
              <w:rPr>
                <w:rFonts w:ascii="Arial"/>
                <w:color w:val="auto"/>
                <w:sz w:val="21"/>
                <w:highlight w:val="none"/>
              </w:rPr>
            </w:pPr>
          </w:p>
        </w:tc>
        <w:tc>
          <w:tcPr>
            <w:tcW w:w="776" w:type="dxa"/>
            <w:tcBorders>
              <w:bottom w:val="single" w:color="000000" w:sz="10" w:space="0"/>
            </w:tcBorders>
            <w:vAlign w:val="top"/>
          </w:tcPr>
          <w:p w14:paraId="6E1C22A6">
            <w:pPr>
              <w:rPr>
                <w:rFonts w:ascii="Arial"/>
                <w:color w:val="auto"/>
                <w:sz w:val="21"/>
                <w:highlight w:val="none"/>
              </w:rPr>
            </w:pPr>
          </w:p>
        </w:tc>
        <w:tc>
          <w:tcPr>
            <w:tcW w:w="938" w:type="dxa"/>
            <w:tcBorders>
              <w:bottom w:val="single" w:color="000000" w:sz="10" w:space="0"/>
            </w:tcBorders>
            <w:vAlign w:val="top"/>
          </w:tcPr>
          <w:p w14:paraId="754D0762">
            <w:pPr>
              <w:rPr>
                <w:rFonts w:ascii="Arial"/>
                <w:color w:val="auto"/>
                <w:sz w:val="21"/>
                <w:highlight w:val="none"/>
              </w:rPr>
            </w:pPr>
          </w:p>
        </w:tc>
        <w:tc>
          <w:tcPr>
            <w:tcW w:w="522" w:type="dxa"/>
            <w:tcBorders>
              <w:bottom w:val="single" w:color="000000" w:sz="10" w:space="0"/>
            </w:tcBorders>
            <w:vAlign w:val="top"/>
          </w:tcPr>
          <w:p w14:paraId="226336F0">
            <w:pPr>
              <w:rPr>
                <w:rFonts w:ascii="Arial"/>
                <w:color w:val="auto"/>
                <w:sz w:val="21"/>
                <w:highlight w:val="none"/>
              </w:rPr>
            </w:pPr>
          </w:p>
        </w:tc>
        <w:tc>
          <w:tcPr>
            <w:tcW w:w="538" w:type="dxa"/>
            <w:tcBorders>
              <w:bottom w:val="single" w:color="000000" w:sz="10" w:space="0"/>
              <w:right w:val="single" w:color="000000" w:sz="10" w:space="0"/>
            </w:tcBorders>
            <w:vAlign w:val="top"/>
          </w:tcPr>
          <w:p w14:paraId="6AC992E5">
            <w:pPr>
              <w:rPr>
                <w:rFonts w:ascii="Arial"/>
                <w:color w:val="auto"/>
                <w:sz w:val="21"/>
                <w:highlight w:val="none"/>
              </w:rPr>
            </w:pPr>
          </w:p>
        </w:tc>
      </w:tr>
    </w:tbl>
    <w:p w14:paraId="4A9B19CB">
      <w:pPr>
        <w:pStyle w:val="5"/>
        <w:rPr>
          <w:color w:val="auto"/>
          <w:highlight w:val="none"/>
        </w:rPr>
      </w:pPr>
    </w:p>
    <w:p w14:paraId="181009A1">
      <w:pPr>
        <w:rPr>
          <w:color w:val="auto"/>
          <w:highlight w:val="none"/>
        </w:rPr>
        <w:sectPr>
          <w:footerReference r:id="rId98" w:type="default"/>
          <w:pgSz w:w="11905" w:h="16839"/>
          <w:pgMar w:top="400" w:right="1785" w:bottom="400" w:left="1785" w:header="0" w:footer="0" w:gutter="0"/>
          <w:pgNumType w:fmt="decimal"/>
          <w:cols w:space="720" w:num="1"/>
        </w:sectPr>
      </w:pPr>
    </w:p>
    <w:p w14:paraId="3FCD17C4">
      <w:pPr>
        <w:pStyle w:val="5"/>
        <w:spacing w:line="276" w:lineRule="auto"/>
        <w:rPr>
          <w:color w:val="auto"/>
          <w:highlight w:val="none"/>
        </w:rPr>
      </w:pPr>
    </w:p>
    <w:p w14:paraId="428BC807">
      <w:pPr>
        <w:pStyle w:val="5"/>
        <w:spacing w:line="276" w:lineRule="auto"/>
        <w:rPr>
          <w:color w:val="auto"/>
          <w:highlight w:val="none"/>
        </w:rPr>
      </w:pPr>
    </w:p>
    <w:p w14:paraId="5D17FBD5">
      <w:pPr>
        <w:pStyle w:val="5"/>
        <w:spacing w:line="276" w:lineRule="auto"/>
        <w:rPr>
          <w:color w:val="auto"/>
          <w:highlight w:val="none"/>
        </w:rPr>
      </w:pPr>
    </w:p>
    <w:p w14:paraId="7DE52EC5">
      <w:pPr>
        <w:pStyle w:val="5"/>
        <w:spacing w:line="276" w:lineRule="auto"/>
        <w:rPr>
          <w:color w:val="auto"/>
          <w:highlight w:val="none"/>
        </w:rPr>
      </w:pPr>
    </w:p>
    <w:p w14:paraId="3AF89538">
      <w:pPr>
        <w:spacing w:before="78" w:line="219" w:lineRule="auto"/>
        <w:ind w:left="253"/>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附件</w:t>
      </w:r>
      <w:r>
        <w:rPr>
          <w:rFonts w:ascii="宋体" w:hAnsi="宋体" w:eastAsia="宋体" w:cs="宋体"/>
          <w:color w:val="auto"/>
          <w:spacing w:val="-55"/>
          <w:sz w:val="24"/>
          <w:szCs w:val="24"/>
          <w:highlight w:val="none"/>
        </w:rPr>
        <w:t xml:space="preserve"> </w:t>
      </w:r>
      <w:r>
        <w:rPr>
          <w:rFonts w:ascii="Times New Roman" w:hAnsi="Times New Roman" w:eastAsia="Times New Roman" w:cs="Times New Roman"/>
          <w:color w:val="auto"/>
          <w:spacing w:val="-9"/>
          <w:sz w:val="24"/>
          <w:szCs w:val="24"/>
          <w:highlight w:val="none"/>
        </w:rPr>
        <w:t>2</w:t>
      </w:r>
      <w:r>
        <w:rPr>
          <w:rFonts w:ascii="宋体" w:hAnsi="宋体" w:eastAsia="宋体" w:cs="宋体"/>
          <w:color w:val="auto"/>
          <w:spacing w:val="-9"/>
          <w:sz w:val="24"/>
          <w:szCs w:val="24"/>
          <w:highlight w:val="none"/>
        </w:rPr>
        <w:t>：</w:t>
      </w:r>
    </w:p>
    <w:p w14:paraId="40A046C7">
      <w:pPr>
        <w:spacing w:before="243" w:line="224" w:lineRule="auto"/>
        <w:ind w:left="2716"/>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发包人供应材料设备一览表</w:t>
      </w:r>
    </w:p>
    <w:p w14:paraId="49F61C2E">
      <w:pPr>
        <w:spacing w:line="113" w:lineRule="exact"/>
        <w:rPr>
          <w:color w:val="auto"/>
          <w:highlight w:val="none"/>
        </w:rPr>
      </w:pPr>
    </w:p>
    <w:tbl>
      <w:tblPr>
        <w:tblStyle w:val="17"/>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241D3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14:paraId="4A8A431F">
            <w:pPr>
              <w:pStyle w:val="18"/>
              <w:spacing w:before="181" w:line="211" w:lineRule="auto"/>
              <w:ind w:left="178"/>
              <w:rPr>
                <w:color w:val="auto"/>
                <w:highlight w:val="none"/>
              </w:rPr>
            </w:pPr>
            <w:r>
              <w:rPr>
                <w:color w:val="auto"/>
                <w:spacing w:val="1"/>
                <w:highlight w:val="none"/>
              </w:rPr>
              <w:t>序</w:t>
            </w:r>
            <w:r>
              <w:rPr>
                <w:color w:val="auto"/>
                <w:spacing w:val="10"/>
                <w:highlight w:val="none"/>
              </w:rPr>
              <w:t xml:space="preserve">  </w:t>
            </w:r>
            <w:r>
              <w:rPr>
                <w:color w:val="auto"/>
                <w:spacing w:val="1"/>
                <w:highlight w:val="none"/>
              </w:rPr>
              <w:t>号</w:t>
            </w:r>
          </w:p>
        </w:tc>
        <w:tc>
          <w:tcPr>
            <w:tcW w:w="1130" w:type="dxa"/>
            <w:tcBorders>
              <w:top w:val="single" w:color="000000" w:sz="10" w:space="0"/>
            </w:tcBorders>
            <w:vAlign w:val="top"/>
          </w:tcPr>
          <w:p w14:paraId="7A5DB3A2">
            <w:pPr>
              <w:pStyle w:val="18"/>
              <w:spacing w:before="178" w:line="441" w:lineRule="exact"/>
              <w:ind w:left="350"/>
              <w:rPr>
                <w:color w:val="auto"/>
                <w:highlight w:val="none"/>
              </w:rPr>
            </w:pPr>
            <w:r>
              <w:rPr>
                <w:color w:val="auto"/>
                <w:spacing w:val="-8"/>
                <w:position w:val="17"/>
                <w:highlight w:val="none"/>
              </w:rPr>
              <w:t>材料、</w:t>
            </w:r>
          </w:p>
          <w:p w14:paraId="48A8FD28">
            <w:pPr>
              <w:pStyle w:val="18"/>
              <w:spacing w:line="221" w:lineRule="auto"/>
              <w:ind w:left="113"/>
              <w:rPr>
                <w:color w:val="auto"/>
                <w:highlight w:val="none"/>
              </w:rPr>
            </w:pPr>
            <w:r>
              <w:rPr>
                <w:color w:val="auto"/>
                <w:spacing w:val="-2"/>
                <w:highlight w:val="none"/>
              </w:rPr>
              <w:t>设备品种</w:t>
            </w:r>
          </w:p>
        </w:tc>
        <w:tc>
          <w:tcPr>
            <w:tcW w:w="852" w:type="dxa"/>
            <w:tcBorders>
              <w:top w:val="single" w:color="000000" w:sz="10" w:space="0"/>
            </w:tcBorders>
            <w:vAlign w:val="top"/>
          </w:tcPr>
          <w:p w14:paraId="0DB24EBD">
            <w:pPr>
              <w:pStyle w:val="18"/>
              <w:spacing w:before="178" w:line="441" w:lineRule="exact"/>
              <w:ind w:left="215"/>
              <w:rPr>
                <w:color w:val="auto"/>
                <w:highlight w:val="none"/>
              </w:rPr>
            </w:pPr>
            <w:r>
              <w:rPr>
                <w:color w:val="auto"/>
                <w:spacing w:val="-2"/>
                <w:position w:val="17"/>
                <w:highlight w:val="none"/>
              </w:rPr>
              <w:t>规格</w:t>
            </w:r>
          </w:p>
          <w:p w14:paraId="68D082B6">
            <w:pPr>
              <w:pStyle w:val="18"/>
              <w:spacing w:line="222" w:lineRule="auto"/>
              <w:ind w:left="220"/>
              <w:rPr>
                <w:color w:val="auto"/>
                <w:highlight w:val="none"/>
              </w:rPr>
            </w:pPr>
            <w:r>
              <w:rPr>
                <w:color w:val="auto"/>
                <w:spacing w:val="-4"/>
                <w:highlight w:val="none"/>
              </w:rPr>
              <w:t>型号</w:t>
            </w:r>
          </w:p>
        </w:tc>
        <w:tc>
          <w:tcPr>
            <w:tcW w:w="704" w:type="dxa"/>
            <w:tcBorders>
              <w:top w:val="single" w:color="000000" w:sz="10" w:space="0"/>
            </w:tcBorders>
            <w:vAlign w:val="top"/>
          </w:tcPr>
          <w:p w14:paraId="2C0E2979">
            <w:pPr>
              <w:spacing w:line="329" w:lineRule="auto"/>
              <w:rPr>
                <w:rFonts w:ascii="Arial"/>
                <w:color w:val="auto"/>
                <w:sz w:val="21"/>
                <w:highlight w:val="none"/>
              </w:rPr>
            </w:pPr>
          </w:p>
          <w:p w14:paraId="70FC4A0B">
            <w:pPr>
              <w:pStyle w:val="18"/>
              <w:spacing w:before="68" w:line="221" w:lineRule="auto"/>
              <w:ind w:left="141"/>
              <w:rPr>
                <w:color w:val="auto"/>
                <w:highlight w:val="none"/>
              </w:rPr>
            </w:pPr>
            <w:r>
              <w:rPr>
                <w:color w:val="auto"/>
                <w:spacing w:val="-2"/>
                <w:highlight w:val="none"/>
              </w:rPr>
              <w:t>单位</w:t>
            </w:r>
          </w:p>
        </w:tc>
        <w:tc>
          <w:tcPr>
            <w:tcW w:w="709" w:type="dxa"/>
            <w:tcBorders>
              <w:top w:val="single" w:color="000000" w:sz="10" w:space="0"/>
            </w:tcBorders>
            <w:vAlign w:val="top"/>
          </w:tcPr>
          <w:p w14:paraId="00A82E3F">
            <w:pPr>
              <w:spacing w:line="328" w:lineRule="auto"/>
              <w:rPr>
                <w:rFonts w:ascii="Arial"/>
                <w:color w:val="auto"/>
                <w:sz w:val="21"/>
                <w:highlight w:val="none"/>
              </w:rPr>
            </w:pPr>
          </w:p>
          <w:p w14:paraId="3D7BA81F">
            <w:pPr>
              <w:pStyle w:val="18"/>
              <w:spacing w:before="68" w:line="221" w:lineRule="auto"/>
              <w:ind w:left="148"/>
              <w:rPr>
                <w:color w:val="auto"/>
                <w:highlight w:val="none"/>
              </w:rPr>
            </w:pPr>
            <w:r>
              <w:rPr>
                <w:color w:val="auto"/>
                <w:spacing w:val="-2"/>
                <w:highlight w:val="none"/>
              </w:rPr>
              <w:t>数量</w:t>
            </w:r>
          </w:p>
        </w:tc>
        <w:tc>
          <w:tcPr>
            <w:tcW w:w="847" w:type="dxa"/>
            <w:tcBorders>
              <w:top w:val="single" w:color="000000" w:sz="10" w:space="0"/>
            </w:tcBorders>
            <w:vAlign w:val="top"/>
          </w:tcPr>
          <w:p w14:paraId="3085978B">
            <w:pPr>
              <w:pStyle w:val="18"/>
              <w:spacing w:before="178" w:line="441" w:lineRule="exact"/>
              <w:ind w:left="217"/>
              <w:rPr>
                <w:color w:val="auto"/>
                <w:highlight w:val="none"/>
              </w:rPr>
            </w:pPr>
            <w:r>
              <w:rPr>
                <w:color w:val="auto"/>
                <w:spacing w:val="-2"/>
                <w:position w:val="17"/>
                <w:highlight w:val="none"/>
              </w:rPr>
              <w:t>单价</w:t>
            </w:r>
          </w:p>
          <w:p w14:paraId="507257AE">
            <w:pPr>
              <w:pStyle w:val="18"/>
              <w:spacing w:line="221" w:lineRule="auto"/>
              <w:ind w:left="116"/>
              <w:rPr>
                <w:color w:val="auto"/>
                <w:highlight w:val="none"/>
              </w:rPr>
            </w:pPr>
            <w:r>
              <w:rPr>
                <w:color w:val="auto"/>
                <w:spacing w:val="-6"/>
                <w:highlight w:val="none"/>
              </w:rPr>
              <w:t>（元）</w:t>
            </w:r>
          </w:p>
        </w:tc>
        <w:tc>
          <w:tcPr>
            <w:tcW w:w="847" w:type="dxa"/>
            <w:tcBorders>
              <w:top w:val="single" w:color="000000" w:sz="10" w:space="0"/>
            </w:tcBorders>
            <w:vAlign w:val="top"/>
          </w:tcPr>
          <w:p w14:paraId="181CD379">
            <w:pPr>
              <w:pStyle w:val="18"/>
              <w:spacing w:before="178" w:line="441" w:lineRule="exact"/>
              <w:ind w:left="224"/>
              <w:rPr>
                <w:color w:val="auto"/>
                <w:highlight w:val="none"/>
              </w:rPr>
            </w:pPr>
            <w:r>
              <w:rPr>
                <w:color w:val="auto"/>
                <w:spacing w:val="-2"/>
                <w:position w:val="17"/>
                <w:highlight w:val="none"/>
              </w:rPr>
              <w:t>质量</w:t>
            </w:r>
          </w:p>
          <w:p w14:paraId="44F22B3B">
            <w:pPr>
              <w:pStyle w:val="18"/>
              <w:spacing w:line="220" w:lineRule="auto"/>
              <w:ind w:left="224"/>
              <w:rPr>
                <w:color w:val="auto"/>
                <w:highlight w:val="none"/>
              </w:rPr>
            </w:pPr>
            <w:r>
              <w:rPr>
                <w:color w:val="auto"/>
                <w:spacing w:val="-2"/>
                <w:highlight w:val="none"/>
              </w:rPr>
              <w:t>等级</w:t>
            </w:r>
          </w:p>
        </w:tc>
        <w:tc>
          <w:tcPr>
            <w:tcW w:w="800" w:type="dxa"/>
            <w:tcBorders>
              <w:top w:val="single" w:color="000000" w:sz="10" w:space="0"/>
            </w:tcBorders>
            <w:vAlign w:val="top"/>
          </w:tcPr>
          <w:p w14:paraId="3E8C5F62">
            <w:pPr>
              <w:pStyle w:val="18"/>
              <w:spacing w:before="178" w:line="441" w:lineRule="exact"/>
              <w:ind w:left="202"/>
              <w:rPr>
                <w:color w:val="auto"/>
                <w:highlight w:val="none"/>
              </w:rPr>
            </w:pPr>
            <w:r>
              <w:rPr>
                <w:color w:val="auto"/>
                <w:spacing w:val="-2"/>
                <w:position w:val="17"/>
                <w:highlight w:val="none"/>
              </w:rPr>
              <w:t>供应</w:t>
            </w:r>
          </w:p>
          <w:p w14:paraId="6D6E27B9">
            <w:pPr>
              <w:pStyle w:val="18"/>
              <w:spacing w:line="222" w:lineRule="auto"/>
              <w:ind w:left="212"/>
              <w:rPr>
                <w:color w:val="auto"/>
                <w:highlight w:val="none"/>
              </w:rPr>
            </w:pPr>
            <w:r>
              <w:rPr>
                <w:color w:val="auto"/>
                <w:spacing w:val="-4"/>
                <w:highlight w:val="none"/>
              </w:rPr>
              <w:t>时间</w:t>
            </w:r>
          </w:p>
        </w:tc>
        <w:tc>
          <w:tcPr>
            <w:tcW w:w="1465" w:type="dxa"/>
            <w:tcBorders>
              <w:top w:val="single" w:color="000000" w:sz="10" w:space="0"/>
            </w:tcBorders>
            <w:vAlign w:val="top"/>
          </w:tcPr>
          <w:p w14:paraId="69C7258B">
            <w:pPr>
              <w:spacing w:line="328" w:lineRule="auto"/>
              <w:rPr>
                <w:rFonts w:ascii="Arial"/>
                <w:color w:val="auto"/>
                <w:sz w:val="21"/>
                <w:highlight w:val="none"/>
              </w:rPr>
            </w:pPr>
          </w:p>
          <w:p w14:paraId="739DE833">
            <w:pPr>
              <w:pStyle w:val="18"/>
              <w:spacing w:before="68" w:line="225" w:lineRule="auto"/>
              <w:ind w:left="322"/>
              <w:rPr>
                <w:color w:val="auto"/>
                <w:highlight w:val="none"/>
              </w:rPr>
            </w:pPr>
            <w:r>
              <w:rPr>
                <w:color w:val="auto"/>
                <w:spacing w:val="-1"/>
                <w:highlight w:val="none"/>
              </w:rPr>
              <w:t>送达地点</w:t>
            </w:r>
          </w:p>
        </w:tc>
        <w:tc>
          <w:tcPr>
            <w:tcW w:w="816" w:type="dxa"/>
            <w:tcBorders>
              <w:top w:val="single" w:color="000000" w:sz="10" w:space="0"/>
              <w:right w:val="single" w:color="000000" w:sz="10" w:space="0"/>
            </w:tcBorders>
            <w:vAlign w:val="top"/>
          </w:tcPr>
          <w:p w14:paraId="5D5A1B5C">
            <w:pPr>
              <w:spacing w:line="328" w:lineRule="auto"/>
              <w:rPr>
                <w:rFonts w:ascii="Arial"/>
                <w:color w:val="auto"/>
                <w:sz w:val="21"/>
                <w:highlight w:val="none"/>
              </w:rPr>
            </w:pPr>
          </w:p>
          <w:p w14:paraId="6E991574">
            <w:pPr>
              <w:pStyle w:val="18"/>
              <w:spacing w:before="68" w:line="222" w:lineRule="auto"/>
              <w:ind w:left="206"/>
              <w:rPr>
                <w:color w:val="auto"/>
                <w:highlight w:val="none"/>
              </w:rPr>
            </w:pPr>
            <w:r>
              <w:rPr>
                <w:color w:val="auto"/>
                <w:spacing w:val="-3"/>
                <w:highlight w:val="none"/>
              </w:rPr>
              <w:t>备注</w:t>
            </w:r>
          </w:p>
        </w:tc>
      </w:tr>
      <w:tr w14:paraId="44B07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461F7989">
            <w:pPr>
              <w:rPr>
                <w:rFonts w:ascii="Arial"/>
                <w:color w:val="auto"/>
                <w:sz w:val="21"/>
                <w:highlight w:val="none"/>
              </w:rPr>
            </w:pPr>
          </w:p>
        </w:tc>
        <w:tc>
          <w:tcPr>
            <w:tcW w:w="1130" w:type="dxa"/>
            <w:vAlign w:val="top"/>
          </w:tcPr>
          <w:p w14:paraId="7947F369">
            <w:pPr>
              <w:rPr>
                <w:rFonts w:ascii="Arial"/>
                <w:color w:val="auto"/>
                <w:sz w:val="21"/>
                <w:highlight w:val="none"/>
              </w:rPr>
            </w:pPr>
          </w:p>
        </w:tc>
        <w:tc>
          <w:tcPr>
            <w:tcW w:w="852" w:type="dxa"/>
            <w:vAlign w:val="top"/>
          </w:tcPr>
          <w:p w14:paraId="2B17E2BE">
            <w:pPr>
              <w:rPr>
                <w:rFonts w:ascii="Arial"/>
                <w:color w:val="auto"/>
                <w:sz w:val="21"/>
                <w:highlight w:val="none"/>
              </w:rPr>
            </w:pPr>
          </w:p>
        </w:tc>
        <w:tc>
          <w:tcPr>
            <w:tcW w:w="704" w:type="dxa"/>
            <w:vAlign w:val="top"/>
          </w:tcPr>
          <w:p w14:paraId="2113E0C4">
            <w:pPr>
              <w:rPr>
                <w:rFonts w:ascii="Arial"/>
                <w:color w:val="auto"/>
                <w:sz w:val="21"/>
                <w:highlight w:val="none"/>
              </w:rPr>
            </w:pPr>
          </w:p>
        </w:tc>
        <w:tc>
          <w:tcPr>
            <w:tcW w:w="709" w:type="dxa"/>
            <w:vAlign w:val="top"/>
          </w:tcPr>
          <w:p w14:paraId="668602BD">
            <w:pPr>
              <w:rPr>
                <w:rFonts w:ascii="Arial"/>
                <w:color w:val="auto"/>
                <w:sz w:val="21"/>
                <w:highlight w:val="none"/>
              </w:rPr>
            </w:pPr>
          </w:p>
        </w:tc>
        <w:tc>
          <w:tcPr>
            <w:tcW w:w="847" w:type="dxa"/>
            <w:vAlign w:val="top"/>
          </w:tcPr>
          <w:p w14:paraId="7C49E453">
            <w:pPr>
              <w:rPr>
                <w:rFonts w:ascii="Arial"/>
                <w:color w:val="auto"/>
                <w:sz w:val="21"/>
                <w:highlight w:val="none"/>
              </w:rPr>
            </w:pPr>
          </w:p>
        </w:tc>
        <w:tc>
          <w:tcPr>
            <w:tcW w:w="847" w:type="dxa"/>
            <w:vAlign w:val="top"/>
          </w:tcPr>
          <w:p w14:paraId="59B1711D">
            <w:pPr>
              <w:rPr>
                <w:rFonts w:ascii="Arial"/>
                <w:color w:val="auto"/>
                <w:sz w:val="21"/>
                <w:highlight w:val="none"/>
              </w:rPr>
            </w:pPr>
          </w:p>
        </w:tc>
        <w:tc>
          <w:tcPr>
            <w:tcW w:w="800" w:type="dxa"/>
            <w:vAlign w:val="top"/>
          </w:tcPr>
          <w:p w14:paraId="382BC936">
            <w:pPr>
              <w:rPr>
                <w:rFonts w:ascii="Arial"/>
                <w:color w:val="auto"/>
                <w:sz w:val="21"/>
                <w:highlight w:val="none"/>
              </w:rPr>
            </w:pPr>
          </w:p>
        </w:tc>
        <w:tc>
          <w:tcPr>
            <w:tcW w:w="1465" w:type="dxa"/>
            <w:vAlign w:val="top"/>
          </w:tcPr>
          <w:p w14:paraId="7AC031CA">
            <w:pPr>
              <w:rPr>
                <w:rFonts w:ascii="Arial"/>
                <w:color w:val="auto"/>
                <w:sz w:val="21"/>
                <w:highlight w:val="none"/>
              </w:rPr>
            </w:pPr>
          </w:p>
        </w:tc>
        <w:tc>
          <w:tcPr>
            <w:tcW w:w="816" w:type="dxa"/>
            <w:tcBorders>
              <w:right w:val="single" w:color="000000" w:sz="10" w:space="0"/>
            </w:tcBorders>
            <w:vAlign w:val="top"/>
          </w:tcPr>
          <w:p w14:paraId="6E4C3D07">
            <w:pPr>
              <w:rPr>
                <w:rFonts w:ascii="Arial"/>
                <w:color w:val="auto"/>
                <w:sz w:val="21"/>
                <w:highlight w:val="none"/>
              </w:rPr>
            </w:pPr>
          </w:p>
        </w:tc>
      </w:tr>
      <w:tr w14:paraId="3BB8A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17A1D9F8">
            <w:pPr>
              <w:rPr>
                <w:rFonts w:ascii="Arial"/>
                <w:color w:val="auto"/>
                <w:sz w:val="21"/>
                <w:highlight w:val="none"/>
              </w:rPr>
            </w:pPr>
          </w:p>
        </w:tc>
        <w:tc>
          <w:tcPr>
            <w:tcW w:w="1130" w:type="dxa"/>
            <w:vAlign w:val="top"/>
          </w:tcPr>
          <w:p w14:paraId="149A8B58">
            <w:pPr>
              <w:rPr>
                <w:rFonts w:ascii="Arial"/>
                <w:color w:val="auto"/>
                <w:sz w:val="21"/>
                <w:highlight w:val="none"/>
              </w:rPr>
            </w:pPr>
          </w:p>
        </w:tc>
        <w:tc>
          <w:tcPr>
            <w:tcW w:w="852" w:type="dxa"/>
            <w:vAlign w:val="top"/>
          </w:tcPr>
          <w:p w14:paraId="223DFB5C">
            <w:pPr>
              <w:rPr>
                <w:rFonts w:ascii="Arial"/>
                <w:color w:val="auto"/>
                <w:sz w:val="21"/>
                <w:highlight w:val="none"/>
              </w:rPr>
            </w:pPr>
          </w:p>
        </w:tc>
        <w:tc>
          <w:tcPr>
            <w:tcW w:w="704" w:type="dxa"/>
            <w:vAlign w:val="top"/>
          </w:tcPr>
          <w:p w14:paraId="6A6F922C">
            <w:pPr>
              <w:rPr>
                <w:rFonts w:ascii="Arial"/>
                <w:color w:val="auto"/>
                <w:sz w:val="21"/>
                <w:highlight w:val="none"/>
              </w:rPr>
            </w:pPr>
          </w:p>
        </w:tc>
        <w:tc>
          <w:tcPr>
            <w:tcW w:w="709" w:type="dxa"/>
            <w:vAlign w:val="top"/>
          </w:tcPr>
          <w:p w14:paraId="56F00F17">
            <w:pPr>
              <w:rPr>
                <w:rFonts w:ascii="Arial"/>
                <w:color w:val="auto"/>
                <w:sz w:val="21"/>
                <w:highlight w:val="none"/>
              </w:rPr>
            </w:pPr>
          </w:p>
        </w:tc>
        <w:tc>
          <w:tcPr>
            <w:tcW w:w="847" w:type="dxa"/>
            <w:vAlign w:val="top"/>
          </w:tcPr>
          <w:p w14:paraId="18D6B9DE">
            <w:pPr>
              <w:rPr>
                <w:rFonts w:ascii="Arial"/>
                <w:color w:val="auto"/>
                <w:sz w:val="21"/>
                <w:highlight w:val="none"/>
              </w:rPr>
            </w:pPr>
          </w:p>
        </w:tc>
        <w:tc>
          <w:tcPr>
            <w:tcW w:w="847" w:type="dxa"/>
            <w:vAlign w:val="top"/>
          </w:tcPr>
          <w:p w14:paraId="3F8D826F">
            <w:pPr>
              <w:rPr>
                <w:rFonts w:ascii="Arial"/>
                <w:color w:val="auto"/>
                <w:sz w:val="21"/>
                <w:highlight w:val="none"/>
              </w:rPr>
            </w:pPr>
          </w:p>
        </w:tc>
        <w:tc>
          <w:tcPr>
            <w:tcW w:w="800" w:type="dxa"/>
            <w:vAlign w:val="top"/>
          </w:tcPr>
          <w:p w14:paraId="33D0983E">
            <w:pPr>
              <w:rPr>
                <w:rFonts w:ascii="Arial"/>
                <w:color w:val="auto"/>
                <w:sz w:val="21"/>
                <w:highlight w:val="none"/>
              </w:rPr>
            </w:pPr>
          </w:p>
        </w:tc>
        <w:tc>
          <w:tcPr>
            <w:tcW w:w="1465" w:type="dxa"/>
            <w:vAlign w:val="top"/>
          </w:tcPr>
          <w:p w14:paraId="4678ECA1">
            <w:pPr>
              <w:rPr>
                <w:rFonts w:ascii="Arial"/>
                <w:color w:val="auto"/>
                <w:sz w:val="21"/>
                <w:highlight w:val="none"/>
              </w:rPr>
            </w:pPr>
          </w:p>
        </w:tc>
        <w:tc>
          <w:tcPr>
            <w:tcW w:w="816" w:type="dxa"/>
            <w:tcBorders>
              <w:right w:val="single" w:color="000000" w:sz="10" w:space="0"/>
            </w:tcBorders>
            <w:vAlign w:val="top"/>
          </w:tcPr>
          <w:p w14:paraId="1600DB7A">
            <w:pPr>
              <w:rPr>
                <w:rFonts w:ascii="Arial"/>
                <w:color w:val="auto"/>
                <w:sz w:val="21"/>
                <w:highlight w:val="none"/>
              </w:rPr>
            </w:pPr>
          </w:p>
        </w:tc>
      </w:tr>
      <w:tr w14:paraId="62D1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0D84228F">
            <w:pPr>
              <w:rPr>
                <w:rFonts w:ascii="Arial"/>
                <w:color w:val="auto"/>
                <w:sz w:val="21"/>
                <w:highlight w:val="none"/>
              </w:rPr>
            </w:pPr>
          </w:p>
        </w:tc>
        <w:tc>
          <w:tcPr>
            <w:tcW w:w="1130" w:type="dxa"/>
            <w:vAlign w:val="top"/>
          </w:tcPr>
          <w:p w14:paraId="2B95957A">
            <w:pPr>
              <w:rPr>
                <w:rFonts w:ascii="Arial"/>
                <w:color w:val="auto"/>
                <w:sz w:val="21"/>
                <w:highlight w:val="none"/>
              </w:rPr>
            </w:pPr>
          </w:p>
        </w:tc>
        <w:tc>
          <w:tcPr>
            <w:tcW w:w="852" w:type="dxa"/>
            <w:vAlign w:val="top"/>
          </w:tcPr>
          <w:p w14:paraId="283EE472">
            <w:pPr>
              <w:rPr>
                <w:rFonts w:ascii="Arial"/>
                <w:color w:val="auto"/>
                <w:sz w:val="21"/>
                <w:highlight w:val="none"/>
              </w:rPr>
            </w:pPr>
          </w:p>
        </w:tc>
        <w:tc>
          <w:tcPr>
            <w:tcW w:w="704" w:type="dxa"/>
            <w:vAlign w:val="top"/>
          </w:tcPr>
          <w:p w14:paraId="5B8C44B0">
            <w:pPr>
              <w:rPr>
                <w:rFonts w:ascii="Arial"/>
                <w:color w:val="auto"/>
                <w:sz w:val="21"/>
                <w:highlight w:val="none"/>
              </w:rPr>
            </w:pPr>
          </w:p>
        </w:tc>
        <w:tc>
          <w:tcPr>
            <w:tcW w:w="709" w:type="dxa"/>
            <w:vAlign w:val="top"/>
          </w:tcPr>
          <w:p w14:paraId="68595B19">
            <w:pPr>
              <w:rPr>
                <w:rFonts w:ascii="Arial"/>
                <w:color w:val="auto"/>
                <w:sz w:val="21"/>
                <w:highlight w:val="none"/>
              </w:rPr>
            </w:pPr>
          </w:p>
        </w:tc>
        <w:tc>
          <w:tcPr>
            <w:tcW w:w="847" w:type="dxa"/>
            <w:vAlign w:val="top"/>
          </w:tcPr>
          <w:p w14:paraId="77E45D78">
            <w:pPr>
              <w:rPr>
                <w:rFonts w:ascii="Arial"/>
                <w:color w:val="auto"/>
                <w:sz w:val="21"/>
                <w:highlight w:val="none"/>
              </w:rPr>
            </w:pPr>
          </w:p>
        </w:tc>
        <w:tc>
          <w:tcPr>
            <w:tcW w:w="847" w:type="dxa"/>
            <w:vAlign w:val="top"/>
          </w:tcPr>
          <w:p w14:paraId="60C1971A">
            <w:pPr>
              <w:rPr>
                <w:rFonts w:ascii="Arial"/>
                <w:color w:val="auto"/>
                <w:sz w:val="21"/>
                <w:highlight w:val="none"/>
              </w:rPr>
            </w:pPr>
          </w:p>
        </w:tc>
        <w:tc>
          <w:tcPr>
            <w:tcW w:w="800" w:type="dxa"/>
            <w:vAlign w:val="top"/>
          </w:tcPr>
          <w:p w14:paraId="48538455">
            <w:pPr>
              <w:rPr>
                <w:rFonts w:ascii="Arial"/>
                <w:color w:val="auto"/>
                <w:sz w:val="21"/>
                <w:highlight w:val="none"/>
              </w:rPr>
            </w:pPr>
          </w:p>
        </w:tc>
        <w:tc>
          <w:tcPr>
            <w:tcW w:w="1465" w:type="dxa"/>
            <w:vAlign w:val="top"/>
          </w:tcPr>
          <w:p w14:paraId="0FD5E8BB">
            <w:pPr>
              <w:rPr>
                <w:rFonts w:ascii="Arial"/>
                <w:color w:val="auto"/>
                <w:sz w:val="21"/>
                <w:highlight w:val="none"/>
              </w:rPr>
            </w:pPr>
          </w:p>
        </w:tc>
        <w:tc>
          <w:tcPr>
            <w:tcW w:w="816" w:type="dxa"/>
            <w:tcBorders>
              <w:right w:val="single" w:color="000000" w:sz="10" w:space="0"/>
            </w:tcBorders>
            <w:vAlign w:val="top"/>
          </w:tcPr>
          <w:p w14:paraId="26D3C2A4">
            <w:pPr>
              <w:rPr>
                <w:rFonts w:ascii="Arial"/>
                <w:color w:val="auto"/>
                <w:sz w:val="21"/>
                <w:highlight w:val="none"/>
              </w:rPr>
            </w:pPr>
          </w:p>
        </w:tc>
      </w:tr>
      <w:tr w14:paraId="5946B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7FBC3568">
            <w:pPr>
              <w:rPr>
                <w:rFonts w:ascii="Arial"/>
                <w:color w:val="auto"/>
                <w:sz w:val="21"/>
                <w:highlight w:val="none"/>
              </w:rPr>
            </w:pPr>
          </w:p>
        </w:tc>
        <w:tc>
          <w:tcPr>
            <w:tcW w:w="1130" w:type="dxa"/>
            <w:vAlign w:val="top"/>
          </w:tcPr>
          <w:p w14:paraId="154DA735">
            <w:pPr>
              <w:rPr>
                <w:rFonts w:ascii="Arial"/>
                <w:color w:val="auto"/>
                <w:sz w:val="21"/>
                <w:highlight w:val="none"/>
              </w:rPr>
            </w:pPr>
          </w:p>
        </w:tc>
        <w:tc>
          <w:tcPr>
            <w:tcW w:w="852" w:type="dxa"/>
            <w:vAlign w:val="top"/>
          </w:tcPr>
          <w:p w14:paraId="097FC135">
            <w:pPr>
              <w:rPr>
                <w:rFonts w:ascii="Arial"/>
                <w:color w:val="auto"/>
                <w:sz w:val="21"/>
                <w:highlight w:val="none"/>
              </w:rPr>
            </w:pPr>
          </w:p>
        </w:tc>
        <w:tc>
          <w:tcPr>
            <w:tcW w:w="704" w:type="dxa"/>
            <w:vAlign w:val="top"/>
          </w:tcPr>
          <w:p w14:paraId="663834F2">
            <w:pPr>
              <w:rPr>
                <w:rFonts w:ascii="Arial"/>
                <w:color w:val="auto"/>
                <w:sz w:val="21"/>
                <w:highlight w:val="none"/>
              </w:rPr>
            </w:pPr>
          </w:p>
        </w:tc>
        <w:tc>
          <w:tcPr>
            <w:tcW w:w="709" w:type="dxa"/>
            <w:vAlign w:val="top"/>
          </w:tcPr>
          <w:p w14:paraId="79C6FCA4">
            <w:pPr>
              <w:rPr>
                <w:rFonts w:ascii="Arial"/>
                <w:color w:val="auto"/>
                <w:sz w:val="21"/>
                <w:highlight w:val="none"/>
              </w:rPr>
            </w:pPr>
          </w:p>
        </w:tc>
        <w:tc>
          <w:tcPr>
            <w:tcW w:w="847" w:type="dxa"/>
            <w:vAlign w:val="top"/>
          </w:tcPr>
          <w:p w14:paraId="186A84DA">
            <w:pPr>
              <w:rPr>
                <w:rFonts w:ascii="Arial"/>
                <w:color w:val="auto"/>
                <w:sz w:val="21"/>
                <w:highlight w:val="none"/>
              </w:rPr>
            </w:pPr>
          </w:p>
        </w:tc>
        <w:tc>
          <w:tcPr>
            <w:tcW w:w="847" w:type="dxa"/>
            <w:vAlign w:val="top"/>
          </w:tcPr>
          <w:p w14:paraId="20DFCDF2">
            <w:pPr>
              <w:rPr>
                <w:rFonts w:ascii="Arial"/>
                <w:color w:val="auto"/>
                <w:sz w:val="21"/>
                <w:highlight w:val="none"/>
              </w:rPr>
            </w:pPr>
          </w:p>
        </w:tc>
        <w:tc>
          <w:tcPr>
            <w:tcW w:w="800" w:type="dxa"/>
            <w:vAlign w:val="top"/>
          </w:tcPr>
          <w:p w14:paraId="26088FEA">
            <w:pPr>
              <w:rPr>
                <w:rFonts w:ascii="Arial"/>
                <w:color w:val="auto"/>
                <w:sz w:val="21"/>
                <w:highlight w:val="none"/>
              </w:rPr>
            </w:pPr>
          </w:p>
        </w:tc>
        <w:tc>
          <w:tcPr>
            <w:tcW w:w="1465" w:type="dxa"/>
            <w:vAlign w:val="top"/>
          </w:tcPr>
          <w:p w14:paraId="08C8041D">
            <w:pPr>
              <w:rPr>
                <w:rFonts w:ascii="Arial"/>
                <w:color w:val="auto"/>
                <w:sz w:val="21"/>
                <w:highlight w:val="none"/>
              </w:rPr>
            </w:pPr>
          </w:p>
        </w:tc>
        <w:tc>
          <w:tcPr>
            <w:tcW w:w="816" w:type="dxa"/>
            <w:tcBorders>
              <w:right w:val="single" w:color="000000" w:sz="10" w:space="0"/>
            </w:tcBorders>
            <w:vAlign w:val="top"/>
          </w:tcPr>
          <w:p w14:paraId="1E3058C6">
            <w:pPr>
              <w:rPr>
                <w:rFonts w:ascii="Arial"/>
                <w:color w:val="auto"/>
                <w:sz w:val="21"/>
                <w:highlight w:val="none"/>
              </w:rPr>
            </w:pPr>
          </w:p>
        </w:tc>
      </w:tr>
      <w:tr w14:paraId="4CA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0D857D4">
            <w:pPr>
              <w:rPr>
                <w:rFonts w:ascii="Arial"/>
                <w:color w:val="auto"/>
                <w:sz w:val="21"/>
                <w:highlight w:val="none"/>
              </w:rPr>
            </w:pPr>
          </w:p>
        </w:tc>
        <w:tc>
          <w:tcPr>
            <w:tcW w:w="1130" w:type="dxa"/>
            <w:vAlign w:val="top"/>
          </w:tcPr>
          <w:p w14:paraId="66C8D7E0">
            <w:pPr>
              <w:rPr>
                <w:rFonts w:ascii="Arial"/>
                <w:color w:val="auto"/>
                <w:sz w:val="21"/>
                <w:highlight w:val="none"/>
              </w:rPr>
            </w:pPr>
          </w:p>
        </w:tc>
        <w:tc>
          <w:tcPr>
            <w:tcW w:w="852" w:type="dxa"/>
            <w:vAlign w:val="top"/>
          </w:tcPr>
          <w:p w14:paraId="773370CE">
            <w:pPr>
              <w:rPr>
                <w:rFonts w:ascii="Arial"/>
                <w:color w:val="auto"/>
                <w:sz w:val="21"/>
                <w:highlight w:val="none"/>
              </w:rPr>
            </w:pPr>
          </w:p>
        </w:tc>
        <w:tc>
          <w:tcPr>
            <w:tcW w:w="704" w:type="dxa"/>
            <w:vAlign w:val="top"/>
          </w:tcPr>
          <w:p w14:paraId="3B97D5D6">
            <w:pPr>
              <w:rPr>
                <w:rFonts w:ascii="Arial"/>
                <w:color w:val="auto"/>
                <w:sz w:val="21"/>
                <w:highlight w:val="none"/>
              </w:rPr>
            </w:pPr>
          </w:p>
        </w:tc>
        <w:tc>
          <w:tcPr>
            <w:tcW w:w="709" w:type="dxa"/>
            <w:vAlign w:val="top"/>
          </w:tcPr>
          <w:p w14:paraId="590DBA85">
            <w:pPr>
              <w:rPr>
                <w:rFonts w:ascii="Arial"/>
                <w:color w:val="auto"/>
                <w:sz w:val="21"/>
                <w:highlight w:val="none"/>
              </w:rPr>
            </w:pPr>
          </w:p>
        </w:tc>
        <w:tc>
          <w:tcPr>
            <w:tcW w:w="847" w:type="dxa"/>
            <w:vAlign w:val="top"/>
          </w:tcPr>
          <w:p w14:paraId="3AD6A3BA">
            <w:pPr>
              <w:rPr>
                <w:rFonts w:ascii="Arial"/>
                <w:color w:val="auto"/>
                <w:sz w:val="21"/>
                <w:highlight w:val="none"/>
              </w:rPr>
            </w:pPr>
          </w:p>
        </w:tc>
        <w:tc>
          <w:tcPr>
            <w:tcW w:w="847" w:type="dxa"/>
            <w:vAlign w:val="top"/>
          </w:tcPr>
          <w:p w14:paraId="512FD707">
            <w:pPr>
              <w:rPr>
                <w:rFonts w:ascii="Arial"/>
                <w:color w:val="auto"/>
                <w:sz w:val="21"/>
                <w:highlight w:val="none"/>
              </w:rPr>
            </w:pPr>
          </w:p>
        </w:tc>
        <w:tc>
          <w:tcPr>
            <w:tcW w:w="800" w:type="dxa"/>
            <w:vAlign w:val="top"/>
          </w:tcPr>
          <w:p w14:paraId="78DA47BF">
            <w:pPr>
              <w:rPr>
                <w:rFonts w:ascii="Arial"/>
                <w:color w:val="auto"/>
                <w:sz w:val="21"/>
                <w:highlight w:val="none"/>
              </w:rPr>
            </w:pPr>
          </w:p>
        </w:tc>
        <w:tc>
          <w:tcPr>
            <w:tcW w:w="1465" w:type="dxa"/>
            <w:vAlign w:val="top"/>
          </w:tcPr>
          <w:p w14:paraId="28FB7FE6">
            <w:pPr>
              <w:rPr>
                <w:rFonts w:ascii="Arial"/>
                <w:color w:val="auto"/>
                <w:sz w:val="21"/>
                <w:highlight w:val="none"/>
              </w:rPr>
            </w:pPr>
          </w:p>
        </w:tc>
        <w:tc>
          <w:tcPr>
            <w:tcW w:w="816" w:type="dxa"/>
            <w:tcBorders>
              <w:right w:val="single" w:color="000000" w:sz="10" w:space="0"/>
            </w:tcBorders>
            <w:vAlign w:val="top"/>
          </w:tcPr>
          <w:p w14:paraId="716F3EB1">
            <w:pPr>
              <w:rPr>
                <w:rFonts w:ascii="Arial"/>
                <w:color w:val="auto"/>
                <w:sz w:val="21"/>
                <w:highlight w:val="none"/>
              </w:rPr>
            </w:pPr>
          </w:p>
        </w:tc>
      </w:tr>
      <w:tr w14:paraId="0D95D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11709D7D">
            <w:pPr>
              <w:rPr>
                <w:rFonts w:ascii="Arial"/>
                <w:color w:val="auto"/>
                <w:sz w:val="21"/>
                <w:highlight w:val="none"/>
              </w:rPr>
            </w:pPr>
          </w:p>
        </w:tc>
        <w:tc>
          <w:tcPr>
            <w:tcW w:w="1130" w:type="dxa"/>
            <w:vAlign w:val="top"/>
          </w:tcPr>
          <w:p w14:paraId="59D2E843">
            <w:pPr>
              <w:rPr>
                <w:rFonts w:ascii="Arial"/>
                <w:color w:val="auto"/>
                <w:sz w:val="21"/>
                <w:highlight w:val="none"/>
              </w:rPr>
            </w:pPr>
          </w:p>
        </w:tc>
        <w:tc>
          <w:tcPr>
            <w:tcW w:w="852" w:type="dxa"/>
            <w:vAlign w:val="top"/>
          </w:tcPr>
          <w:p w14:paraId="174141F5">
            <w:pPr>
              <w:rPr>
                <w:rFonts w:ascii="Arial"/>
                <w:color w:val="auto"/>
                <w:sz w:val="21"/>
                <w:highlight w:val="none"/>
              </w:rPr>
            </w:pPr>
          </w:p>
        </w:tc>
        <w:tc>
          <w:tcPr>
            <w:tcW w:w="704" w:type="dxa"/>
            <w:vAlign w:val="top"/>
          </w:tcPr>
          <w:p w14:paraId="7E6C1079">
            <w:pPr>
              <w:rPr>
                <w:rFonts w:ascii="Arial"/>
                <w:color w:val="auto"/>
                <w:sz w:val="21"/>
                <w:highlight w:val="none"/>
              </w:rPr>
            </w:pPr>
          </w:p>
        </w:tc>
        <w:tc>
          <w:tcPr>
            <w:tcW w:w="709" w:type="dxa"/>
            <w:vAlign w:val="top"/>
          </w:tcPr>
          <w:p w14:paraId="4F59B87A">
            <w:pPr>
              <w:rPr>
                <w:rFonts w:ascii="Arial"/>
                <w:color w:val="auto"/>
                <w:sz w:val="21"/>
                <w:highlight w:val="none"/>
              </w:rPr>
            </w:pPr>
          </w:p>
        </w:tc>
        <w:tc>
          <w:tcPr>
            <w:tcW w:w="847" w:type="dxa"/>
            <w:vAlign w:val="top"/>
          </w:tcPr>
          <w:p w14:paraId="6CD7B8A5">
            <w:pPr>
              <w:rPr>
                <w:rFonts w:ascii="Arial"/>
                <w:color w:val="auto"/>
                <w:sz w:val="21"/>
                <w:highlight w:val="none"/>
              </w:rPr>
            </w:pPr>
          </w:p>
        </w:tc>
        <w:tc>
          <w:tcPr>
            <w:tcW w:w="847" w:type="dxa"/>
            <w:vAlign w:val="top"/>
          </w:tcPr>
          <w:p w14:paraId="7B19DB52">
            <w:pPr>
              <w:rPr>
                <w:rFonts w:ascii="Arial"/>
                <w:color w:val="auto"/>
                <w:sz w:val="21"/>
                <w:highlight w:val="none"/>
              </w:rPr>
            </w:pPr>
          </w:p>
        </w:tc>
        <w:tc>
          <w:tcPr>
            <w:tcW w:w="800" w:type="dxa"/>
            <w:vAlign w:val="top"/>
          </w:tcPr>
          <w:p w14:paraId="098E07B7">
            <w:pPr>
              <w:rPr>
                <w:rFonts w:ascii="Arial"/>
                <w:color w:val="auto"/>
                <w:sz w:val="21"/>
                <w:highlight w:val="none"/>
              </w:rPr>
            </w:pPr>
          </w:p>
        </w:tc>
        <w:tc>
          <w:tcPr>
            <w:tcW w:w="1465" w:type="dxa"/>
            <w:vAlign w:val="top"/>
          </w:tcPr>
          <w:p w14:paraId="182F93D2">
            <w:pPr>
              <w:rPr>
                <w:rFonts w:ascii="Arial"/>
                <w:color w:val="auto"/>
                <w:sz w:val="21"/>
                <w:highlight w:val="none"/>
              </w:rPr>
            </w:pPr>
          </w:p>
        </w:tc>
        <w:tc>
          <w:tcPr>
            <w:tcW w:w="816" w:type="dxa"/>
            <w:tcBorders>
              <w:right w:val="single" w:color="000000" w:sz="10" w:space="0"/>
            </w:tcBorders>
            <w:vAlign w:val="top"/>
          </w:tcPr>
          <w:p w14:paraId="27E5627F">
            <w:pPr>
              <w:rPr>
                <w:rFonts w:ascii="Arial"/>
                <w:color w:val="auto"/>
                <w:sz w:val="21"/>
                <w:highlight w:val="none"/>
              </w:rPr>
            </w:pPr>
          </w:p>
        </w:tc>
      </w:tr>
      <w:tr w14:paraId="1D66F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4CD4482A">
            <w:pPr>
              <w:rPr>
                <w:rFonts w:ascii="Arial"/>
                <w:color w:val="auto"/>
                <w:sz w:val="21"/>
                <w:highlight w:val="none"/>
              </w:rPr>
            </w:pPr>
          </w:p>
        </w:tc>
        <w:tc>
          <w:tcPr>
            <w:tcW w:w="1130" w:type="dxa"/>
            <w:vAlign w:val="top"/>
          </w:tcPr>
          <w:p w14:paraId="2219A292">
            <w:pPr>
              <w:rPr>
                <w:rFonts w:ascii="Arial"/>
                <w:color w:val="auto"/>
                <w:sz w:val="21"/>
                <w:highlight w:val="none"/>
              </w:rPr>
            </w:pPr>
          </w:p>
        </w:tc>
        <w:tc>
          <w:tcPr>
            <w:tcW w:w="852" w:type="dxa"/>
            <w:vAlign w:val="top"/>
          </w:tcPr>
          <w:p w14:paraId="31BF76FB">
            <w:pPr>
              <w:rPr>
                <w:rFonts w:ascii="Arial"/>
                <w:color w:val="auto"/>
                <w:sz w:val="21"/>
                <w:highlight w:val="none"/>
              </w:rPr>
            </w:pPr>
          </w:p>
        </w:tc>
        <w:tc>
          <w:tcPr>
            <w:tcW w:w="704" w:type="dxa"/>
            <w:vAlign w:val="top"/>
          </w:tcPr>
          <w:p w14:paraId="2E28BDF4">
            <w:pPr>
              <w:rPr>
                <w:rFonts w:ascii="Arial"/>
                <w:color w:val="auto"/>
                <w:sz w:val="21"/>
                <w:highlight w:val="none"/>
              </w:rPr>
            </w:pPr>
          </w:p>
        </w:tc>
        <w:tc>
          <w:tcPr>
            <w:tcW w:w="709" w:type="dxa"/>
            <w:vAlign w:val="top"/>
          </w:tcPr>
          <w:p w14:paraId="27501480">
            <w:pPr>
              <w:rPr>
                <w:rFonts w:ascii="Arial"/>
                <w:color w:val="auto"/>
                <w:sz w:val="21"/>
                <w:highlight w:val="none"/>
              </w:rPr>
            </w:pPr>
          </w:p>
        </w:tc>
        <w:tc>
          <w:tcPr>
            <w:tcW w:w="847" w:type="dxa"/>
            <w:vAlign w:val="top"/>
          </w:tcPr>
          <w:p w14:paraId="78429D5D">
            <w:pPr>
              <w:rPr>
                <w:rFonts w:ascii="Arial"/>
                <w:color w:val="auto"/>
                <w:sz w:val="21"/>
                <w:highlight w:val="none"/>
              </w:rPr>
            </w:pPr>
          </w:p>
        </w:tc>
        <w:tc>
          <w:tcPr>
            <w:tcW w:w="847" w:type="dxa"/>
            <w:vAlign w:val="top"/>
          </w:tcPr>
          <w:p w14:paraId="491AF3C5">
            <w:pPr>
              <w:rPr>
                <w:rFonts w:ascii="Arial"/>
                <w:color w:val="auto"/>
                <w:sz w:val="21"/>
                <w:highlight w:val="none"/>
              </w:rPr>
            </w:pPr>
          </w:p>
        </w:tc>
        <w:tc>
          <w:tcPr>
            <w:tcW w:w="800" w:type="dxa"/>
            <w:vAlign w:val="top"/>
          </w:tcPr>
          <w:p w14:paraId="107BEB54">
            <w:pPr>
              <w:rPr>
                <w:rFonts w:ascii="Arial"/>
                <w:color w:val="auto"/>
                <w:sz w:val="21"/>
                <w:highlight w:val="none"/>
              </w:rPr>
            </w:pPr>
          </w:p>
        </w:tc>
        <w:tc>
          <w:tcPr>
            <w:tcW w:w="1465" w:type="dxa"/>
            <w:vAlign w:val="top"/>
          </w:tcPr>
          <w:p w14:paraId="7775A59E">
            <w:pPr>
              <w:rPr>
                <w:rFonts w:ascii="Arial"/>
                <w:color w:val="auto"/>
                <w:sz w:val="21"/>
                <w:highlight w:val="none"/>
              </w:rPr>
            </w:pPr>
          </w:p>
        </w:tc>
        <w:tc>
          <w:tcPr>
            <w:tcW w:w="816" w:type="dxa"/>
            <w:tcBorders>
              <w:right w:val="single" w:color="000000" w:sz="10" w:space="0"/>
            </w:tcBorders>
            <w:vAlign w:val="top"/>
          </w:tcPr>
          <w:p w14:paraId="0C1614B7">
            <w:pPr>
              <w:rPr>
                <w:rFonts w:ascii="Arial"/>
                <w:color w:val="auto"/>
                <w:sz w:val="21"/>
                <w:highlight w:val="none"/>
              </w:rPr>
            </w:pPr>
          </w:p>
        </w:tc>
      </w:tr>
      <w:tr w14:paraId="2D46D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A38A44D">
            <w:pPr>
              <w:rPr>
                <w:rFonts w:ascii="Arial"/>
                <w:color w:val="auto"/>
                <w:sz w:val="21"/>
                <w:highlight w:val="none"/>
              </w:rPr>
            </w:pPr>
          </w:p>
        </w:tc>
        <w:tc>
          <w:tcPr>
            <w:tcW w:w="1130" w:type="dxa"/>
            <w:vAlign w:val="top"/>
          </w:tcPr>
          <w:p w14:paraId="42E9B1F9">
            <w:pPr>
              <w:rPr>
                <w:rFonts w:ascii="Arial"/>
                <w:color w:val="auto"/>
                <w:sz w:val="21"/>
                <w:highlight w:val="none"/>
              </w:rPr>
            </w:pPr>
          </w:p>
        </w:tc>
        <w:tc>
          <w:tcPr>
            <w:tcW w:w="852" w:type="dxa"/>
            <w:vAlign w:val="top"/>
          </w:tcPr>
          <w:p w14:paraId="3174C04D">
            <w:pPr>
              <w:rPr>
                <w:rFonts w:ascii="Arial"/>
                <w:color w:val="auto"/>
                <w:sz w:val="21"/>
                <w:highlight w:val="none"/>
              </w:rPr>
            </w:pPr>
          </w:p>
        </w:tc>
        <w:tc>
          <w:tcPr>
            <w:tcW w:w="704" w:type="dxa"/>
            <w:vAlign w:val="top"/>
          </w:tcPr>
          <w:p w14:paraId="1919303A">
            <w:pPr>
              <w:rPr>
                <w:rFonts w:ascii="Arial"/>
                <w:color w:val="auto"/>
                <w:sz w:val="21"/>
                <w:highlight w:val="none"/>
              </w:rPr>
            </w:pPr>
          </w:p>
        </w:tc>
        <w:tc>
          <w:tcPr>
            <w:tcW w:w="709" w:type="dxa"/>
            <w:vAlign w:val="top"/>
          </w:tcPr>
          <w:p w14:paraId="65B5E9E0">
            <w:pPr>
              <w:rPr>
                <w:rFonts w:ascii="Arial"/>
                <w:color w:val="auto"/>
                <w:sz w:val="21"/>
                <w:highlight w:val="none"/>
              </w:rPr>
            </w:pPr>
          </w:p>
        </w:tc>
        <w:tc>
          <w:tcPr>
            <w:tcW w:w="847" w:type="dxa"/>
            <w:vAlign w:val="top"/>
          </w:tcPr>
          <w:p w14:paraId="31781948">
            <w:pPr>
              <w:rPr>
                <w:rFonts w:ascii="Arial"/>
                <w:color w:val="auto"/>
                <w:sz w:val="21"/>
                <w:highlight w:val="none"/>
              </w:rPr>
            </w:pPr>
          </w:p>
        </w:tc>
        <w:tc>
          <w:tcPr>
            <w:tcW w:w="847" w:type="dxa"/>
            <w:vAlign w:val="top"/>
          </w:tcPr>
          <w:p w14:paraId="1AD4FCD8">
            <w:pPr>
              <w:rPr>
                <w:rFonts w:ascii="Arial"/>
                <w:color w:val="auto"/>
                <w:sz w:val="21"/>
                <w:highlight w:val="none"/>
              </w:rPr>
            </w:pPr>
          </w:p>
        </w:tc>
        <w:tc>
          <w:tcPr>
            <w:tcW w:w="800" w:type="dxa"/>
            <w:vAlign w:val="top"/>
          </w:tcPr>
          <w:p w14:paraId="22BC6392">
            <w:pPr>
              <w:rPr>
                <w:rFonts w:ascii="Arial"/>
                <w:color w:val="auto"/>
                <w:sz w:val="21"/>
                <w:highlight w:val="none"/>
              </w:rPr>
            </w:pPr>
          </w:p>
        </w:tc>
        <w:tc>
          <w:tcPr>
            <w:tcW w:w="1465" w:type="dxa"/>
            <w:vAlign w:val="top"/>
          </w:tcPr>
          <w:p w14:paraId="0CA684FD">
            <w:pPr>
              <w:rPr>
                <w:rFonts w:ascii="Arial"/>
                <w:color w:val="auto"/>
                <w:sz w:val="21"/>
                <w:highlight w:val="none"/>
              </w:rPr>
            </w:pPr>
          </w:p>
        </w:tc>
        <w:tc>
          <w:tcPr>
            <w:tcW w:w="816" w:type="dxa"/>
            <w:tcBorders>
              <w:right w:val="single" w:color="000000" w:sz="10" w:space="0"/>
            </w:tcBorders>
            <w:vAlign w:val="top"/>
          </w:tcPr>
          <w:p w14:paraId="70FE6440">
            <w:pPr>
              <w:rPr>
                <w:rFonts w:ascii="Arial"/>
                <w:color w:val="auto"/>
                <w:sz w:val="21"/>
                <w:highlight w:val="none"/>
              </w:rPr>
            </w:pPr>
          </w:p>
        </w:tc>
      </w:tr>
      <w:tr w14:paraId="1AAE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2138447">
            <w:pPr>
              <w:rPr>
                <w:rFonts w:ascii="Arial"/>
                <w:color w:val="auto"/>
                <w:sz w:val="21"/>
                <w:highlight w:val="none"/>
              </w:rPr>
            </w:pPr>
          </w:p>
        </w:tc>
        <w:tc>
          <w:tcPr>
            <w:tcW w:w="1130" w:type="dxa"/>
            <w:vAlign w:val="top"/>
          </w:tcPr>
          <w:p w14:paraId="50ACEE82">
            <w:pPr>
              <w:rPr>
                <w:rFonts w:ascii="Arial"/>
                <w:color w:val="auto"/>
                <w:sz w:val="21"/>
                <w:highlight w:val="none"/>
              </w:rPr>
            </w:pPr>
          </w:p>
        </w:tc>
        <w:tc>
          <w:tcPr>
            <w:tcW w:w="852" w:type="dxa"/>
            <w:vAlign w:val="top"/>
          </w:tcPr>
          <w:p w14:paraId="1A489B65">
            <w:pPr>
              <w:rPr>
                <w:rFonts w:ascii="Arial"/>
                <w:color w:val="auto"/>
                <w:sz w:val="21"/>
                <w:highlight w:val="none"/>
              </w:rPr>
            </w:pPr>
          </w:p>
        </w:tc>
        <w:tc>
          <w:tcPr>
            <w:tcW w:w="704" w:type="dxa"/>
            <w:vAlign w:val="top"/>
          </w:tcPr>
          <w:p w14:paraId="1085D087">
            <w:pPr>
              <w:rPr>
                <w:rFonts w:ascii="Arial"/>
                <w:color w:val="auto"/>
                <w:sz w:val="21"/>
                <w:highlight w:val="none"/>
              </w:rPr>
            </w:pPr>
          </w:p>
        </w:tc>
        <w:tc>
          <w:tcPr>
            <w:tcW w:w="709" w:type="dxa"/>
            <w:vAlign w:val="top"/>
          </w:tcPr>
          <w:p w14:paraId="1CD696F9">
            <w:pPr>
              <w:rPr>
                <w:rFonts w:ascii="Arial"/>
                <w:color w:val="auto"/>
                <w:sz w:val="21"/>
                <w:highlight w:val="none"/>
              </w:rPr>
            </w:pPr>
          </w:p>
        </w:tc>
        <w:tc>
          <w:tcPr>
            <w:tcW w:w="847" w:type="dxa"/>
            <w:vAlign w:val="top"/>
          </w:tcPr>
          <w:p w14:paraId="3DA45415">
            <w:pPr>
              <w:rPr>
                <w:rFonts w:ascii="Arial"/>
                <w:color w:val="auto"/>
                <w:sz w:val="21"/>
                <w:highlight w:val="none"/>
              </w:rPr>
            </w:pPr>
          </w:p>
        </w:tc>
        <w:tc>
          <w:tcPr>
            <w:tcW w:w="847" w:type="dxa"/>
            <w:vAlign w:val="top"/>
          </w:tcPr>
          <w:p w14:paraId="7606597C">
            <w:pPr>
              <w:rPr>
                <w:rFonts w:ascii="Arial"/>
                <w:color w:val="auto"/>
                <w:sz w:val="21"/>
                <w:highlight w:val="none"/>
              </w:rPr>
            </w:pPr>
          </w:p>
        </w:tc>
        <w:tc>
          <w:tcPr>
            <w:tcW w:w="800" w:type="dxa"/>
            <w:vAlign w:val="top"/>
          </w:tcPr>
          <w:p w14:paraId="4FB070A3">
            <w:pPr>
              <w:rPr>
                <w:rFonts w:ascii="Arial"/>
                <w:color w:val="auto"/>
                <w:sz w:val="21"/>
                <w:highlight w:val="none"/>
              </w:rPr>
            </w:pPr>
          </w:p>
        </w:tc>
        <w:tc>
          <w:tcPr>
            <w:tcW w:w="1465" w:type="dxa"/>
            <w:vAlign w:val="top"/>
          </w:tcPr>
          <w:p w14:paraId="1913C9F1">
            <w:pPr>
              <w:rPr>
                <w:rFonts w:ascii="Arial"/>
                <w:color w:val="auto"/>
                <w:sz w:val="21"/>
                <w:highlight w:val="none"/>
              </w:rPr>
            </w:pPr>
          </w:p>
        </w:tc>
        <w:tc>
          <w:tcPr>
            <w:tcW w:w="816" w:type="dxa"/>
            <w:tcBorders>
              <w:right w:val="single" w:color="000000" w:sz="10" w:space="0"/>
            </w:tcBorders>
            <w:vAlign w:val="top"/>
          </w:tcPr>
          <w:p w14:paraId="3063BF74">
            <w:pPr>
              <w:rPr>
                <w:rFonts w:ascii="Arial"/>
                <w:color w:val="auto"/>
                <w:sz w:val="21"/>
                <w:highlight w:val="none"/>
              </w:rPr>
            </w:pPr>
          </w:p>
        </w:tc>
      </w:tr>
      <w:tr w14:paraId="0F34A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78D929B8">
            <w:pPr>
              <w:rPr>
                <w:rFonts w:ascii="Arial"/>
                <w:color w:val="auto"/>
                <w:sz w:val="21"/>
                <w:highlight w:val="none"/>
              </w:rPr>
            </w:pPr>
          </w:p>
        </w:tc>
        <w:tc>
          <w:tcPr>
            <w:tcW w:w="1130" w:type="dxa"/>
            <w:vAlign w:val="top"/>
          </w:tcPr>
          <w:p w14:paraId="1CAA1583">
            <w:pPr>
              <w:rPr>
                <w:rFonts w:ascii="Arial"/>
                <w:color w:val="auto"/>
                <w:sz w:val="21"/>
                <w:highlight w:val="none"/>
              </w:rPr>
            </w:pPr>
          </w:p>
        </w:tc>
        <w:tc>
          <w:tcPr>
            <w:tcW w:w="852" w:type="dxa"/>
            <w:vAlign w:val="top"/>
          </w:tcPr>
          <w:p w14:paraId="1A15F8A9">
            <w:pPr>
              <w:rPr>
                <w:rFonts w:ascii="Arial"/>
                <w:color w:val="auto"/>
                <w:sz w:val="21"/>
                <w:highlight w:val="none"/>
              </w:rPr>
            </w:pPr>
          </w:p>
        </w:tc>
        <w:tc>
          <w:tcPr>
            <w:tcW w:w="704" w:type="dxa"/>
            <w:vAlign w:val="top"/>
          </w:tcPr>
          <w:p w14:paraId="2CA9B997">
            <w:pPr>
              <w:rPr>
                <w:rFonts w:ascii="Arial"/>
                <w:color w:val="auto"/>
                <w:sz w:val="21"/>
                <w:highlight w:val="none"/>
              </w:rPr>
            </w:pPr>
          </w:p>
        </w:tc>
        <w:tc>
          <w:tcPr>
            <w:tcW w:w="709" w:type="dxa"/>
            <w:vAlign w:val="top"/>
          </w:tcPr>
          <w:p w14:paraId="33E05602">
            <w:pPr>
              <w:rPr>
                <w:rFonts w:ascii="Arial"/>
                <w:color w:val="auto"/>
                <w:sz w:val="21"/>
                <w:highlight w:val="none"/>
              </w:rPr>
            </w:pPr>
          </w:p>
        </w:tc>
        <w:tc>
          <w:tcPr>
            <w:tcW w:w="847" w:type="dxa"/>
            <w:vAlign w:val="top"/>
          </w:tcPr>
          <w:p w14:paraId="74A0A7F9">
            <w:pPr>
              <w:rPr>
                <w:rFonts w:ascii="Arial"/>
                <w:color w:val="auto"/>
                <w:sz w:val="21"/>
                <w:highlight w:val="none"/>
              </w:rPr>
            </w:pPr>
          </w:p>
        </w:tc>
        <w:tc>
          <w:tcPr>
            <w:tcW w:w="847" w:type="dxa"/>
            <w:vAlign w:val="top"/>
          </w:tcPr>
          <w:p w14:paraId="28F94E4D">
            <w:pPr>
              <w:rPr>
                <w:rFonts w:ascii="Arial"/>
                <w:color w:val="auto"/>
                <w:sz w:val="21"/>
                <w:highlight w:val="none"/>
              </w:rPr>
            </w:pPr>
          </w:p>
        </w:tc>
        <w:tc>
          <w:tcPr>
            <w:tcW w:w="800" w:type="dxa"/>
            <w:vAlign w:val="top"/>
          </w:tcPr>
          <w:p w14:paraId="0C56BB36">
            <w:pPr>
              <w:rPr>
                <w:rFonts w:ascii="Arial"/>
                <w:color w:val="auto"/>
                <w:sz w:val="21"/>
                <w:highlight w:val="none"/>
              </w:rPr>
            </w:pPr>
          </w:p>
        </w:tc>
        <w:tc>
          <w:tcPr>
            <w:tcW w:w="1465" w:type="dxa"/>
            <w:vAlign w:val="top"/>
          </w:tcPr>
          <w:p w14:paraId="51507C36">
            <w:pPr>
              <w:rPr>
                <w:rFonts w:ascii="Arial"/>
                <w:color w:val="auto"/>
                <w:sz w:val="21"/>
                <w:highlight w:val="none"/>
              </w:rPr>
            </w:pPr>
          </w:p>
        </w:tc>
        <w:tc>
          <w:tcPr>
            <w:tcW w:w="816" w:type="dxa"/>
            <w:tcBorders>
              <w:right w:val="single" w:color="000000" w:sz="10" w:space="0"/>
            </w:tcBorders>
            <w:vAlign w:val="top"/>
          </w:tcPr>
          <w:p w14:paraId="6670E106">
            <w:pPr>
              <w:rPr>
                <w:rFonts w:ascii="Arial"/>
                <w:color w:val="auto"/>
                <w:sz w:val="21"/>
                <w:highlight w:val="none"/>
              </w:rPr>
            </w:pPr>
          </w:p>
        </w:tc>
      </w:tr>
      <w:tr w14:paraId="07B4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19D92EA">
            <w:pPr>
              <w:rPr>
                <w:rFonts w:ascii="Arial"/>
                <w:color w:val="auto"/>
                <w:sz w:val="21"/>
                <w:highlight w:val="none"/>
              </w:rPr>
            </w:pPr>
          </w:p>
        </w:tc>
        <w:tc>
          <w:tcPr>
            <w:tcW w:w="1130" w:type="dxa"/>
            <w:vAlign w:val="top"/>
          </w:tcPr>
          <w:p w14:paraId="650722D8">
            <w:pPr>
              <w:rPr>
                <w:rFonts w:ascii="Arial"/>
                <w:color w:val="auto"/>
                <w:sz w:val="21"/>
                <w:highlight w:val="none"/>
              </w:rPr>
            </w:pPr>
          </w:p>
        </w:tc>
        <w:tc>
          <w:tcPr>
            <w:tcW w:w="852" w:type="dxa"/>
            <w:vAlign w:val="top"/>
          </w:tcPr>
          <w:p w14:paraId="04DF4448">
            <w:pPr>
              <w:rPr>
                <w:rFonts w:ascii="Arial"/>
                <w:color w:val="auto"/>
                <w:sz w:val="21"/>
                <w:highlight w:val="none"/>
              </w:rPr>
            </w:pPr>
          </w:p>
        </w:tc>
        <w:tc>
          <w:tcPr>
            <w:tcW w:w="704" w:type="dxa"/>
            <w:vAlign w:val="top"/>
          </w:tcPr>
          <w:p w14:paraId="11745450">
            <w:pPr>
              <w:rPr>
                <w:rFonts w:ascii="Arial"/>
                <w:color w:val="auto"/>
                <w:sz w:val="21"/>
                <w:highlight w:val="none"/>
              </w:rPr>
            </w:pPr>
          </w:p>
        </w:tc>
        <w:tc>
          <w:tcPr>
            <w:tcW w:w="709" w:type="dxa"/>
            <w:vAlign w:val="top"/>
          </w:tcPr>
          <w:p w14:paraId="734327E2">
            <w:pPr>
              <w:rPr>
                <w:rFonts w:ascii="Arial"/>
                <w:color w:val="auto"/>
                <w:sz w:val="21"/>
                <w:highlight w:val="none"/>
              </w:rPr>
            </w:pPr>
          </w:p>
        </w:tc>
        <w:tc>
          <w:tcPr>
            <w:tcW w:w="847" w:type="dxa"/>
            <w:vAlign w:val="top"/>
          </w:tcPr>
          <w:p w14:paraId="54BC2D6F">
            <w:pPr>
              <w:rPr>
                <w:rFonts w:ascii="Arial"/>
                <w:color w:val="auto"/>
                <w:sz w:val="21"/>
                <w:highlight w:val="none"/>
              </w:rPr>
            </w:pPr>
          </w:p>
        </w:tc>
        <w:tc>
          <w:tcPr>
            <w:tcW w:w="847" w:type="dxa"/>
            <w:vAlign w:val="top"/>
          </w:tcPr>
          <w:p w14:paraId="1BF3A1EA">
            <w:pPr>
              <w:rPr>
                <w:rFonts w:ascii="Arial"/>
                <w:color w:val="auto"/>
                <w:sz w:val="21"/>
                <w:highlight w:val="none"/>
              </w:rPr>
            </w:pPr>
          </w:p>
        </w:tc>
        <w:tc>
          <w:tcPr>
            <w:tcW w:w="800" w:type="dxa"/>
            <w:vAlign w:val="top"/>
          </w:tcPr>
          <w:p w14:paraId="7496731E">
            <w:pPr>
              <w:rPr>
                <w:rFonts w:ascii="Arial"/>
                <w:color w:val="auto"/>
                <w:sz w:val="21"/>
                <w:highlight w:val="none"/>
              </w:rPr>
            </w:pPr>
          </w:p>
        </w:tc>
        <w:tc>
          <w:tcPr>
            <w:tcW w:w="1465" w:type="dxa"/>
            <w:vAlign w:val="top"/>
          </w:tcPr>
          <w:p w14:paraId="14CA5CE3">
            <w:pPr>
              <w:rPr>
                <w:rFonts w:ascii="Arial"/>
                <w:color w:val="auto"/>
                <w:sz w:val="21"/>
                <w:highlight w:val="none"/>
              </w:rPr>
            </w:pPr>
          </w:p>
        </w:tc>
        <w:tc>
          <w:tcPr>
            <w:tcW w:w="816" w:type="dxa"/>
            <w:tcBorders>
              <w:right w:val="single" w:color="000000" w:sz="10" w:space="0"/>
            </w:tcBorders>
            <w:vAlign w:val="top"/>
          </w:tcPr>
          <w:p w14:paraId="3DFBC11B">
            <w:pPr>
              <w:rPr>
                <w:rFonts w:ascii="Arial"/>
                <w:color w:val="auto"/>
                <w:sz w:val="21"/>
                <w:highlight w:val="none"/>
              </w:rPr>
            </w:pPr>
          </w:p>
        </w:tc>
      </w:tr>
      <w:tr w14:paraId="0557C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4222746">
            <w:pPr>
              <w:rPr>
                <w:rFonts w:ascii="Arial"/>
                <w:color w:val="auto"/>
                <w:sz w:val="21"/>
                <w:highlight w:val="none"/>
              </w:rPr>
            </w:pPr>
          </w:p>
        </w:tc>
        <w:tc>
          <w:tcPr>
            <w:tcW w:w="1130" w:type="dxa"/>
            <w:vAlign w:val="top"/>
          </w:tcPr>
          <w:p w14:paraId="20474523">
            <w:pPr>
              <w:rPr>
                <w:rFonts w:ascii="Arial"/>
                <w:color w:val="auto"/>
                <w:sz w:val="21"/>
                <w:highlight w:val="none"/>
              </w:rPr>
            </w:pPr>
          </w:p>
        </w:tc>
        <w:tc>
          <w:tcPr>
            <w:tcW w:w="852" w:type="dxa"/>
            <w:vAlign w:val="top"/>
          </w:tcPr>
          <w:p w14:paraId="076A8AD9">
            <w:pPr>
              <w:rPr>
                <w:rFonts w:ascii="Arial"/>
                <w:color w:val="auto"/>
                <w:sz w:val="21"/>
                <w:highlight w:val="none"/>
              </w:rPr>
            </w:pPr>
          </w:p>
        </w:tc>
        <w:tc>
          <w:tcPr>
            <w:tcW w:w="704" w:type="dxa"/>
            <w:vAlign w:val="top"/>
          </w:tcPr>
          <w:p w14:paraId="77A58EC0">
            <w:pPr>
              <w:rPr>
                <w:rFonts w:ascii="Arial"/>
                <w:color w:val="auto"/>
                <w:sz w:val="21"/>
                <w:highlight w:val="none"/>
              </w:rPr>
            </w:pPr>
          </w:p>
        </w:tc>
        <w:tc>
          <w:tcPr>
            <w:tcW w:w="709" w:type="dxa"/>
            <w:vAlign w:val="top"/>
          </w:tcPr>
          <w:p w14:paraId="6CB1A69E">
            <w:pPr>
              <w:rPr>
                <w:rFonts w:ascii="Arial"/>
                <w:color w:val="auto"/>
                <w:sz w:val="21"/>
                <w:highlight w:val="none"/>
              </w:rPr>
            </w:pPr>
          </w:p>
        </w:tc>
        <w:tc>
          <w:tcPr>
            <w:tcW w:w="847" w:type="dxa"/>
            <w:vAlign w:val="top"/>
          </w:tcPr>
          <w:p w14:paraId="2B8CFC13">
            <w:pPr>
              <w:rPr>
                <w:rFonts w:ascii="Arial"/>
                <w:color w:val="auto"/>
                <w:sz w:val="21"/>
                <w:highlight w:val="none"/>
              </w:rPr>
            </w:pPr>
          </w:p>
        </w:tc>
        <w:tc>
          <w:tcPr>
            <w:tcW w:w="847" w:type="dxa"/>
            <w:vAlign w:val="top"/>
          </w:tcPr>
          <w:p w14:paraId="329BE5F3">
            <w:pPr>
              <w:rPr>
                <w:rFonts w:ascii="Arial"/>
                <w:color w:val="auto"/>
                <w:sz w:val="21"/>
                <w:highlight w:val="none"/>
              </w:rPr>
            </w:pPr>
          </w:p>
        </w:tc>
        <w:tc>
          <w:tcPr>
            <w:tcW w:w="800" w:type="dxa"/>
            <w:vAlign w:val="top"/>
          </w:tcPr>
          <w:p w14:paraId="50BC5F83">
            <w:pPr>
              <w:rPr>
                <w:rFonts w:ascii="Arial"/>
                <w:color w:val="auto"/>
                <w:sz w:val="21"/>
                <w:highlight w:val="none"/>
              </w:rPr>
            </w:pPr>
          </w:p>
        </w:tc>
        <w:tc>
          <w:tcPr>
            <w:tcW w:w="1465" w:type="dxa"/>
            <w:vAlign w:val="top"/>
          </w:tcPr>
          <w:p w14:paraId="5B7F14C8">
            <w:pPr>
              <w:rPr>
                <w:rFonts w:ascii="Arial"/>
                <w:color w:val="auto"/>
                <w:sz w:val="21"/>
                <w:highlight w:val="none"/>
              </w:rPr>
            </w:pPr>
          </w:p>
        </w:tc>
        <w:tc>
          <w:tcPr>
            <w:tcW w:w="816" w:type="dxa"/>
            <w:tcBorders>
              <w:right w:val="single" w:color="000000" w:sz="10" w:space="0"/>
            </w:tcBorders>
            <w:vAlign w:val="top"/>
          </w:tcPr>
          <w:p w14:paraId="1B5D1DDC">
            <w:pPr>
              <w:rPr>
                <w:rFonts w:ascii="Arial"/>
                <w:color w:val="auto"/>
                <w:sz w:val="21"/>
                <w:highlight w:val="none"/>
              </w:rPr>
            </w:pPr>
          </w:p>
        </w:tc>
      </w:tr>
      <w:tr w14:paraId="04406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A8B4C75">
            <w:pPr>
              <w:rPr>
                <w:rFonts w:ascii="Arial"/>
                <w:color w:val="auto"/>
                <w:sz w:val="21"/>
                <w:highlight w:val="none"/>
              </w:rPr>
            </w:pPr>
          </w:p>
        </w:tc>
        <w:tc>
          <w:tcPr>
            <w:tcW w:w="1130" w:type="dxa"/>
            <w:vAlign w:val="top"/>
          </w:tcPr>
          <w:p w14:paraId="0396E2FF">
            <w:pPr>
              <w:rPr>
                <w:rFonts w:ascii="Arial"/>
                <w:color w:val="auto"/>
                <w:sz w:val="21"/>
                <w:highlight w:val="none"/>
              </w:rPr>
            </w:pPr>
          </w:p>
        </w:tc>
        <w:tc>
          <w:tcPr>
            <w:tcW w:w="852" w:type="dxa"/>
            <w:vAlign w:val="top"/>
          </w:tcPr>
          <w:p w14:paraId="02CEC3CF">
            <w:pPr>
              <w:rPr>
                <w:rFonts w:ascii="Arial"/>
                <w:color w:val="auto"/>
                <w:sz w:val="21"/>
                <w:highlight w:val="none"/>
              </w:rPr>
            </w:pPr>
          </w:p>
        </w:tc>
        <w:tc>
          <w:tcPr>
            <w:tcW w:w="704" w:type="dxa"/>
            <w:vAlign w:val="top"/>
          </w:tcPr>
          <w:p w14:paraId="4B42CDA6">
            <w:pPr>
              <w:rPr>
                <w:rFonts w:ascii="Arial"/>
                <w:color w:val="auto"/>
                <w:sz w:val="21"/>
                <w:highlight w:val="none"/>
              </w:rPr>
            </w:pPr>
          </w:p>
        </w:tc>
        <w:tc>
          <w:tcPr>
            <w:tcW w:w="709" w:type="dxa"/>
            <w:vAlign w:val="top"/>
          </w:tcPr>
          <w:p w14:paraId="42591A4D">
            <w:pPr>
              <w:rPr>
                <w:rFonts w:ascii="Arial"/>
                <w:color w:val="auto"/>
                <w:sz w:val="21"/>
                <w:highlight w:val="none"/>
              </w:rPr>
            </w:pPr>
          </w:p>
        </w:tc>
        <w:tc>
          <w:tcPr>
            <w:tcW w:w="847" w:type="dxa"/>
            <w:vAlign w:val="top"/>
          </w:tcPr>
          <w:p w14:paraId="02CFAB6D">
            <w:pPr>
              <w:rPr>
                <w:rFonts w:ascii="Arial"/>
                <w:color w:val="auto"/>
                <w:sz w:val="21"/>
                <w:highlight w:val="none"/>
              </w:rPr>
            </w:pPr>
          </w:p>
        </w:tc>
        <w:tc>
          <w:tcPr>
            <w:tcW w:w="847" w:type="dxa"/>
            <w:vAlign w:val="top"/>
          </w:tcPr>
          <w:p w14:paraId="4EC5DB9B">
            <w:pPr>
              <w:rPr>
                <w:rFonts w:ascii="Arial"/>
                <w:color w:val="auto"/>
                <w:sz w:val="21"/>
                <w:highlight w:val="none"/>
              </w:rPr>
            </w:pPr>
          </w:p>
        </w:tc>
        <w:tc>
          <w:tcPr>
            <w:tcW w:w="800" w:type="dxa"/>
            <w:vAlign w:val="top"/>
          </w:tcPr>
          <w:p w14:paraId="0DF590A9">
            <w:pPr>
              <w:rPr>
                <w:rFonts w:ascii="Arial"/>
                <w:color w:val="auto"/>
                <w:sz w:val="21"/>
                <w:highlight w:val="none"/>
              </w:rPr>
            </w:pPr>
          </w:p>
        </w:tc>
        <w:tc>
          <w:tcPr>
            <w:tcW w:w="1465" w:type="dxa"/>
            <w:vAlign w:val="top"/>
          </w:tcPr>
          <w:p w14:paraId="741AFBA5">
            <w:pPr>
              <w:rPr>
                <w:rFonts w:ascii="Arial"/>
                <w:color w:val="auto"/>
                <w:sz w:val="21"/>
                <w:highlight w:val="none"/>
              </w:rPr>
            </w:pPr>
          </w:p>
        </w:tc>
        <w:tc>
          <w:tcPr>
            <w:tcW w:w="816" w:type="dxa"/>
            <w:tcBorders>
              <w:right w:val="single" w:color="000000" w:sz="10" w:space="0"/>
            </w:tcBorders>
            <w:vAlign w:val="top"/>
          </w:tcPr>
          <w:p w14:paraId="2BC55031">
            <w:pPr>
              <w:rPr>
                <w:rFonts w:ascii="Arial"/>
                <w:color w:val="auto"/>
                <w:sz w:val="21"/>
                <w:highlight w:val="none"/>
              </w:rPr>
            </w:pPr>
          </w:p>
        </w:tc>
      </w:tr>
      <w:tr w14:paraId="7D31D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3EB2A26A">
            <w:pPr>
              <w:rPr>
                <w:rFonts w:ascii="Arial"/>
                <w:color w:val="auto"/>
                <w:sz w:val="21"/>
                <w:highlight w:val="none"/>
              </w:rPr>
            </w:pPr>
          </w:p>
        </w:tc>
        <w:tc>
          <w:tcPr>
            <w:tcW w:w="1130" w:type="dxa"/>
            <w:vAlign w:val="top"/>
          </w:tcPr>
          <w:p w14:paraId="4B1DEA71">
            <w:pPr>
              <w:rPr>
                <w:rFonts w:ascii="Arial"/>
                <w:color w:val="auto"/>
                <w:sz w:val="21"/>
                <w:highlight w:val="none"/>
              </w:rPr>
            </w:pPr>
          </w:p>
        </w:tc>
        <w:tc>
          <w:tcPr>
            <w:tcW w:w="852" w:type="dxa"/>
            <w:vAlign w:val="top"/>
          </w:tcPr>
          <w:p w14:paraId="73FE2410">
            <w:pPr>
              <w:rPr>
                <w:rFonts w:ascii="Arial"/>
                <w:color w:val="auto"/>
                <w:sz w:val="21"/>
                <w:highlight w:val="none"/>
              </w:rPr>
            </w:pPr>
          </w:p>
        </w:tc>
        <w:tc>
          <w:tcPr>
            <w:tcW w:w="704" w:type="dxa"/>
            <w:vAlign w:val="top"/>
          </w:tcPr>
          <w:p w14:paraId="3F3BCA5E">
            <w:pPr>
              <w:rPr>
                <w:rFonts w:ascii="Arial"/>
                <w:color w:val="auto"/>
                <w:sz w:val="21"/>
                <w:highlight w:val="none"/>
              </w:rPr>
            </w:pPr>
          </w:p>
        </w:tc>
        <w:tc>
          <w:tcPr>
            <w:tcW w:w="709" w:type="dxa"/>
            <w:vAlign w:val="top"/>
          </w:tcPr>
          <w:p w14:paraId="012A5B0B">
            <w:pPr>
              <w:rPr>
                <w:rFonts w:ascii="Arial"/>
                <w:color w:val="auto"/>
                <w:sz w:val="21"/>
                <w:highlight w:val="none"/>
              </w:rPr>
            </w:pPr>
          </w:p>
        </w:tc>
        <w:tc>
          <w:tcPr>
            <w:tcW w:w="847" w:type="dxa"/>
            <w:vAlign w:val="top"/>
          </w:tcPr>
          <w:p w14:paraId="692A3961">
            <w:pPr>
              <w:rPr>
                <w:rFonts w:ascii="Arial"/>
                <w:color w:val="auto"/>
                <w:sz w:val="21"/>
                <w:highlight w:val="none"/>
              </w:rPr>
            </w:pPr>
          </w:p>
        </w:tc>
        <w:tc>
          <w:tcPr>
            <w:tcW w:w="847" w:type="dxa"/>
            <w:vAlign w:val="top"/>
          </w:tcPr>
          <w:p w14:paraId="7EF3850E">
            <w:pPr>
              <w:rPr>
                <w:rFonts w:ascii="Arial"/>
                <w:color w:val="auto"/>
                <w:sz w:val="21"/>
                <w:highlight w:val="none"/>
              </w:rPr>
            </w:pPr>
          </w:p>
        </w:tc>
        <w:tc>
          <w:tcPr>
            <w:tcW w:w="800" w:type="dxa"/>
            <w:vAlign w:val="top"/>
          </w:tcPr>
          <w:p w14:paraId="3DCF4472">
            <w:pPr>
              <w:rPr>
                <w:rFonts w:ascii="Arial"/>
                <w:color w:val="auto"/>
                <w:sz w:val="21"/>
                <w:highlight w:val="none"/>
              </w:rPr>
            </w:pPr>
          </w:p>
        </w:tc>
        <w:tc>
          <w:tcPr>
            <w:tcW w:w="1465" w:type="dxa"/>
            <w:vAlign w:val="top"/>
          </w:tcPr>
          <w:p w14:paraId="592576AD">
            <w:pPr>
              <w:rPr>
                <w:rFonts w:ascii="Arial"/>
                <w:color w:val="auto"/>
                <w:sz w:val="21"/>
                <w:highlight w:val="none"/>
              </w:rPr>
            </w:pPr>
          </w:p>
        </w:tc>
        <w:tc>
          <w:tcPr>
            <w:tcW w:w="816" w:type="dxa"/>
            <w:tcBorders>
              <w:right w:val="single" w:color="000000" w:sz="10" w:space="0"/>
            </w:tcBorders>
            <w:vAlign w:val="top"/>
          </w:tcPr>
          <w:p w14:paraId="717AD76A">
            <w:pPr>
              <w:rPr>
                <w:rFonts w:ascii="Arial"/>
                <w:color w:val="auto"/>
                <w:sz w:val="21"/>
                <w:highlight w:val="none"/>
              </w:rPr>
            </w:pPr>
          </w:p>
        </w:tc>
      </w:tr>
      <w:tr w14:paraId="3AFF1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4A8BBA9B">
            <w:pPr>
              <w:rPr>
                <w:rFonts w:ascii="Arial"/>
                <w:color w:val="auto"/>
                <w:sz w:val="21"/>
                <w:highlight w:val="none"/>
              </w:rPr>
            </w:pPr>
          </w:p>
        </w:tc>
        <w:tc>
          <w:tcPr>
            <w:tcW w:w="1130" w:type="dxa"/>
            <w:vAlign w:val="top"/>
          </w:tcPr>
          <w:p w14:paraId="7A2D0BBA">
            <w:pPr>
              <w:rPr>
                <w:rFonts w:ascii="Arial"/>
                <w:color w:val="auto"/>
                <w:sz w:val="21"/>
                <w:highlight w:val="none"/>
              </w:rPr>
            </w:pPr>
          </w:p>
        </w:tc>
        <w:tc>
          <w:tcPr>
            <w:tcW w:w="852" w:type="dxa"/>
            <w:vAlign w:val="top"/>
          </w:tcPr>
          <w:p w14:paraId="659EE366">
            <w:pPr>
              <w:rPr>
                <w:rFonts w:ascii="Arial"/>
                <w:color w:val="auto"/>
                <w:sz w:val="21"/>
                <w:highlight w:val="none"/>
              </w:rPr>
            </w:pPr>
          </w:p>
        </w:tc>
        <w:tc>
          <w:tcPr>
            <w:tcW w:w="704" w:type="dxa"/>
            <w:vAlign w:val="top"/>
          </w:tcPr>
          <w:p w14:paraId="3CEA508E">
            <w:pPr>
              <w:rPr>
                <w:rFonts w:ascii="Arial"/>
                <w:color w:val="auto"/>
                <w:sz w:val="21"/>
                <w:highlight w:val="none"/>
              </w:rPr>
            </w:pPr>
          </w:p>
        </w:tc>
        <w:tc>
          <w:tcPr>
            <w:tcW w:w="709" w:type="dxa"/>
            <w:vAlign w:val="top"/>
          </w:tcPr>
          <w:p w14:paraId="51EAA08C">
            <w:pPr>
              <w:rPr>
                <w:rFonts w:ascii="Arial"/>
                <w:color w:val="auto"/>
                <w:sz w:val="21"/>
                <w:highlight w:val="none"/>
              </w:rPr>
            </w:pPr>
          </w:p>
        </w:tc>
        <w:tc>
          <w:tcPr>
            <w:tcW w:w="847" w:type="dxa"/>
            <w:vAlign w:val="top"/>
          </w:tcPr>
          <w:p w14:paraId="7729CA84">
            <w:pPr>
              <w:rPr>
                <w:rFonts w:ascii="Arial"/>
                <w:color w:val="auto"/>
                <w:sz w:val="21"/>
                <w:highlight w:val="none"/>
              </w:rPr>
            </w:pPr>
          </w:p>
        </w:tc>
        <w:tc>
          <w:tcPr>
            <w:tcW w:w="847" w:type="dxa"/>
            <w:vAlign w:val="top"/>
          </w:tcPr>
          <w:p w14:paraId="381AD1FA">
            <w:pPr>
              <w:rPr>
                <w:rFonts w:ascii="Arial"/>
                <w:color w:val="auto"/>
                <w:sz w:val="21"/>
                <w:highlight w:val="none"/>
              </w:rPr>
            </w:pPr>
          </w:p>
        </w:tc>
        <w:tc>
          <w:tcPr>
            <w:tcW w:w="800" w:type="dxa"/>
            <w:vAlign w:val="top"/>
          </w:tcPr>
          <w:p w14:paraId="1AF2AA15">
            <w:pPr>
              <w:rPr>
                <w:rFonts w:ascii="Arial"/>
                <w:color w:val="auto"/>
                <w:sz w:val="21"/>
                <w:highlight w:val="none"/>
              </w:rPr>
            </w:pPr>
          </w:p>
        </w:tc>
        <w:tc>
          <w:tcPr>
            <w:tcW w:w="1465" w:type="dxa"/>
            <w:vAlign w:val="top"/>
          </w:tcPr>
          <w:p w14:paraId="604F8B3C">
            <w:pPr>
              <w:rPr>
                <w:rFonts w:ascii="Arial"/>
                <w:color w:val="auto"/>
                <w:sz w:val="21"/>
                <w:highlight w:val="none"/>
              </w:rPr>
            </w:pPr>
          </w:p>
        </w:tc>
        <w:tc>
          <w:tcPr>
            <w:tcW w:w="816" w:type="dxa"/>
            <w:tcBorders>
              <w:right w:val="single" w:color="000000" w:sz="10" w:space="0"/>
            </w:tcBorders>
            <w:vAlign w:val="top"/>
          </w:tcPr>
          <w:p w14:paraId="50D77AD6">
            <w:pPr>
              <w:rPr>
                <w:rFonts w:ascii="Arial"/>
                <w:color w:val="auto"/>
                <w:sz w:val="21"/>
                <w:highlight w:val="none"/>
              </w:rPr>
            </w:pPr>
          </w:p>
        </w:tc>
      </w:tr>
      <w:tr w14:paraId="5E6D2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3D15070">
            <w:pPr>
              <w:rPr>
                <w:rFonts w:ascii="Arial"/>
                <w:color w:val="auto"/>
                <w:sz w:val="21"/>
                <w:highlight w:val="none"/>
              </w:rPr>
            </w:pPr>
          </w:p>
        </w:tc>
        <w:tc>
          <w:tcPr>
            <w:tcW w:w="1130" w:type="dxa"/>
            <w:vAlign w:val="top"/>
          </w:tcPr>
          <w:p w14:paraId="091DC28B">
            <w:pPr>
              <w:rPr>
                <w:rFonts w:ascii="Arial"/>
                <w:color w:val="auto"/>
                <w:sz w:val="21"/>
                <w:highlight w:val="none"/>
              </w:rPr>
            </w:pPr>
          </w:p>
        </w:tc>
        <w:tc>
          <w:tcPr>
            <w:tcW w:w="852" w:type="dxa"/>
            <w:vAlign w:val="top"/>
          </w:tcPr>
          <w:p w14:paraId="64836072">
            <w:pPr>
              <w:rPr>
                <w:rFonts w:ascii="Arial"/>
                <w:color w:val="auto"/>
                <w:sz w:val="21"/>
                <w:highlight w:val="none"/>
              </w:rPr>
            </w:pPr>
          </w:p>
        </w:tc>
        <w:tc>
          <w:tcPr>
            <w:tcW w:w="704" w:type="dxa"/>
            <w:vAlign w:val="top"/>
          </w:tcPr>
          <w:p w14:paraId="64FF427A">
            <w:pPr>
              <w:rPr>
                <w:rFonts w:ascii="Arial"/>
                <w:color w:val="auto"/>
                <w:sz w:val="21"/>
                <w:highlight w:val="none"/>
              </w:rPr>
            </w:pPr>
          </w:p>
        </w:tc>
        <w:tc>
          <w:tcPr>
            <w:tcW w:w="709" w:type="dxa"/>
            <w:vAlign w:val="top"/>
          </w:tcPr>
          <w:p w14:paraId="18287E65">
            <w:pPr>
              <w:rPr>
                <w:rFonts w:ascii="Arial"/>
                <w:color w:val="auto"/>
                <w:sz w:val="21"/>
                <w:highlight w:val="none"/>
              </w:rPr>
            </w:pPr>
          </w:p>
        </w:tc>
        <w:tc>
          <w:tcPr>
            <w:tcW w:w="847" w:type="dxa"/>
            <w:vAlign w:val="top"/>
          </w:tcPr>
          <w:p w14:paraId="5D451C18">
            <w:pPr>
              <w:rPr>
                <w:rFonts w:ascii="Arial"/>
                <w:color w:val="auto"/>
                <w:sz w:val="21"/>
                <w:highlight w:val="none"/>
              </w:rPr>
            </w:pPr>
          </w:p>
        </w:tc>
        <w:tc>
          <w:tcPr>
            <w:tcW w:w="847" w:type="dxa"/>
            <w:vAlign w:val="top"/>
          </w:tcPr>
          <w:p w14:paraId="039AEF2A">
            <w:pPr>
              <w:rPr>
                <w:rFonts w:ascii="Arial"/>
                <w:color w:val="auto"/>
                <w:sz w:val="21"/>
                <w:highlight w:val="none"/>
              </w:rPr>
            </w:pPr>
          </w:p>
        </w:tc>
        <w:tc>
          <w:tcPr>
            <w:tcW w:w="800" w:type="dxa"/>
            <w:vAlign w:val="top"/>
          </w:tcPr>
          <w:p w14:paraId="3C1EBFE8">
            <w:pPr>
              <w:rPr>
                <w:rFonts w:ascii="Arial"/>
                <w:color w:val="auto"/>
                <w:sz w:val="21"/>
                <w:highlight w:val="none"/>
              </w:rPr>
            </w:pPr>
          </w:p>
        </w:tc>
        <w:tc>
          <w:tcPr>
            <w:tcW w:w="1465" w:type="dxa"/>
            <w:vAlign w:val="top"/>
          </w:tcPr>
          <w:p w14:paraId="3F94F9C1">
            <w:pPr>
              <w:rPr>
                <w:rFonts w:ascii="Arial"/>
                <w:color w:val="auto"/>
                <w:sz w:val="21"/>
                <w:highlight w:val="none"/>
              </w:rPr>
            </w:pPr>
          </w:p>
        </w:tc>
        <w:tc>
          <w:tcPr>
            <w:tcW w:w="816" w:type="dxa"/>
            <w:tcBorders>
              <w:right w:val="single" w:color="000000" w:sz="10" w:space="0"/>
            </w:tcBorders>
            <w:vAlign w:val="top"/>
          </w:tcPr>
          <w:p w14:paraId="641BD9B3">
            <w:pPr>
              <w:rPr>
                <w:rFonts w:ascii="Arial"/>
                <w:color w:val="auto"/>
                <w:sz w:val="21"/>
                <w:highlight w:val="none"/>
              </w:rPr>
            </w:pPr>
          </w:p>
        </w:tc>
      </w:tr>
      <w:tr w14:paraId="06E0E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ADF08C6">
            <w:pPr>
              <w:rPr>
                <w:rFonts w:ascii="Arial"/>
                <w:color w:val="auto"/>
                <w:sz w:val="21"/>
                <w:highlight w:val="none"/>
              </w:rPr>
            </w:pPr>
          </w:p>
        </w:tc>
        <w:tc>
          <w:tcPr>
            <w:tcW w:w="1130" w:type="dxa"/>
            <w:vAlign w:val="top"/>
          </w:tcPr>
          <w:p w14:paraId="399E8EB5">
            <w:pPr>
              <w:rPr>
                <w:rFonts w:ascii="Arial"/>
                <w:color w:val="auto"/>
                <w:sz w:val="21"/>
                <w:highlight w:val="none"/>
              </w:rPr>
            </w:pPr>
          </w:p>
        </w:tc>
        <w:tc>
          <w:tcPr>
            <w:tcW w:w="852" w:type="dxa"/>
            <w:vAlign w:val="top"/>
          </w:tcPr>
          <w:p w14:paraId="4164FF65">
            <w:pPr>
              <w:rPr>
                <w:rFonts w:ascii="Arial"/>
                <w:color w:val="auto"/>
                <w:sz w:val="21"/>
                <w:highlight w:val="none"/>
              </w:rPr>
            </w:pPr>
          </w:p>
        </w:tc>
        <w:tc>
          <w:tcPr>
            <w:tcW w:w="704" w:type="dxa"/>
            <w:vAlign w:val="top"/>
          </w:tcPr>
          <w:p w14:paraId="22A0C7D3">
            <w:pPr>
              <w:rPr>
                <w:rFonts w:ascii="Arial"/>
                <w:color w:val="auto"/>
                <w:sz w:val="21"/>
                <w:highlight w:val="none"/>
              </w:rPr>
            </w:pPr>
          </w:p>
        </w:tc>
        <w:tc>
          <w:tcPr>
            <w:tcW w:w="709" w:type="dxa"/>
            <w:vAlign w:val="top"/>
          </w:tcPr>
          <w:p w14:paraId="7BFB4DF9">
            <w:pPr>
              <w:rPr>
                <w:rFonts w:ascii="Arial"/>
                <w:color w:val="auto"/>
                <w:sz w:val="21"/>
                <w:highlight w:val="none"/>
              </w:rPr>
            </w:pPr>
          </w:p>
        </w:tc>
        <w:tc>
          <w:tcPr>
            <w:tcW w:w="847" w:type="dxa"/>
            <w:vAlign w:val="top"/>
          </w:tcPr>
          <w:p w14:paraId="544C5F6D">
            <w:pPr>
              <w:rPr>
                <w:rFonts w:ascii="Arial"/>
                <w:color w:val="auto"/>
                <w:sz w:val="21"/>
                <w:highlight w:val="none"/>
              </w:rPr>
            </w:pPr>
          </w:p>
        </w:tc>
        <w:tc>
          <w:tcPr>
            <w:tcW w:w="847" w:type="dxa"/>
            <w:vAlign w:val="top"/>
          </w:tcPr>
          <w:p w14:paraId="1FABA096">
            <w:pPr>
              <w:rPr>
                <w:rFonts w:ascii="Arial"/>
                <w:color w:val="auto"/>
                <w:sz w:val="21"/>
                <w:highlight w:val="none"/>
              </w:rPr>
            </w:pPr>
          </w:p>
        </w:tc>
        <w:tc>
          <w:tcPr>
            <w:tcW w:w="800" w:type="dxa"/>
            <w:vAlign w:val="top"/>
          </w:tcPr>
          <w:p w14:paraId="276606DD">
            <w:pPr>
              <w:rPr>
                <w:rFonts w:ascii="Arial"/>
                <w:color w:val="auto"/>
                <w:sz w:val="21"/>
                <w:highlight w:val="none"/>
              </w:rPr>
            </w:pPr>
          </w:p>
        </w:tc>
        <w:tc>
          <w:tcPr>
            <w:tcW w:w="1465" w:type="dxa"/>
            <w:vAlign w:val="top"/>
          </w:tcPr>
          <w:p w14:paraId="08A2E598">
            <w:pPr>
              <w:rPr>
                <w:rFonts w:ascii="Arial"/>
                <w:color w:val="auto"/>
                <w:sz w:val="21"/>
                <w:highlight w:val="none"/>
              </w:rPr>
            </w:pPr>
          </w:p>
        </w:tc>
        <w:tc>
          <w:tcPr>
            <w:tcW w:w="816" w:type="dxa"/>
            <w:tcBorders>
              <w:right w:val="single" w:color="000000" w:sz="10" w:space="0"/>
            </w:tcBorders>
            <w:vAlign w:val="top"/>
          </w:tcPr>
          <w:p w14:paraId="4D54FC2C">
            <w:pPr>
              <w:rPr>
                <w:rFonts w:ascii="Arial"/>
                <w:color w:val="auto"/>
                <w:sz w:val="21"/>
                <w:highlight w:val="none"/>
              </w:rPr>
            </w:pPr>
          </w:p>
        </w:tc>
      </w:tr>
      <w:tr w14:paraId="7C199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60B656CD">
            <w:pPr>
              <w:rPr>
                <w:rFonts w:ascii="Arial"/>
                <w:color w:val="auto"/>
                <w:sz w:val="21"/>
                <w:highlight w:val="none"/>
              </w:rPr>
            </w:pPr>
          </w:p>
        </w:tc>
        <w:tc>
          <w:tcPr>
            <w:tcW w:w="1130" w:type="dxa"/>
            <w:tcBorders>
              <w:bottom w:val="single" w:color="000000" w:sz="10" w:space="0"/>
            </w:tcBorders>
            <w:vAlign w:val="top"/>
          </w:tcPr>
          <w:p w14:paraId="692630AA">
            <w:pPr>
              <w:rPr>
                <w:rFonts w:ascii="Arial"/>
                <w:color w:val="auto"/>
                <w:sz w:val="21"/>
                <w:highlight w:val="none"/>
              </w:rPr>
            </w:pPr>
          </w:p>
        </w:tc>
        <w:tc>
          <w:tcPr>
            <w:tcW w:w="852" w:type="dxa"/>
            <w:tcBorders>
              <w:bottom w:val="single" w:color="000000" w:sz="10" w:space="0"/>
            </w:tcBorders>
            <w:vAlign w:val="top"/>
          </w:tcPr>
          <w:p w14:paraId="7050FD49">
            <w:pPr>
              <w:rPr>
                <w:rFonts w:ascii="Arial"/>
                <w:color w:val="auto"/>
                <w:sz w:val="21"/>
                <w:highlight w:val="none"/>
              </w:rPr>
            </w:pPr>
          </w:p>
        </w:tc>
        <w:tc>
          <w:tcPr>
            <w:tcW w:w="704" w:type="dxa"/>
            <w:tcBorders>
              <w:bottom w:val="single" w:color="000000" w:sz="10" w:space="0"/>
            </w:tcBorders>
            <w:vAlign w:val="top"/>
          </w:tcPr>
          <w:p w14:paraId="06582ECA">
            <w:pPr>
              <w:rPr>
                <w:rFonts w:ascii="Arial"/>
                <w:color w:val="auto"/>
                <w:sz w:val="21"/>
                <w:highlight w:val="none"/>
              </w:rPr>
            </w:pPr>
          </w:p>
        </w:tc>
        <w:tc>
          <w:tcPr>
            <w:tcW w:w="709" w:type="dxa"/>
            <w:tcBorders>
              <w:bottom w:val="single" w:color="000000" w:sz="10" w:space="0"/>
            </w:tcBorders>
            <w:vAlign w:val="top"/>
          </w:tcPr>
          <w:p w14:paraId="3895448E">
            <w:pPr>
              <w:rPr>
                <w:rFonts w:ascii="Arial"/>
                <w:color w:val="auto"/>
                <w:sz w:val="21"/>
                <w:highlight w:val="none"/>
              </w:rPr>
            </w:pPr>
          </w:p>
        </w:tc>
        <w:tc>
          <w:tcPr>
            <w:tcW w:w="847" w:type="dxa"/>
            <w:tcBorders>
              <w:bottom w:val="single" w:color="000000" w:sz="10" w:space="0"/>
            </w:tcBorders>
            <w:vAlign w:val="top"/>
          </w:tcPr>
          <w:p w14:paraId="23352272">
            <w:pPr>
              <w:rPr>
                <w:rFonts w:ascii="Arial"/>
                <w:color w:val="auto"/>
                <w:sz w:val="21"/>
                <w:highlight w:val="none"/>
              </w:rPr>
            </w:pPr>
          </w:p>
        </w:tc>
        <w:tc>
          <w:tcPr>
            <w:tcW w:w="847" w:type="dxa"/>
            <w:tcBorders>
              <w:bottom w:val="single" w:color="000000" w:sz="10" w:space="0"/>
            </w:tcBorders>
            <w:vAlign w:val="top"/>
          </w:tcPr>
          <w:p w14:paraId="1A2736E4">
            <w:pPr>
              <w:rPr>
                <w:rFonts w:ascii="Arial"/>
                <w:color w:val="auto"/>
                <w:sz w:val="21"/>
                <w:highlight w:val="none"/>
              </w:rPr>
            </w:pPr>
          </w:p>
        </w:tc>
        <w:tc>
          <w:tcPr>
            <w:tcW w:w="800" w:type="dxa"/>
            <w:tcBorders>
              <w:bottom w:val="single" w:color="000000" w:sz="10" w:space="0"/>
            </w:tcBorders>
            <w:vAlign w:val="top"/>
          </w:tcPr>
          <w:p w14:paraId="5DEC9CC8">
            <w:pPr>
              <w:rPr>
                <w:rFonts w:ascii="Arial"/>
                <w:color w:val="auto"/>
                <w:sz w:val="21"/>
                <w:highlight w:val="none"/>
              </w:rPr>
            </w:pPr>
          </w:p>
        </w:tc>
        <w:tc>
          <w:tcPr>
            <w:tcW w:w="1465" w:type="dxa"/>
            <w:tcBorders>
              <w:bottom w:val="single" w:color="000000" w:sz="10" w:space="0"/>
            </w:tcBorders>
            <w:vAlign w:val="top"/>
          </w:tcPr>
          <w:p w14:paraId="07FFF304">
            <w:pPr>
              <w:rPr>
                <w:rFonts w:ascii="Arial"/>
                <w:color w:val="auto"/>
                <w:sz w:val="21"/>
                <w:highlight w:val="none"/>
              </w:rPr>
            </w:pPr>
          </w:p>
        </w:tc>
        <w:tc>
          <w:tcPr>
            <w:tcW w:w="816" w:type="dxa"/>
            <w:tcBorders>
              <w:bottom w:val="single" w:color="000000" w:sz="10" w:space="0"/>
              <w:right w:val="single" w:color="000000" w:sz="10" w:space="0"/>
            </w:tcBorders>
            <w:vAlign w:val="top"/>
          </w:tcPr>
          <w:p w14:paraId="5AD065E6">
            <w:pPr>
              <w:rPr>
                <w:rFonts w:ascii="Arial"/>
                <w:color w:val="auto"/>
                <w:sz w:val="21"/>
                <w:highlight w:val="none"/>
              </w:rPr>
            </w:pPr>
          </w:p>
        </w:tc>
      </w:tr>
    </w:tbl>
    <w:p w14:paraId="7C2D1AF0">
      <w:pPr>
        <w:pStyle w:val="5"/>
        <w:rPr>
          <w:color w:val="auto"/>
          <w:highlight w:val="none"/>
        </w:rPr>
      </w:pPr>
    </w:p>
    <w:p w14:paraId="11CDD801">
      <w:pPr>
        <w:rPr>
          <w:color w:val="auto"/>
          <w:highlight w:val="none"/>
        </w:rPr>
        <w:sectPr>
          <w:footerReference r:id="rId99" w:type="default"/>
          <w:pgSz w:w="11905" w:h="16839"/>
          <w:pgMar w:top="400" w:right="1560" w:bottom="1004" w:left="1570" w:header="0" w:footer="828" w:gutter="0"/>
          <w:pgNumType w:fmt="decimal"/>
          <w:cols w:space="720" w:num="1"/>
        </w:sectPr>
      </w:pPr>
    </w:p>
    <w:p w14:paraId="0A26275F">
      <w:pPr>
        <w:pStyle w:val="5"/>
        <w:spacing w:line="276" w:lineRule="auto"/>
        <w:rPr>
          <w:color w:val="auto"/>
          <w:highlight w:val="none"/>
        </w:rPr>
      </w:pPr>
    </w:p>
    <w:p w14:paraId="3ABBA09D">
      <w:pPr>
        <w:pStyle w:val="5"/>
        <w:spacing w:line="276" w:lineRule="auto"/>
        <w:rPr>
          <w:color w:val="auto"/>
          <w:highlight w:val="none"/>
        </w:rPr>
      </w:pPr>
    </w:p>
    <w:p w14:paraId="14096487">
      <w:pPr>
        <w:pStyle w:val="5"/>
        <w:spacing w:line="276" w:lineRule="auto"/>
        <w:rPr>
          <w:color w:val="auto"/>
          <w:highlight w:val="none"/>
        </w:rPr>
      </w:pPr>
    </w:p>
    <w:p w14:paraId="5CCFADC9">
      <w:pPr>
        <w:pStyle w:val="5"/>
        <w:spacing w:line="276" w:lineRule="auto"/>
        <w:rPr>
          <w:color w:val="auto"/>
          <w:highlight w:val="none"/>
        </w:rPr>
      </w:pPr>
    </w:p>
    <w:p w14:paraId="26F1BBDF">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3</w:t>
      </w:r>
      <w:r>
        <w:rPr>
          <w:rFonts w:ascii="宋体" w:hAnsi="宋体" w:eastAsia="宋体" w:cs="宋体"/>
          <w:color w:val="auto"/>
          <w:spacing w:val="-10"/>
          <w:sz w:val="24"/>
          <w:szCs w:val="24"/>
          <w:highlight w:val="none"/>
        </w:rPr>
        <w:t>：</w:t>
      </w:r>
    </w:p>
    <w:p w14:paraId="649A6A2F">
      <w:pPr>
        <w:spacing w:before="244" w:line="471" w:lineRule="exact"/>
        <w:ind w:left="3201"/>
        <w:rPr>
          <w:rFonts w:ascii="黑体" w:hAnsi="黑体" w:eastAsia="黑体" w:cs="黑体"/>
          <w:color w:val="auto"/>
          <w:sz w:val="27"/>
          <w:szCs w:val="27"/>
          <w:highlight w:val="none"/>
        </w:rPr>
      </w:pPr>
      <w:r>
        <w:rPr>
          <w:rFonts w:ascii="黑体" w:hAnsi="黑体" w:eastAsia="黑体" w:cs="黑体"/>
          <w:color w:val="auto"/>
          <w:spacing w:val="7"/>
          <w:position w:val="14"/>
          <w:sz w:val="27"/>
          <w:szCs w:val="27"/>
          <w:highlight w:val="none"/>
        </w:rPr>
        <w:t>工程质量保修书</w:t>
      </w:r>
    </w:p>
    <w:p w14:paraId="54E68E0C">
      <w:pPr>
        <w:spacing w:line="221" w:lineRule="auto"/>
        <w:ind w:left="44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发包人（全称</w:t>
      </w:r>
      <w:r>
        <w:rPr>
          <w:rFonts w:ascii="宋体" w:hAnsi="宋体" w:eastAsia="宋体" w:cs="宋体"/>
          <w:color w:val="auto"/>
          <w:spacing w:val="-21"/>
          <w:sz w:val="21"/>
          <w:szCs w:val="21"/>
          <w:highlight w:val="none"/>
        </w:rPr>
        <w:t>）：</w:t>
      </w:r>
      <w:r>
        <w:rPr>
          <w:rFonts w:ascii="宋体" w:hAnsi="宋体" w:eastAsia="宋体" w:cs="宋体"/>
          <w:color w:val="auto"/>
          <w:sz w:val="21"/>
          <w:szCs w:val="21"/>
          <w:highlight w:val="none"/>
          <w:u w:val="single" w:color="auto"/>
        </w:rPr>
        <w:t xml:space="preserve">                                </w:t>
      </w:r>
    </w:p>
    <w:p w14:paraId="282FDBDA">
      <w:pPr>
        <w:spacing w:before="155" w:line="221"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承包人（全称</w:t>
      </w:r>
      <w:r>
        <w:rPr>
          <w:rFonts w:ascii="宋体" w:hAnsi="宋体" w:eastAsia="宋体" w:cs="宋体"/>
          <w:color w:val="auto"/>
          <w:spacing w:val="-22"/>
          <w:sz w:val="21"/>
          <w:szCs w:val="21"/>
          <w:highlight w:val="none"/>
        </w:rPr>
        <w:t>）：</w:t>
      </w:r>
      <w:r>
        <w:rPr>
          <w:rFonts w:ascii="宋体" w:hAnsi="宋体" w:eastAsia="宋体" w:cs="宋体"/>
          <w:color w:val="auto"/>
          <w:sz w:val="21"/>
          <w:szCs w:val="21"/>
          <w:highlight w:val="none"/>
          <w:u w:val="single" w:color="auto"/>
        </w:rPr>
        <w:t xml:space="preserve">                                </w:t>
      </w:r>
    </w:p>
    <w:p w14:paraId="1EEC394B">
      <w:pPr>
        <w:pStyle w:val="5"/>
        <w:spacing w:line="249" w:lineRule="auto"/>
        <w:rPr>
          <w:color w:val="auto"/>
          <w:highlight w:val="none"/>
        </w:rPr>
      </w:pPr>
    </w:p>
    <w:p w14:paraId="61EE8E5E">
      <w:pPr>
        <w:pStyle w:val="5"/>
        <w:spacing w:line="249" w:lineRule="auto"/>
        <w:rPr>
          <w:color w:val="auto"/>
          <w:highlight w:val="none"/>
        </w:rPr>
      </w:pPr>
    </w:p>
    <w:p w14:paraId="6E7500D0">
      <w:pPr>
        <w:spacing w:before="68" w:line="409" w:lineRule="exact"/>
        <w:ind w:right="17"/>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发包人和承包人根据《中华人民共和国建筑法》和《建设工程质量管理条例》，经协商</w:t>
      </w:r>
    </w:p>
    <w:p w14:paraId="1D96024D">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一致就</w:t>
      </w:r>
      <w:r>
        <w:rPr>
          <w:rFonts w:ascii="宋体" w:hAnsi="宋体" w:eastAsia="宋体" w:cs="宋体"/>
          <w:color w:val="auto"/>
          <w:spacing w:val="-9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9"/>
          <w:sz w:val="21"/>
          <w:szCs w:val="21"/>
          <w:highlight w:val="none"/>
        </w:rPr>
        <w:t xml:space="preserve"> </w:t>
      </w:r>
      <w:r>
        <w:rPr>
          <w:rFonts w:ascii="宋体" w:hAnsi="宋体" w:eastAsia="宋体" w:cs="宋体"/>
          <w:color w:val="auto"/>
          <w:spacing w:val="-10"/>
          <w:sz w:val="21"/>
          <w:szCs w:val="21"/>
          <w:highlight w:val="none"/>
        </w:rPr>
        <w:t>（工程全称） 签订工程质量保修书。</w:t>
      </w:r>
    </w:p>
    <w:p w14:paraId="443613D0">
      <w:pPr>
        <w:spacing w:before="158" w:line="220" w:lineRule="auto"/>
        <w:ind w:left="444"/>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一、工程质量保修范围和内容</w:t>
      </w:r>
    </w:p>
    <w:p w14:paraId="7F89445E">
      <w:pPr>
        <w:spacing w:before="95"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承包人在质量保修期内，按照有关法律规定和合同约定，承担工程质量保修责任。</w:t>
      </w:r>
    </w:p>
    <w:p w14:paraId="50D46B92">
      <w:pPr>
        <w:spacing w:before="157" w:line="359" w:lineRule="auto"/>
        <w:ind w:left="34" w:right="6" w:firstLine="40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质量保修范围包括地基基础工程、主体结构工程，屋面防水工程、有防水要求的卫生</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间、房间和外墙面的防渗漏， 供热与供冷系统，电气管线、给排水</w:t>
      </w:r>
      <w:r>
        <w:rPr>
          <w:rFonts w:ascii="宋体" w:hAnsi="宋体" w:eastAsia="宋体" w:cs="宋体"/>
          <w:color w:val="auto"/>
          <w:spacing w:val="-1"/>
          <w:sz w:val="21"/>
          <w:szCs w:val="21"/>
          <w:highlight w:val="none"/>
        </w:rPr>
        <w:t>管道、设备安装和装修</w:t>
      </w:r>
    </w:p>
    <w:p w14:paraId="542D17A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工程，以及双方约定的其他项目。具体保修的内容，</w:t>
      </w:r>
      <w:r>
        <w:rPr>
          <w:rFonts w:ascii="宋体" w:hAnsi="宋体" w:eastAsia="宋体" w:cs="宋体"/>
          <w:color w:val="auto"/>
          <w:spacing w:val="-19"/>
          <w:sz w:val="21"/>
          <w:szCs w:val="21"/>
          <w:highlight w:val="none"/>
        </w:rPr>
        <w:t xml:space="preserve"> </w:t>
      </w:r>
      <w:r>
        <w:rPr>
          <w:rFonts w:ascii="宋体" w:hAnsi="宋体" w:eastAsia="宋体" w:cs="宋体"/>
          <w:color w:val="auto"/>
          <w:spacing w:val="-4"/>
          <w:sz w:val="21"/>
          <w:szCs w:val="21"/>
          <w:highlight w:val="none"/>
        </w:rPr>
        <w:t>双方约定如下：</w:t>
      </w:r>
    </w:p>
    <w:p w14:paraId="355ED756">
      <w:pPr>
        <w:pStyle w:val="5"/>
        <w:tabs>
          <w:tab w:val="left" w:pos="8325"/>
        </w:tabs>
        <w:spacing w:before="175" w:line="242" w:lineRule="exact"/>
        <w:ind w:left="212"/>
        <w:rPr>
          <w:color w:val="auto"/>
          <w:highlight w:val="none"/>
        </w:rPr>
      </w:pPr>
      <w:r>
        <w:rPr>
          <w:color w:val="auto"/>
          <w:highlight w:val="none"/>
          <w:u w:val="single" w:color="auto"/>
        </w:rPr>
        <w:tab/>
      </w:r>
    </w:p>
    <w:p w14:paraId="110D69CC">
      <w:pPr>
        <w:pStyle w:val="5"/>
        <w:spacing w:line="261" w:lineRule="auto"/>
        <w:rPr>
          <w:color w:val="auto"/>
          <w:highlight w:val="none"/>
        </w:rPr>
      </w:pPr>
    </w:p>
    <w:p w14:paraId="4967B16B">
      <w:pPr>
        <w:tabs>
          <w:tab w:val="left" w:pos="7679"/>
        </w:tabs>
        <w:spacing w:before="26" w:line="159" w:lineRule="auto"/>
        <w:ind w:left="1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2"/>
          <w:sz w:val="8"/>
          <w:szCs w:val="8"/>
          <w:highlight w:val="none"/>
        </w:rPr>
        <w:t xml:space="preserve"> </w:t>
      </w:r>
      <w:r>
        <w:rPr>
          <w:rFonts w:ascii="宋体" w:hAnsi="宋体" w:eastAsia="宋体" w:cs="宋体"/>
          <w:color w:val="auto"/>
          <w:spacing w:val="6"/>
          <w:sz w:val="8"/>
          <w:szCs w:val="8"/>
          <w:highlight w:val="none"/>
        </w:rPr>
        <w:t>。</w:t>
      </w:r>
    </w:p>
    <w:p w14:paraId="3D319850">
      <w:pPr>
        <w:spacing w:before="203" w:line="220" w:lineRule="auto"/>
        <w:ind w:left="444"/>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二、质量保修期</w:t>
      </w:r>
    </w:p>
    <w:p w14:paraId="2DC20D3E">
      <w:pPr>
        <w:spacing w:before="96" w:line="408" w:lineRule="exact"/>
        <w:ind w:left="441"/>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根据《建设工程质量管理条例》及有关规定，工程的</w:t>
      </w:r>
      <w:r>
        <w:rPr>
          <w:rFonts w:ascii="宋体" w:hAnsi="宋体" w:eastAsia="宋体" w:cs="宋体"/>
          <w:color w:val="auto"/>
          <w:spacing w:val="-2"/>
          <w:position w:val="14"/>
          <w:sz w:val="21"/>
          <w:szCs w:val="21"/>
          <w:highlight w:val="none"/>
        </w:rPr>
        <w:t>质量保修期如下：</w:t>
      </w:r>
    </w:p>
    <w:p w14:paraId="4C561D38">
      <w:pPr>
        <w:spacing w:before="1"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3"/>
          <w:sz w:val="21"/>
          <w:szCs w:val="21"/>
          <w:highlight w:val="none"/>
        </w:rPr>
        <w:t>．地基基础工程和主体结构工程为设计文件规定的工程合理使用年限；</w:t>
      </w:r>
    </w:p>
    <w:p w14:paraId="2482B2E9">
      <w:pPr>
        <w:spacing w:before="156" w:line="35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．屋面防水工程、有防水要求的卫生间、房间和外墙面的防渗为</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5</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2"/>
          <w:sz w:val="21"/>
          <w:szCs w:val="21"/>
          <w:highlight w:val="none"/>
        </w:rPr>
        <w:t>年；</w:t>
      </w:r>
    </w:p>
    <w:p w14:paraId="4419C32E">
      <w:pPr>
        <w:spacing w:before="1"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3</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7"/>
          <w:sz w:val="21"/>
          <w:szCs w:val="21"/>
          <w:highlight w:val="none"/>
        </w:rPr>
        <w:t>．装修工程为</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2</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7"/>
          <w:sz w:val="21"/>
          <w:szCs w:val="21"/>
          <w:highlight w:val="none"/>
        </w:rPr>
        <w:t>年；</w:t>
      </w:r>
    </w:p>
    <w:p w14:paraId="47736DEE">
      <w:pPr>
        <w:spacing w:before="157" w:line="359"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4</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3"/>
          <w:sz w:val="21"/>
          <w:szCs w:val="21"/>
          <w:highlight w:val="none"/>
        </w:rPr>
        <w:t>．电气管线、给排水管道、设备安装工程为</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hint="eastAsia" w:ascii="宋体" w:hAnsi="宋体" w:eastAsia="宋体" w:cs="宋体"/>
          <w:color w:val="auto"/>
          <w:spacing w:val="12"/>
          <w:sz w:val="21"/>
          <w:szCs w:val="21"/>
          <w:highlight w:val="none"/>
          <w:u w:val="single" w:color="auto"/>
          <w:lang w:val="en-US" w:eastAsia="zh-CN"/>
        </w:rPr>
        <w:t>2</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年；</w:t>
      </w:r>
    </w:p>
    <w:p w14:paraId="5F2EFD1E">
      <w:pPr>
        <w:spacing w:before="1" w:line="219"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8"/>
          <w:sz w:val="21"/>
          <w:szCs w:val="21"/>
          <w:highlight w:val="none"/>
        </w:rPr>
        <w:t xml:space="preserve"> </w:t>
      </w:r>
      <w:r>
        <w:rPr>
          <w:rFonts w:ascii="宋体" w:hAnsi="宋体" w:eastAsia="宋体" w:cs="宋体"/>
          <w:color w:val="auto"/>
          <w:spacing w:val="-3"/>
          <w:sz w:val="21"/>
          <w:szCs w:val="21"/>
          <w:highlight w:val="none"/>
        </w:rPr>
        <w:t>．供热与供冷系统为</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2</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3"/>
          <w:sz w:val="21"/>
          <w:szCs w:val="21"/>
          <w:highlight w:val="none"/>
        </w:rPr>
        <w:t>个采暖期、供冷期；</w:t>
      </w:r>
    </w:p>
    <w:p w14:paraId="454F543D">
      <w:pPr>
        <w:spacing w:line="220" w:lineRule="auto"/>
        <w:ind w:left="440"/>
        <w:rPr>
          <w:rFonts w:ascii="宋体" w:hAnsi="宋体" w:eastAsia="宋体" w:cs="宋体"/>
          <w:color w:val="auto"/>
          <w:sz w:val="21"/>
          <w:szCs w:val="21"/>
          <w:highlight w:val="none"/>
        </w:rPr>
      </w:pPr>
      <w:r>
        <w:rPr>
          <w:rFonts w:hint="eastAsia" w:ascii="Times New Roman" w:hAnsi="Times New Roman" w:eastAsia="宋体" w:cs="Times New Roman"/>
          <w:color w:val="auto"/>
          <w:spacing w:val="-25"/>
          <w:sz w:val="21"/>
          <w:szCs w:val="21"/>
          <w:highlight w:val="none"/>
          <w:lang w:val="en-US" w:eastAsia="zh-CN"/>
        </w:rPr>
        <w:t>6</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2"/>
          <w:sz w:val="21"/>
          <w:szCs w:val="21"/>
          <w:highlight w:val="none"/>
        </w:rPr>
        <w:t>．其他项目保修期限约定如下：</w:t>
      </w:r>
    </w:p>
    <w:p w14:paraId="0EE14484">
      <w:pPr>
        <w:pStyle w:val="5"/>
        <w:tabs>
          <w:tab w:val="left" w:pos="8325"/>
        </w:tabs>
        <w:spacing w:before="180" w:line="242" w:lineRule="exact"/>
        <w:ind w:left="212"/>
        <w:rPr>
          <w:color w:val="auto"/>
          <w:highlight w:val="none"/>
        </w:rPr>
      </w:pPr>
      <w:r>
        <w:rPr>
          <w:color w:val="auto"/>
          <w:highlight w:val="none"/>
          <w:u w:val="single" w:color="auto"/>
        </w:rPr>
        <w:tab/>
      </w:r>
    </w:p>
    <w:p w14:paraId="011EE16F">
      <w:pPr>
        <w:pStyle w:val="5"/>
        <w:tabs>
          <w:tab w:val="left" w:pos="8327"/>
        </w:tabs>
        <w:spacing w:before="167" w:line="241" w:lineRule="exact"/>
        <w:ind w:left="10"/>
        <w:rPr>
          <w:color w:val="auto"/>
          <w:highlight w:val="none"/>
        </w:rPr>
      </w:pPr>
      <w:r>
        <w:rPr>
          <w:color w:val="auto"/>
          <w:highlight w:val="none"/>
          <w:u w:val="single" w:color="auto"/>
        </w:rPr>
        <w:tab/>
      </w:r>
    </w:p>
    <w:p w14:paraId="28459D1F">
      <w:pPr>
        <w:spacing w:before="285" w:line="106" w:lineRule="exact"/>
        <w:ind w:left="39"/>
        <w:rPr>
          <w:rFonts w:ascii="宋体" w:hAnsi="宋体" w:eastAsia="宋体" w:cs="宋体"/>
          <w:color w:val="auto"/>
          <w:sz w:val="21"/>
          <w:szCs w:val="21"/>
          <w:highlight w:val="none"/>
        </w:rPr>
      </w:pPr>
      <w:r>
        <w:rPr>
          <w:rFonts w:ascii="宋体" w:hAnsi="宋体" w:eastAsia="宋体" w:cs="宋体"/>
          <w:color w:val="auto"/>
          <w:position w:val="1"/>
          <w:sz w:val="21"/>
          <w:szCs w:val="21"/>
          <w:highlight w:val="none"/>
        </w:rPr>
        <w:t>。</w:t>
      </w:r>
    </w:p>
    <w:p w14:paraId="00357B15">
      <w:pPr>
        <w:spacing w:before="165" w:line="221" w:lineRule="auto"/>
        <w:ind w:left="2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质量保修期自工程竣工验收合格之日起计算。</w:t>
      </w:r>
    </w:p>
    <w:p w14:paraId="034CEFB5">
      <w:pPr>
        <w:spacing w:before="158" w:line="219" w:lineRule="auto"/>
        <w:ind w:left="445"/>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三、缺陷责任期</w:t>
      </w:r>
    </w:p>
    <w:p w14:paraId="183C6045">
      <w:pPr>
        <w:spacing w:before="96" w:line="359" w:lineRule="auto"/>
        <w:ind w:right="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工程缺陷责任期为</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24</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个月，缺陷责任期自工程通过竣工验收之日起计</w:t>
      </w:r>
      <w:r>
        <w:rPr>
          <w:rFonts w:ascii="宋体" w:hAnsi="宋体" w:eastAsia="宋体" w:cs="宋体"/>
          <w:color w:val="auto"/>
          <w:spacing w:val="-1"/>
          <w:sz w:val="21"/>
          <w:szCs w:val="21"/>
          <w:highlight w:val="none"/>
        </w:rPr>
        <w:t>算。单位</w:t>
      </w:r>
    </w:p>
    <w:p w14:paraId="549F939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工程先于全部工程进行验收， 单位工程缺陷责任期自单位工程验收合格之日起算。</w:t>
      </w:r>
    </w:p>
    <w:p w14:paraId="78A5BACD">
      <w:pPr>
        <w:spacing w:before="156" w:line="221" w:lineRule="auto"/>
        <w:ind w:left="44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缺陷责任期终止后， 发包人应退还剩余的质量保证金。</w:t>
      </w:r>
    </w:p>
    <w:p w14:paraId="13DD1CB3">
      <w:pPr>
        <w:spacing w:before="158" w:line="219" w:lineRule="auto"/>
        <w:ind w:left="453"/>
        <w:rPr>
          <w:rFonts w:ascii="黑体" w:hAnsi="黑体" w:eastAsia="黑体" w:cs="黑体"/>
          <w:color w:val="auto"/>
          <w:sz w:val="21"/>
          <w:szCs w:val="21"/>
          <w:highlight w:val="none"/>
        </w:rPr>
      </w:pPr>
      <w:r>
        <w:rPr>
          <w:rFonts w:ascii="黑体" w:hAnsi="黑体" w:eastAsia="黑体" w:cs="黑体"/>
          <w:color w:val="auto"/>
          <w:spacing w:val="-11"/>
          <w:sz w:val="21"/>
          <w:szCs w:val="21"/>
          <w:highlight w:val="none"/>
        </w:rPr>
        <w:t>四、</w:t>
      </w:r>
      <w:r>
        <w:rPr>
          <w:rFonts w:ascii="黑体" w:hAnsi="黑体" w:eastAsia="黑体" w:cs="黑体"/>
          <w:color w:val="auto"/>
          <w:spacing w:val="-34"/>
          <w:sz w:val="21"/>
          <w:szCs w:val="21"/>
          <w:highlight w:val="none"/>
        </w:rPr>
        <w:t xml:space="preserve"> </w:t>
      </w:r>
      <w:r>
        <w:rPr>
          <w:rFonts w:ascii="黑体" w:hAnsi="黑体" w:eastAsia="黑体" w:cs="黑体"/>
          <w:color w:val="auto"/>
          <w:spacing w:val="-11"/>
          <w:sz w:val="21"/>
          <w:szCs w:val="21"/>
          <w:highlight w:val="none"/>
        </w:rPr>
        <w:t>质量保修责任</w:t>
      </w:r>
    </w:p>
    <w:p w14:paraId="6B477779">
      <w:pPr>
        <w:spacing w:before="101" w:line="408" w:lineRule="exact"/>
        <w:ind w:right="24"/>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5"/>
          <w:sz w:val="21"/>
          <w:szCs w:val="21"/>
          <w:highlight w:val="none"/>
        </w:rPr>
        <w:t>1</w:t>
      </w:r>
      <w:r>
        <w:rPr>
          <w:rFonts w:ascii="Times New Roman" w:hAnsi="Times New Roman" w:eastAsia="Times New Roman" w:cs="Times New Roman"/>
          <w:color w:val="auto"/>
          <w:spacing w:val="-8"/>
          <w:position w:val="15"/>
          <w:sz w:val="21"/>
          <w:szCs w:val="21"/>
          <w:highlight w:val="none"/>
        </w:rPr>
        <w:t xml:space="preserve"> </w:t>
      </w:r>
      <w:r>
        <w:rPr>
          <w:rFonts w:ascii="宋体" w:hAnsi="宋体" w:eastAsia="宋体" w:cs="宋体"/>
          <w:color w:val="auto"/>
          <w:spacing w:val="-3"/>
          <w:position w:val="15"/>
          <w:sz w:val="21"/>
          <w:szCs w:val="21"/>
          <w:highlight w:val="none"/>
        </w:rPr>
        <w:t>．属于保修范围、内容的项目，承包人应当在接到保修通知之日起</w:t>
      </w:r>
      <w:r>
        <w:rPr>
          <w:rFonts w:ascii="宋体" w:hAnsi="宋体" w:eastAsia="宋体" w:cs="宋体"/>
          <w:color w:val="auto"/>
          <w:spacing w:val="-36"/>
          <w:position w:val="15"/>
          <w:sz w:val="21"/>
          <w:szCs w:val="21"/>
          <w:highlight w:val="none"/>
        </w:rPr>
        <w:t xml:space="preserve"> </w:t>
      </w:r>
      <w:r>
        <w:rPr>
          <w:rFonts w:ascii="宋体" w:hAnsi="宋体" w:eastAsia="宋体" w:cs="宋体"/>
          <w:color w:val="auto"/>
          <w:spacing w:val="-3"/>
          <w:position w:val="15"/>
          <w:sz w:val="21"/>
          <w:szCs w:val="21"/>
          <w:highlight w:val="none"/>
        </w:rPr>
        <w:t>7</w:t>
      </w:r>
      <w:r>
        <w:rPr>
          <w:rFonts w:ascii="宋体" w:hAnsi="宋体" w:eastAsia="宋体" w:cs="宋体"/>
          <w:color w:val="auto"/>
          <w:spacing w:val="-35"/>
          <w:position w:val="15"/>
          <w:sz w:val="21"/>
          <w:szCs w:val="21"/>
          <w:highlight w:val="none"/>
        </w:rPr>
        <w:t xml:space="preserve"> </w:t>
      </w:r>
      <w:r>
        <w:rPr>
          <w:rFonts w:ascii="宋体" w:hAnsi="宋体" w:eastAsia="宋体" w:cs="宋体"/>
          <w:color w:val="auto"/>
          <w:spacing w:val="-3"/>
          <w:position w:val="15"/>
          <w:sz w:val="21"/>
          <w:szCs w:val="21"/>
          <w:highlight w:val="none"/>
        </w:rPr>
        <w:t>天内派人保修。</w:t>
      </w:r>
    </w:p>
    <w:p w14:paraId="366932E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承包人不在约定期限内派人保修的，发包人可以委托他人修</w:t>
      </w:r>
      <w:r>
        <w:rPr>
          <w:rFonts w:ascii="宋体" w:hAnsi="宋体" w:eastAsia="宋体" w:cs="宋体"/>
          <w:color w:val="auto"/>
          <w:spacing w:val="-2"/>
          <w:sz w:val="21"/>
          <w:szCs w:val="21"/>
          <w:highlight w:val="none"/>
        </w:rPr>
        <w:t>理。</w:t>
      </w:r>
    </w:p>
    <w:p w14:paraId="72DF0C55">
      <w:pPr>
        <w:spacing w:line="220" w:lineRule="auto"/>
        <w:rPr>
          <w:rFonts w:ascii="宋体" w:hAnsi="宋体" w:eastAsia="宋体" w:cs="宋体"/>
          <w:color w:val="auto"/>
          <w:sz w:val="21"/>
          <w:szCs w:val="21"/>
          <w:highlight w:val="none"/>
        </w:rPr>
        <w:sectPr>
          <w:footerReference r:id="rId100" w:type="default"/>
          <w:pgSz w:w="11905" w:h="16839"/>
          <w:pgMar w:top="400" w:right="1785" w:bottom="1004" w:left="1785" w:header="0" w:footer="828" w:gutter="0"/>
          <w:pgNumType w:fmt="decimal"/>
          <w:cols w:space="720" w:num="1"/>
        </w:sectPr>
      </w:pPr>
    </w:p>
    <w:p w14:paraId="3BCC3096">
      <w:pPr>
        <w:pStyle w:val="5"/>
        <w:spacing w:line="248" w:lineRule="auto"/>
        <w:rPr>
          <w:color w:val="auto"/>
          <w:highlight w:val="none"/>
        </w:rPr>
      </w:pPr>
    </w:p>
    <w:p w14:paraId="6397F137">
      <w:pPr>
        <w:pStyle w:val="5"/>
        <w:spacing w:line="249" w:lineRule="auto"/>
        <w:rPr>
          <w:color w:val="auto"/>
          <w:highlight w:val="none"/>
        </w:rPr>
      </w:pPr>
    </w:p>
    <w:p w14:paraId="095E51A1">
      <w:pPr>
        <w:pStyle w:val="5"/>
        <w:spacing w:line="249" w:lineRule="auto"/>
        <w:rPr>
          <w:color w:val="auto"/>
          <w:highlight w:val="none"/>
        </w:rPr>
      </w:pPr>
    </w:p>
    <w:p w14:paraId="60DD79C6">
      <w:pPr>
        <w:pStyle w:val="5"/>
        <w:spacing w:line="249" w:lineRule="auto"/>
        <w:rPr>
          <w:color w:val="auto"/>
          <w:highlight w:val="none"/>
        </w:rPr>
      </w:pPr>
    </w:p>
    <w:p w14:paraId="3AF41E35">
      <w:pPr>
        <w:spacing w:before="68" w:line="221" w:lineRule="auto"/>
        <w:ind w:right="2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1"/>
          <w:sz w:val="21"/>
          <w:szCs w:val="21"/>
          <w:highlight w:val="none"/>
        </w:rPr>
        <w:t>．发生紧急事故需抢修的，承包人在接到事故通知后，应当立即</w:t>
      </w:r>
      <w:r>
        <w:rPr>
          <w:rFonts w:ascii="宋体" w:hAnsi="宋体" w:eastAsia="宋体" w:cs="宋体"/>
          <w:color w:val="auto"/>
          <w:spacing w:val="-2"/>
          <w:sz w:val="21"/>
          <w:szCs w:val="21"/>
          <w:highlight w:val="none"/>
        </w:rPr>
        <w:t>到达事故现场抢修。</w:t>
      </w:r>
    </w:p>
    <w:p w14:paraId="29D180DA">
      <w:pPr>
        <w:spacing w:before="156" w:line="359" w:lineRule="auto"/>
        <w:ind w:left="39" w:right="4" w:firstLine="411"/>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w:t>
      </w:r>
      <w:r>
        <w:rPr>
          <w:rFonts w:ascii="Times New Roman" w:hAnsi="Times New Roman" w:eastAsia="Times New Roman" w:cs="Times New Roman"/>
          <w:color w:val="auto"/>
          <w:spacing w:val="-18"/>
          <w:sz w:val="21"/>
          <w:szCs w:val="21"/>
          <w:highlight w:val="none"/>
        </w:rPr>
        <w:t xml:space="preserve"> </w:t>
      </w:r>
      <w:r>
        <w:rPr>
          <w:rFonts w:ascii="宋体" w:hAnsi="宋体" w:eastAsia="宋体" w:cs="宋体"/>
          <w:color w:val="auto"/>
          <w:spacing w:val="-5"/>
          <w:sz w:val="21"/>
          <w:szCs w:val="21"/>
          <w:highlight w:val="none"/>
        </w:rPr>
        <w:t>．对于涉及结构安全的质量问题，</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应当按照《建设工程质量管理条例》的规定，立即</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向当地建设行政主管部门和有关部门报告，采取安全防范措施，并由原设计人或者具有相</w:t>
      </w:r>
    </w:p>
    <w:p w14:paraId="27FEDCF5">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应资质等级的设计人提出保修方案，承包人实施保修。</w:t>
      </w:r>
    </w:p>
    <w:p w14:paraId="55842D1C">
      <w:pPr>
        <w:spacing w:before="156"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4</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9"/>
          <w:sz w:val="21"/>
          <w:szCs w:val="21"/>
          <w:highlight w:val="none"/>
        </w:rPr>
        <w:t>．质量保修完成后，</w:t>
      </w:r>
      <w:r>
        <w:rPr>
          <w:rFonts w:ascii="宋体" w:hAnsi="宋体" w:eastAsia="宋体" w:cs="宋体"/>
          <w:color w:val="auto"/>
          <w:spacing w:val="38"/>
          <w:sz w:val="21"/>
          <w:szCs w:val="21"/>
          <w:highlight w:val="none"/>
        </w:rPr>
        <w:t xml:space="preserve"> </w:t>
      </w:r>
      <w:r>
        <w:rPr>
          <w:rFonts w:ascii="宋体" w:hAnsi="宋体" w:eastAsia="宋体" w:cs="宋体"/>
          <w:color w:val="auto"/>
          <w:spacing w:val="-9"/>
          <w:sz w:val="21"/>
          <w:szCs w:val="21"/>
          <w:highlight w:val="none"/>
        </w:rPr>
        <w:t>由发包人组织验收。</w:t>
      </w:r>
    </w:p>
    <w:p w14:paraId="65A55DEF">
      <w:pPr>
        <w:spacing w:before="162" w:line="220" w:lineRule="auto"/>
        <w:ind w:left="446"/>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五、</w:t>
      </w:r>
      <w:r>
        <w:rPr>
          <w:rFonts w:ascii="黑体" w:hAnsi="黑体" w:eastAsia="黑体" w:cs="黑体"/>
          <w:color w:val="auto"/>
          <w:spacing w:val="-33"/>
          <w:sz w:val="21"/>
          <w:szCs w:val="21"/>
          <w:highlight w:val="none"/>
        </w:rPr>
        <w:t xml:space="preserve"> </w:t>
      </w:r>
      <w:r>
        <w:rPr>
          <w:rFonts w:ascii="黑体" w:hAnsi="黑体" w:eastAsia="黑体" w:cs="黑体"/>
          <w:color w:val="auto"/>
          <w:spacing w:val="-14"/>
          <w:sz w:val="21"/>
          <w:szCs w:val="21"/>
          <w:highlight w:val="none"/>
        </w:rPr>
        <w:t>保修费用</w:t>
      </w:r>
    </w:p>
    <w:p w14:paraId="759261AE">
      <w:pPr>
        <w:spacing w:before="95" w:line="221" w:lineRule="auto"/>
        <w:ind w:left="2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保修费用由造成质量缺陷的责任方承担。</w:t>
      </w:r>
    </w:p>
    <w:p w14:paraId="45E32ACB">
      <w:pPr>
        <w:spacing w:before="158" w:line="219" w:lineRule="auto"/>
        <w:ind w:left="447"/>
        <w:rPr>
          <w:rFonts w:ascii="黑体" w:hAnsi="黑体" w:eastAsia="黑体" w:cs="黑体"/>
          <w:color w:val="auto"/>
          <w:sz w:val="21"/>
          <w:szCs w:val="21"/>
          <w:highlight w:val="none"/>
        </w:rPr>
      </w:pPr>
      <w:r>
        <w:rPr>
          <w:rFonts w:ascii="黑体" w:hAnsi="黑体" w:eastAsia="黑体" w:cs="黑体"/>
          <w:color w:val="auto"/>
          <w:spacing w:val="-5"/>
          <w:sz w:val="21"/>
          <w:szCs w:val="21"/>
          <w:highlight w:val="none"/>
        </w:rPr>
        <w:t>六、</w:t>
      </w:r>
      <w:r>
        <w:rPr>
          <w:rFonts w:ascii="黑体" w:hAnsi="黑体" w:eastAsia="黑体" w:cs="黑体"/>
          <w:color w:val="auto"/>
          <w:spacing w:val="-25"/>
          <w:sz w:val="21"/>
          <w:szCs w:val="21"/>
          <w:highlight w:val="none"/>
        </w:rPr>
        <w:t xml:space="preserve"> </w:t>
      </w:r>
      <w:r>
        <w:rPr>
          <w:rFonts w:ascii="黑体" w:hAnsi="黑体" w:eastAsia="黑体" w:cs="黑体"/>
          <w:color w:val="auto"/>
          <w:spacing w:val="-5"/>
          <w:sz w:val="21"/>
          <w:szCs w:val="21"/>
          <w:highlight w:val="none"/>
        </w:rPr>
        <w:t>双方约定的其他工程质量保修事项：</w:t>
      </w:r>
    </w:p>
    <w:p w14:paraId="4515EEC7">
      <w:pPr>
        <w:tabs>
          <w:tab w:val="left" w:pos="7682"/>
        </w:tabs>
        <w:spacing w:before="232" w:line="159" w:lineRule="auto"/>
        <w:ind w:left="432"/>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14:paraId="5BD29A12">
      <w:pPr>
        <w:spacing w:before="141"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工程质量保修书由发包人、承包人在工程竣工验收前共</w:t>
      </w:r>
      <w:r>
        <w:rPr>
          <w:rFonts w:ascii="宋体" w:hAnsi="宋体" w:eastAsia="宋体" w:cs="宋体"/>
          <w:color w:val="auto"/>
          <w:position w:val="15"/>
          <w:sz w:val="21"/>
          <w:szCs w:val="21"/>
          <w:highlight w:val="none"/>
        </w:rPr>
        <w:t>同签署， 作为施工合同附件，</w:t>
      </w:r>
    </w:p>
    <w:p w14:paraId="76AD4B35">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其有效期限至保修期满。</w:t>
      </w:r>
    </w:p>
    <w:p w14:paraId="7568DFC0">
      <w:pPr>
        <w:spacing w:before="27"/>
        <w:rPr>
          <w:color w:val="auto"/>
          <w:highlight w:val="none"/>
        </w:rPr>
      </w:pPr>
    </w:p>
    <w:p w14:paraId="3FEBB758">
      <w:pPr>
        <w:spacing w:before="27"/>
        <w:rPr>
          <w:color w:val="auto"/>
          <w:highlight w:val="none"/>
        </w:rPr>
      </w:pPr>
    </w:p>
    <w:p w14:paraId="57FB709B">
      <w:pPr>
        <w:spacing w:before="26"/>
        <w:rPr>
          <w:color w:val="auto"/>
          <w:highlight w:val="none"/>
        </w:rPr>
      </w:pPr>
    </w:p>
    <w:p w14:paraId="1ECED6F7">
      <w:pPr>
        <w:spacing w:before="26"/>
        <w:rPr>
          <w:color w:val="auto"/>
          <w:highlight w:val="none"/>
        </w:rPr>
      </w:pPr>
    </w:p>
    <w:p w14:paraId="4A5A47F9">
      <w:pPr>
        <w:spacing w:before="26"/>
        <w:rPr>
          <w:color w:val="auto"/>
          <w:highlight w:val="none"/>
        </w:rPr>
      </w:pPr>
    </w:p>
    <w:p w14:paraId="5F8212E2">
      <w:pPr>
        <w:rPr>
          <w:color w:val="auto"/>
          <w:highlight w:val="none"/>
        </w:rPr>
        <w:sectPr>
          <w:footerReference r:id="rId101" w:type="default"/>
          <w:pgSz w:w="11905" w:h="16839"/>
          <w:pgMar w:top="400" w:right="1785" w:bottom="1004" w:left="1785" w:header="0" w:footer="828" w:gutter="0"/>
          <w:pgNumType w:fmt="decimal"/>
          <w:cols w:equalWidth="0" w:num="1">
            <w:col w:w="8333"/>
          </w:cols>
        </w:sectPr>
      </w:pPr>
    </w:p>
    <w:p w14:paraId="396542FE">
      <w:pPr>
        <w:spacing w:before="43" w:line="363" w:lineRule="auto"/>
        <w:ind w:left="65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发包人（公章</w:t>
      </w:r>
      <w:r>
        <w:rPr>
          <w:rFonts w:ascii="宋体" w:hAnsi="宋体" w:eastAsia="宋体" w:cs="宋体"/>
          <w:color w:val="auto"/>
          <w:spacing w:val="-51"/>
          <w:sz w:val="21"/>
          <w:szCs w:val="21"/>
          <w:highlight w:val="none"/>
        </w:rPr>
        <w:t>）：</w:t>
      </w:r>
      <w:r>
        <w:rPr>
          <w:rFonts w:ascii="宋体" w:hAnsi="宋体" w:eastAsia="宋体" w:cs="宋体"/>
          <w:color w:val="auto"/>
          <w:sz w:val="21"/>
          <w:szCs w:val="21"/>
          <w:highlight w:val="none"/>
          <w:u w:val="single" w:color="auto"/>
        </w:rPr>
        <w:t xml:space="preserve">              </w:t>
      </w:r>
    </w:p>
    <w:p w14:paraId="1FAED010">
      <w:pPr>
        <w:spacing w:before="1" w:line="229" w:lineRule="auto"/>
        <w:ind w:left="647"/>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7"/>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p>
    <w:p w14:paraId="14500780">
      <w:pPr>
        <w:spacing w:before="146" w:line="359" w:lineRule="auto"/>
        <w:ind w:left="64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法定代表人（签字</w:t>
      </w:r>
      <w:r>
        <w:rPr>
          <w:rFonts w:ascii="宋体" w:hAnsi="宋体" w:eastAsia="宋体" w:cs="宋体"/>
          <w:color w:val="auto"/>
          <w:spacing w:val="-53"/>
          <w:sz w:val="21"/>
          <w:szCs w:val="21"/>
          <w:highlight w:val="none"/>
        </w:rPr>
        <w:t>）：</w:t>
      </w:r>
      <w:r>
        <w:rPr>
          <w:rFonts w:ascii="宋体" w:hAnsi="宋体" w:eastAsia="宋体" w:cs="宋体"/>
          <w:color w:val="auto"/>
          <w:sz w:val="21"/>
          <w:szCs w:val="21"/>
          <w:highlight w:val="none"/>
          <w:u w:val="single" w:color="auto"/>
        </w:rPr>
        <w:t xml:space="preserve">           </w:t>
      </w:r>
    </w:p>
    <w:p w14:paraId="74F2EAF2">
      <w:pPr>
        <w:spacing w:before="1" w:line="220" w:lineRule="auto"/>
        <w:ind w:left="6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委托代理人（签字</w:t>
      </w:r>
      <w:r>
        <w:rPr>
          <w:rFonts w:ascii="宋体" w:hAnsi="宋体" w:eastAsia="宋体" w:cs="宋体"/>
          <w:color w:val="auto"/>
          <w:spacing w:val="-52"/>
          <w:sz w:val="21"/>
          <w:szCs w:val="21"/>
          <w:highlight w:val="none"/>
        </w:rPr>
        <w:t>）：</w:t>
      </w:r>
      <w:r>
        <w:rPr>
          <w:rFonts w:ascii="宋体" w:hAnsi="宋体" w:eastAsia="宋体" w:cs="宋体"/>
          <w:color w:val="auto"/>
          <w:sz w:val="21"/>
          <w:szCs w:val="21"/>
          <w:highlight w:val="none"/>
          <w:u w:val="single" w:color="auto"/>
        </w:rPr>
        <w:t xml:space="preserve">           </w:t>
      </w:r>
    </w:p>
    <w:p w14:paraId="2B9B86B3">
      <w:pPr>
        <w:spacing w:before="157" w:line="223" w:lineRule="auto"/>
        <w:ind w:left="672"/>
        <w:rPr>
          <w:rFonts w:ascii="宋体" w:hAnsi="宋体" w:eastAsia="宋体" w:cs="宋体"/>
          <w:color w:val="auto"/>
          <w:sz w:val="21"/>
          <w:szCs w:val="21"/>
          <w:highlight w:val="none"/>
        </w:rPr>
      </w:pPr>
      <w:r>
        <w:rPr>
          <w:rFonts w:ascii="宋体" w:hAnsi="宋体" w:eastAsia="宋体" w:cs="宋体"/>
          <w:color w:val="auto"/>
          <w:spacing w:val="-30"/>
          <w:w w:val="96"/>
          <w:sz w:val="21"/>
          <w:szCs w:val="21"/>
          <w:highlight w:val="none"/>
        </w:rPr>
        <w:t>电</w:t>
      </w:r>
      <w:r>
        <w:rPr>
          <w:rFonts w:ascii="宋体" w:hAnsi="宋体" w:eastAsia="宋体" w:cs="宋体"/>
          <w:color w:val="auto"/>
          <w:spacing w:val="5"/>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2012C813">
      <w:pPr>
        <w:spacing w:before="154" w:line="359" w:lineRule="auto"/>
        <w:ind w:left="645"/>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7"/>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7D523617">
      <w:pPr>
        <w:spacing w:line="221" w:lineRule="auto"/>
        <w:ind w:left="648"/>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u w:val="single" w:color="auto"/>
        </w:rPr>
        <w:t xml:space="preserve">                  </w:t>
      </w:r>
    </w:p>
    <w:p w14:paraId="09B95FFA">
      <w:pPr>
        <w:spacing w:before="157" w:line="222" w:lineRule="auto"/>
        <w:ind w:left="651"/>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7"/>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14:paraId="3AFE3F90">
      <w:pPr>
        <w:spacing w:before="155" w:line="186" w:lineRule="auto"/>
        <w:ind w:left="663"/>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u w:val="single" w:color="auto"/>
        </w:rPr>
        <w:t xml:space="preserve">                 </w:t>
      </w:r>
    </w:p>
    <w:p w14:paraId="06DAEF0C">
      <w:pPr>
        <w:pStyle w:val="5"/>
        <w:spacing w:line="14" w:lineRule="auto"/>
        <w:rPr>
          <w:color w:val="auto"/>
          <w:sz w:val="2"/>
          <w:highlight w:val="none"/>
        </w:rPr>
      </w:pPr>
      <w:r>
        <w:rPr>
          <w:color w:val="auto"/>
          <w:sz w:val="2"/>
          <w:szCs w:val="2"/>
          <w:highlight w:val="none"/>
        </w:rPr>
        <w:br w:type="column"/>
      </w:r>
    </w:p>
    <w:p w14:paraId="4B896017">
      <w:pPr>
        <w:spacing w:before="41" w:line="363" w:lineRule="auto"/>
        <w:ind w:left="10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承包人（公章</w:t>
      </w:r>
      <w:r>
        <w:rPr>
          <w:rFonts w:ascii="宋体" w:hAnsi="宋体" w:eastAsia="宋体" w:cs="宋体"/>
          <w:color w:val="auto"/>
          <w:spacing w:val="-51"/>
          <w:sz w:val="21"/>
          <w:szCs w:val="21"/>
          <w:highlight w:val="none"/>
        </w:rPr>
        <w:t>）：</w:t>
      </w:r>
      <w:r>
        <w:rPr>
          <w:rFonts w:ascii="宋体" w:hAnsi="宋体" w:eastAsia="宋体" w:cs="宋体"/>
          <w:color w:val="auto"/>
          <w:sz w:val="21"/>
          <w:szCs w:val="21"/>
          <w:highlight w:val="none"/>
          <w:u w:val="single" w:color="auto"/>
        </w:rPr>
        <w:t xml:space="preserve">               </w:t>
      </w:r>
    </w:p>
    <w:p w14:paraId="22DB38DD">
      <w:pPr>
        <w:spacing w:before="1" w:line="229" w:lineRule="auto"/>
        <w:ind w:left="1"/>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14:paraId="708088E7">
      <w:pPr>
        <w:spacing w:before="146" w:line="359" w:lineRule="auto"/>
        <w:ind w:left="106" w:right="341" w:firstLine="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法定代表人（签字</w:t>
      </w:r>
      <w:r>
        <w:rPr>
          <w:rFonts w:ascii="宋体" w:hAnsi="宋体" w:eastAsia="宋体" w:cs="宋体"/>
          <w:color w:val="auto"/>
          <w:spacing w:val="-51"/>
          <w:sz w:val="21"/>
          <w:szCs w:val="21"/>
          <w:highlight w:val="none"/>
        </w:rPr>
        <w:t>）：</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委托代理人（签字</w:t>
      </w:r>
      <w:r>
        <w:rPr>
          <w:rFonts w:ascii="宋体" w:hAnsi="宋体" w:eastAsia="宋体" w:cs="宋体"/>
          <w:color w:val="auto"/>
          <w:spacing w:val="-54"/>
          <w:sz w:val="21"/>
          <w:szCs w:val="21"/>
          <w:highlight w:val="none"/>
        </w:rPr>
        <w:t>）：</w:t>
      </w:r>
      <w:r>
        <w:rPr>
          <w:rFonts w:ascii="宋体" w:hAnsi="宋体" w:eastAsia="宋体" w:cs="宋体"/>
          <w:color w:val="auto"/>
          <w:sz w:val="21"/>
          <w:szCs w:val="21"/>
          <w:highlight w:val="none"/>
          <w:u w:val="single" w:color="auto"/>
        </w:rPr>
        <w:t xml:space="preserve">           </w:t>
      </w:r>
    </w:p>
    <w:p w14:paraId="7084AA33">
      <w:pPr>
        <w:spacing w:before="1" w:line="222" w:lineRule="auto"/>
        <w:ind w:left="26"/>
        <w:rPr>
          <w:rFonts w:ascii="宋体" w:hAnsi="宋体" w:eastAsia="宋体" w:cs="宋体"/>
          <w:color w:val="auto"/>
          <w:sz w:val="21"/>
          <w:szCs w:val="21"/>
          <w:highlight w:val="none"/>
        </w:rPr>
      </w:pPr>
      <w:r>
        <w:rPr>
          <w:rFonts w:ascii="宋体" w:hAnsi="宋体" w:eastAsia="宋体" w:cs="宋体"/>
          <w:color w:val="auto"/>
          <w:spacing w:val="-29"/>
          <w:w w:val="95"/>
          <w:sz w:val="21"/>
          <w:szCs w:val="21"/>
          <w:highlight w:val="none"/>
        </w:rPr>
        <w:t>电</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5"/>
          <w:sz w:val="21"/>
          <w:szCs w:val="21"/>
          <w:highlight w:val="none"/>
        </w:rPr>
        <w:t>话：</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14:paraId="1385098C">
      <w:pPr>
        <w:spacing w:before="154" w:line="359" w:lineRule="auto"/>
        <w:ind w:left="2" w:right="553" w:hanging="2"/>
        <w:rPr>
          <w:rFonts w:ascii="宋体" w:hAnsi="宋体" w:eastAsia="宋体" w:cs="宋体"/>
          <w:color w:val="auto"/>
          <w:sz w:val="21"/>
          <w:szCs w:val="21"/>
          <w:highlight w:val="none"/>
        </w:rPr>
      </w:pPr>
      <w:r>
        <w:rPr>
          <w:rFonts w:ascii="宋体" w:hAnsi="宋体" w:eastAsia="宋体" w:cs="宋体"/>
          <w:color w:val="auto"/>
          <w:spacing w:val="-27"/>
          <w:w w:val="98"/>
          <w:sz w:val="21"/>
          <w:szCs w:val="21"/>
          <w:highlight w:val="none"/>
        </w:rPr>
        <w:t>传</w:t>
      </w:r>
      <w:r>
        <w:rPr>
          <w:rFonts w:ascii="宋体" w:hAnsi="宋体" w:eastAsia="宋体" w:cs="宋体"/>
          <w:color w:val="auto"/>
          <w:spacing w:val="5"/>
          <w:sz w:val="21"/>
          <w:szCs w:val="21"/>
          <w:highlight w:val="none"/>
        </w:rPr>
        <w:t xml:space="preserve">  </w:t>
      </w:r>
      <w:r>
        <w:rPr>
          <w:rFonts w:ascii="宋体" w:hAnsi="宋体" w:eastAsia="宋体" w:cs="宋体"/>
          <w:color w:val="auto"/>
          <w:spacing w:val="-27"/>
          <w:w w:val="98"/>
          <w:sz w:val="21"/>
          <w:szCs w:val="21"/>
          <w:highlight w:val="none"/>
        </w:rPr>
        <w:t>真：</w:t>
      </w:r>
      <w:r>
        <w:rPr>
          <w:rFonts w:ascii="宋体" w:hAnsi="宋体" w:eastAsia="宋体" w:cs="宋体"/>
          <w:color w:val="auto"/>
          <w:spacing w:val="-3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
          <w:sz w:val="21"/>
          <w:szCs w:val="21"/>
          <w:highlight w:val="none"/>
        </w:rPr>
        <w:t xml:space="preserve"> </w:t>
      </w:r>
      <w:r>
        <w:rPr>
          <w:rFonts w:ascii="宋体" w:hAnsi="宋体" w:eastAsia="宋体" w:cs="宋体"/>
          <w:color w:val="auto"/>
          <w:spacing w:val="-18"/>
          <w:sz w:val="21"/>
          <w:szCs w:val="21"/>
          <w:highlight w:val="none"/>
        </w:rPr>
        <w:t>开户银行：</w:t>
      </w:r>
      <w:r>
        <w:rPr>
          <w:rFonts w:ascii="宋体" w:hAnsi="宋体" w:eastAsia="宋体" w:cs="宋体"/>
          <w:color w:val="auto"/>
          <w:spacing w:val="-29"/>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3"/>
          <w:sz w:val="21"/>
          <w:szCs w:val="21"/>
          <w:highlight w:val="none"/>
        </w:rPr>
        <w:t xml:space="preserve"> </w:t>
      </w:r>
      <w:r>
        <w:rPr>
          <w:rFonts w:ascii="宋体" w:hAnsi="宋体" w:eastAsia="宋体" w:cs="宋体"/>
          <w:color w:val="auto"/>
          <w:spacing w:val="-31"/>
          <w:sz w:val="21"/>
          <w:szCs w:val="21"/>
          <w:highlight w:val="none"/>
        </w:rPr>
        <w:t>账</w:t>
      </w:r>
      <w:r>
        <w:rPr>
          <w:rFonts w:ascii="宋体" w:hAnsi="宋体" w:eastAsia="宋体" w:cs="宋体"/>
          <w:color w:val="auto"/>
          <w:spacing w:val="5"/>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6"/>
          <w:sz w:val="21"/>
          <w:szCs w:val="21"/>
          <w:highlight w:val="none"/>
        </w:rPr>
        <w:t xml:space="preserve"> </w:t>
      </w:r>
      <w:r>
        <w:rPr>
          <w:rFonts w:ascii="宋体" w:hAnsi="宋体" w:eastAsia="宋体" w:cs="宋体"/>
          <w:color w:val="auto"/>
          <w:sz w:val="21"/>
          <w:szCs w:val="21"/>
          <w:highlight w:val="none"/>
          <w:u w:val="single" w:color="auto"/>
        </w:rPr>
        <w:t xml:space="preserve">                     </w:t>
      </w:r>
    </w:p>
    <w:p w14:paraId="68A2FC0B">
      <w:pPr>
        <w:spacing w:before="1" w:line="185" w:lineRule="auto"/>
        <w:ind w:left="17"/>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邮政编码：</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FE0963B">
      <w:pPr>
        <w:spacing w:line="185"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4647" w:space="100"/>
            <w:col w:w="3587"/>
          </w:cols>
        </w:sectPr>
      </w:pPr>
    </w:p>
    <w:p w14:paraId="4BC847DE">
      <w:pPr>
        <w:pStyle w:val="5"/>
        <w:spacing w:line="276" w:lineRule="auto"/>
        <w:rPr>
          <w:color w:val="auto"/>
          <w:highlight w:val="none"/>
        </w:rPr>
      </w:pPr>
    </w:p>
    <w:p w14:paraId="4FA95D7C">
      <w:pPr>
        <w:pStyle w:val="5"/>
        <w:spacing w:line="276" w:lineRule="auto"/>
        <w:rPr>
          <w:color w:val="auto"/>
          <w:highlight w:val="none"/>
        </w:rPr>
      </w:pPr>
    </w:p>
    <w:p w14:paraId="54160508">
      <w:pPr>
        <w:pStyle w:val="5"/>
        <w:spacing w:line="276" w:lineRule="auto"/>
        <w:rPr>
          <w:color w:val="auto"/>
          <w:highlight w:val="none"/>
        </w:rPr>
      </w:pPr>
    </w:p>
    <w:p w14:paraId="06476B95">
      <w:pPr>
        <w:pStyle w:val="5"/>
        <w:spacing w:line="276" w:lineRule="auto"/>
        <w:rPr>
          <w:color w:val="auto"/>
          <w:highlight w:val="none"/>
        </w:rPr>
      </w:pPr>
    </w:p>
    <w:p w14:paraId="0B0C0965">
      <w:pPr>
        <w:spacing w:before="78" w:line="219" w:lineRule="auto"/>
        <w:ind w:left="402"/>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附件</w:t>
      </w:r>
      <w:r>
        <w:rPr>
          <w:rFonts w:ascii="宋体" w:hAnsi="宋体" w:eastAsia="宋体" w:cs="宋体"/>
          <w:color w:val="auto"/>
          <w:spacing w:val="-59"/>
          <w:sz w:val="24"/>
          <w:szCs w:val="24"/>
          <w:highlight w:val="none"/>
        </w:rPr>
        <w:t xml:space="preserve"> </w:t>
      </w:r>
      <w:r>
        <w:rPr>
          <w:rFonts w:ascii="Times New Roman" w:hAnsi="Times New Roman" w:eastAsia="Times New Roman" w:cs="Times New Roman"/>
          <w:color w:val="auto"/>
          <w:spacing w:val="-8"/>
          <w:sz w:val="24"/>
          <w:szCs w:val="24"/>
          <w:highlight w:val="none"/>
        </w:rPr>
        <w:t>4</w:t>
      </w:r>
      <w:r>
        <w:rPr>
          <w:rFonts w:ascii="宋体" w:hAnsi="宋体" w:eastAsia="宋体" w:cs="宋体"/>
          <w:color w:val="auto"/>
          <w:spacing w:val="-8"/>
          <w:sz w:val="24"/>
          <w:szCs w:val="24"/>
          <w:highlight w:val="none"/>
        </w:rPr>
        <w:t>：</w:t>
      </w:r>
    </w:p>
    <w:p w14:paraId="128E1FC8">
      <w:pPr>
        <w:spacing w:before="243" w:line="225" w:lineRule="auto"/>
        <w:ind w:left="3146"/>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主要建设工程文件目录</w:t>
      </w:r>
    </w:p>
    <w:p w14:paraId="6B196C00">
      <w:pPr>
        <w:spacing w:line="112" w:lineRule="exact"/>
        <w:rPr>
          <w:color w:val="auto"/>
          <w:highlight w:val="none"/>
        </w:rPr>
      </w:pPr>
    </w:p>
    <w:tbl>
      <w:tblPr>
        <w:tblStyle w:val="17"/>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46231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14:paraId="27CA63BC">
            <w:pPr>
              <w:pStyle w:val="18"/>
              <w:spacing w:before="177" w:line="221" w:lineRule="auto"/>
              <w:ind w:left="85"/>
              <w:rPr>
                <w:color w:val="auto"/>
                <w:highlight w:val="none"/>
              </w:rPr>
            </w:pPr>
            <w:r>
              <w:rPr>
                <w:color w:val="auto"/>
                <w:spacing w:val="-1"/>
                <w:highlight w:val="none"/>
              </w:rPr>
              <w:t>文件名称</w:t>
            </w:r>
          </w:p>
        </w:tc>
        <w:tc>
          <w:tcPr>
            <w:tcW w:w="1274" w:type="dxa"/>
            <w:tcBorders>
              <w:top w:val="single" w:color="000000" w:sz="10" w:space="0"/>
            </w:tcBorders>
            <w:vAlign w:val="top"/>
          </w:tcPr>
          <w:p w14:paraId="6BEA68C0">
            <w:pPr>
              <w:pStyle w:val="18"/>
              <w:spacing w:before="177" w:line="221" w:lineRule="auto"/>
              <w:ind w:left="85"/>
              <w:rPr>
                <w:color w:val="auto"/>
                <w:highlight w:val="none"/>
              </w:rPr>
            </w:pPr>
            <w:r>
              <w:rPr>
                <w:color w:val="auto"/>
                <w:spacing w:val="-2"/>
                <w:highlight w:val="none"/>
              </w:rPr>
              <w:t>套数</w:t>
            </w:r>
          </w:p>
        </w:tc>
        <w:tc>
          <w:tcPr>
            <w:tcW w:w="1446" w:type="dxa"/>
            <w:tcBorders>
              <w:top w:val="single" w:color="000000" w:sz="10" w:space="0"/>
            </w:tcBorders>
            <w:vAlign w:val="top"/>
          </w:tcPr>
          <w:p w14:paraId="3751E30B">
            <w:pPr>
              <w:pStyle w:val="18"/>
              <w:spacing w:before="178" w:line="221" w:lineRule="auto"/>
              <w:ind w:left="100"/>
              <w:rPr>
                <w:color w:val="auto"/>
                <w:highlight w:val="none"/>
              </w:rPr>
            </w:pPr>
            <w:r>
              <w:rPr>
                <w:color w:val="auto"/>
                <w:spacing w:val="-5"/>
                <w:highlight w:val="none"/>
              </w:rPr>
              <w:t>费用（元）</w:t>
            </w:r>
          </w:p>
        </w:tc>
        <w:tc>
          <w:tcPr>
            <w:tcW w:w="1240" w:type="dxa"/>
            <w:tcBorders>
              <w:top w:val="single" w:color="000000" w:sz="10" w:space="0"/>
            </w:tcBorders>
            <w:vAlign w:val="top"/>
          </w:tcPr>
          <w:p w14:paraId="3EA0F1D4">
            <w:pPr>
              <w:pStyle w:val="18"/>
              <w:spacing w:before="178" w:line="221" w:lineRule="auto"/>
              <w:ind w:left="93"/>
              <w:rPr>
                <w:color w:val="auto"/>
                <w:highlight w:val="none"/>
              </w:rPr>
            </w:pPr>
            <w:r>
              <w:rPr>
                <w:color w:val="auto"/>
                <w:spacing w:val="-2"/>
                <w:highlight w:val="none"/>
              </w:rPr>
              <w:t>质量</w:t>
            </w:r>
          </w:p>
        </w:tc>
        <w:tc>
          <w:tcPr>
            <w:tcW w:w="1446" w:type="dxa"/>
            <w:tcBorders>
              <w:top w:val="single" w:color="000000" w:sz="10" w:space="0"/>
            </w:tcBorders>
            <w:vAlign w:val="top"/>
          </w:tcPr>
          <w:p w14:paraId="126C7616">
            <w:pPr>
              <w:pStyle w:val="18"/>
              <w:spacing w:before="178" w:line="222" w:lineRule="auto"/>
              <w:ind w:left="308"/>
              <w:rPr>
                <w:color w:val="auto"/>
                <w:highlight w:val="none"/>
              </w:rPr>
            </w:pPr>
            <w:r>
              <w:rPr>
                <w:color w:val="auto"/>
                <w:spacing w:val="-1"/>
                <w:highlight w:val="none"/>
              </w:rPr>
              <w:t>移交时间</w:t>
            </w:r>
          </w:p>
        </w:tc>
        <w:tc>
          <w:tcPr>
            <w:tcW w:w="1679" w:type="dxa"/>
            <w:tcBorders>
              <w:top w:val="single" w:color="000000" w:sz="10" w:space="0"/>
              <w:right w:val="single" w:color="000000" w:sz="10" w:space="0"/>
            </w:tcBorders>
            <w:vAlign w:val="top"/>
          </w:tcPr>
          <w:p w14:paraId="1D73651D">
            <w:pPr>
              <w:pStyle w:val="18"/>
              <w:spacing w:before="177" w:line="221" w:lineRule="auto"/>
              <w:ind w:left="535"/>
              <w:rPr>
                <w:color w:val="auto"/>
                <w:highlight w:val="none"/>
              </w:rPr>
            </w:pPr>
            <w:r>
              <w:rPr>
                <w:color w:val="auto"/>
                <w:spacing w:val="-3"/>
                <w:highlight w:val="none"/>
              </w:rPr>
              <w:t>责任人</w:t>
            </w:r>
          </w:p>
        </w:tc>
      </w:tr>
      <w:tr w14:paraId="45B11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766D8B9B">
            <w:pPr>
              <w:rPr>
                <w:rFonts w:ascii="Arial"/>
                <w:color w:val="auto"/>
                <w:sz w:val="21"/>
                <w:highlight w:val="none"/>
              </w:rPr>
            </w:pPr>
          </w:p>
        </w:tc>
        <w:tc>
          <w:tcPr>
            <w:tcW w:w="1274" w:type="dxa"/>
            <w:vAlign w:val="top"/>
          </w:tcPr>
          <w:p w14:paraId="34999387">
            <w:pPr>
              <w:rPr>
                <w:rFonts w:ascii="Arial"/>
                <w:color w:val="auto"/>
                <w:sz w:val="21"/>
                <w:highlight w:val="none"/>
              </w:rPr>
            </w:pPr>
          </w:p>
        </w:tc>
        <w:tc>
          <w:tcPr>
            <w:tcW w:w="1446" w:type="dxa"/>
            <w:vAlign w:val="top"/>
          </w:tcPr>
          <w:p w14:paraId="33597BA3">
            <w:pPr>
              <w:rPr>
                <w:rFonts w:ascii="Arial"/>
                <w:color w:val="auto"/>
                <w:sz w:val="21"/>
                <w:highlight w:val="none"/>
              </w:rPr>
            </w:pPr>
          </w:p>
        </w:tc>
        <w:tc>
          <w:tcPr>
            <w:tcW w:w="1240" w:type="dxa"/>
            <w:vAlign w:val="top"/>
          </w:tcPr>
          <w:p w14:paraId="01A96D5F">
            <w:pPr>
              <w:rPr>
                <w:rFonts w:ascii="Arial"/>
                <w:color w:val="auto"/>
                <w:sz w:val="21"/>
                <w:highlight w:val="none"/>
              </w:rPr>
            </w:pPr>
          </w:p>
        </w:tc>
        <w:tc>
          <w:tcPr>
            <w:tcW w:w="1446" w:type="dxa"/>
            <w:vAlign w:val="top"/>
          </w:tcPr>
          <w:p w14:paraId="38C3B6C1">
            <w:pPr>
              <w:rPr>
                <w:rFonts w:ascii="Arial"/>
                <w:color w:val="auto"/>
                <w:sz w:val="21"/>
                <w:highlight w:val="none"/>
              </w:rPr>
            </w:pPr>
          </w:p>
        </w:tc>
        <w:tc>
          <w:tcPr>
            <w:tcW w:w="1679" w:type="dxa"/>
            <w:tcBorders>
              <w:right w:val="single" w:color="000000" w:sz="10" w:space="0"/>
            </w:tcBorders>
            <w:vAlign w:val="top"/>
          </w:tcPr>
          <w:p w14:paraId="516FCDF8">
            <w:pPr>
              <w:rPr>
                <w:rFonts w:ascii="Arial"/>
                <w:color w:val="auto"/>
                <w:sz w:val="21"/>
                <w:highlight w:val="none"/>
              </w:rPr>
            </w:pPr>
          </w:p>
        </w:tc>
      </w:tr>
      <w:tr w14:paraId="7648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D1C7A30">
            <w:pPr>
              <w:rPr>
                <w:rFonts w:ascii="Arial"/>
                <w:color w:val="auto"/>
                <w:sz w:val="21"/>
                <w:highlight w:val="none"/>
              </w:rPr>
            </w:pPr>
          </w:p>
        </w:tc>
        <w:tc>
          <w:tcPr>
            <w:tcW w:w="1274" w:type="dxa"/>
            <w:vAlign w:val="top"/>
          </w:tcPr>
          <w:p w14:paraId="53BCA75B">
            <w:pPr>
              <w:rPr>
                <w:rFonts w:ascii="Arial"/>
                <w:color w:val="auto"/>
                <w:sz w:val="21"/>
                <w:highlight w:val="none"/>
              </w:rPr>
            </w:pPr>
          </w:p>
        </w:tc>
        <w:tc>
          <w:tcPr>
            <w:tcW w:w="1446" w:type="dxa"/>
            <w:vAlign w:val="top"/>
          </w:tcPr>
          <w:p w14:paraId="4A6A02D4">
            <w:pPr>
              <w:rPr>
                <w:rFonts w:ascii="Arial"/>
                <w:color w:val="auto"/>
                <w:sz w:val="21"/>
                <w:highlight w:val="none"/>
              </w:rPr>
            </w:pPr>
          </w:p>
        </w:tc>
        <w:tc>
          <w:tcPr>
            <w:tcW w:w="1240" w:type="dxa"/>
            <w:vAlign w:val="top"/>
          </w:tcPr>
          <w:p w14:paraId="2E889619">
            <w:pPr>
              <w:rPr>
                <w:rFonts w:ascii="Arial"/>
                <w:color w:val="auto"/>
                <w:sz w:val="21"/>
                <w:highlight w:val="none"/>
              </w:rPr>
            </w:pPr>
          </w:p>
        </w:tc>
        <w:tc>
          <w:tcPr>
            <w:tcW w:w="1446" w:type="dxa"/>
            <w:vAlign w:val="top"/>
          </w:tcPr>
          <w:p w14:paraId="71DBF8BB">
            <w:pPr>
              <w:rPr>
                <w:rFonts w:ascii="Arial"/>
                <w:color w:val="auto"/>
                <w:sz w:val="21"/>
                <w:highlight w:val="none"/>
              </w:rPr>
            </w:pPr>
          </w:p>
        </w:tc>
        <w:tc>
          <w:tcPr>
            <w:tcW w:w="1679" w:type="dxa"/>
            <w:tcBorders>
              <w:right w:val="single" w:color="000000" w:sz="10" w:space="0"/>
            </w:tcBorders>
            <w:vAlign w:val="top"/>
          </w:tcPr>
          <w:p w14:paraId="08ECB431">
            <w:pPr>
              <w:rPr>
                <w:rFonts w:ascii="Arial"/>
                <w:color w:val="auto"/>
                <w:sz w:val="21"/>
                <w:highlight w:val="none"/>
              </w:rPr>
            </w:pPr>
          </w:p>
        </w:tc>
      </w:tr>
      <w:tr w14:paraId="3757C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CA78406">
            <w:pPr>
              <w:rPr>
                <w:rFonts w:ascii="Arial"/>
                <w:color w:val="auto"/>
                <w:sz w:val="21"/>
                <w:highlight w:val="none"/>
              </w:rPr>
            </w:pPr>
          </w:p>
        </w:tc>
        <w:tc>
          <w:tcPr>
            <w:tcW w:w="1274" w:type="dxa"/>
            <w:vAlign w:val="top"/>
          </w:tcPr>
          <w:p w14:paraId="594344F2">
            <w:pPr>
              <w:rPr>
                <w:rFonts w:ascii="Arial"/>
                <w:color w:val="auto"/>
                <w:sz w:val="21"/>
                <w:highlight w:val="none"/>
              </w:rPr>
            </w:pPr>
          </w:p>
        </w:tc>
        <w:tc>
          <w:tcPr>
            <w:tcW w:w="1446" w:type="dxa"/>
            <w:vAlign w:val="top"/>
          </w:tcPr>
          <w:p w14:paraId="4226669C">
            <w:pPr>
              <w:rPr>
                <w:rFonts w:ascii="Arial"/>
                <w:color w:val="auto"/>
                <w:sz w:val="21"/>
                <w:highlight w:val="none"/>
              </w:rPr>
            </w:pPr>
          </w:p>
        </w:tc>
        <w:tc>
          <w:tcPr>
            <w:tcW w:w="1240" w:type="dxa"/>
            <w:vAlign w:val="top"/>
          </w:tcPr>
          <w:p w14:paraId="5956BA3C">
            <w:pPr>
              <w:rPr>
                <w:rFonts w:ascii="Arial"/>
                <w:color w:val="auto"/>
                <w:sz w:val="21"/>
                <w:highlight w:val="none"/>
              </w:rPr>
            </w:pPr>
          </w:p>
        </w:tc>
        <w:tc>
          <w:tcPr>
            <w:tcW w:w="1446" w:type="dxa"/>
            <w:vAlign w:val="top"/>
          </w:tcPr>
          <w:p w14:paraId="3250C47A">
            <w:pPr>
              <w:rPr>
                <w:rFonts w:ascii="Arial"/>
                <w:color w:val="auto"/>
                <w:sz w:val="21"/>
                <w:highlight w:val="none"/>
              </w:rPr>
            </w:pPr>
          </w:p>
        </w:tc>
        <w:tc>
          <w:tcPr>
            <w:tcW w:w="1679" w:type="dxa"/>
            <w:tcBorders>
              <w:right w:val="single" w:color="000000" w:sz="10" w:space="0"/>
            </w:tcBorders>
            <w:vAlign w:val="top"/>
          </w:tcPr>
          <w:p w14:paraId="7C8C303D">
            <w:pPr>
              <w:rPr>
                <w:rFonts w:ascii="Arial"/>
                <w:color w:val="auto"/>
                <w:sz w:val="21"/>
                <w:highlight w:val="none"/>
              </w:rPr>
            </w:pPr>
          </w:p>
        </w:tc>
      </w:tr>
      <w:tr w14:paraId="431CF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08BA1A44">
            <w:pPr>
              <w:rPr>
                <w:rFonts w:ascii="Arial"/>
                <w:color w:val="auto"/>
                <w:sz w:val="21"/>
                <w:highlight w:val="none"/>
              </w:rPr>
            </w:pPr>
          </w:p>
        </w:tc>
        <w:tc>
          <w:tcPr>
            <w:tcW w:w="1274" w:type="dxa"/>
            <w:vAlign w:val="top"/>
          </w:tcPr>
          <w:p w14:paraId="33EB1D2D">
            <w:pPr>
              <w:rPr>
                <w:rFonts w:ascii="Arial"/>
                <w:color w:val="auto"/>
                <w:sz w:val="21"/>
                <w:highlight w:val="none"/>
              </w:rPr>
            </w:pPr>
          </w:p>
        </w:tc>
        <w:tc>
          <w:tcPr>
            <w:tcW w:w="1446" w:type="dxa"/>
            <w:vAlign w:val="top"/>
          </w:tcPr>
          <w:p w14:paraId="4F1C4502">
            <w:pPr>
              <w:rPr>
                <w:rFonts w:ascii="Arial"/>
                <w:color w:val="auto"/>
                <w:sz w:val="21"/>
                <w:highlight w:val="none"/>
              </w:rPr>
            </w:pPr>
          </w:p>
        </w:tc>
        <w:tc>
          <w:tcPr>
            <w:tcW w:w="1240" w:type="dxa"/>
            <w:vAlign w:val="top"/>
          </w:tcPr>
          <w:p w14:paraId="66575E75">
            <w:pPr>
              <w:rPr>
                <w:rFonts w:ascii="Arial"/>
                <w:color w:val="auto"/>
                <w:sz w:val="21"/>
                <w:highlight w:val="none"/>
              </w:rPr>
            </w:pPr>
          </w:p>
        </w:tc>
        <w:tc>
          <w:tcPr>
            <w:tcW w:w="1446" w:type="dxa"/>
            <w:vAlign w:val="top"/>
          </w:tcPr>
          <w:p w14:paraId="5F7297BD">
            <w:pPr>
              <w:rPr>
                <w:rFonts w:ascii="Arial"/>
                <w:color w:val="auto"/>
                <w:sz w:val="21"/>
                <w:highlight w:val="none"/>
              </w:rPr>
            </w:pPr>
          </w:p>
        </w:tc>
        <w:tc>
          <w:tcPr>
            <w:tcW w:w="1679" w:type="dxa"/>
            <w:tcBorders>
              <w:right w:val="single" w:color="000000" w:sz="10" w:space="0"/>
            </w:tcBorders>
            <w:vAlign w:val="top"/>
          </w:tcPr>
          <w:p w14:paraId="4472594F">
            <w:pPr>
              <w:rPr>
                <w:rFonts w:ascii="Arial"/>
                <w:color w:val="auto"/>
                <w:sz w:val="21"/>
                <w:highlight w:val="none"/>
              </w:rPr>
            </w:pPr>
          </w:p>
        </w:tc>
      </w:tr>
      <w:tr w14:paraId="469C5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181B275A">
            <w:pPr>
              <w:rPr>
                <w:rFonts w:ascii="Arial"/>
                <w:color w:val="auto"/>
                <w:sz w:val="21"/>
                <w:highlight w:val="none"/>
              </w:rPr>
            </w:pPr>
          </w:p>
        </w:tc>
        <w:tc>
          <w:tcPr>
            <w:tcW w:w="1274" w:type="dxa"/>
            <w:vAlign w:val="top"/>
          </w:tcPr>
          <w:p w14:paraId="0AA214FC">
            <w:pPr>
              <w:rPr>
                <w:rFonts w:ascii="Arial"/>
                <w:color w:val="auto"/>
                <w:sz w:val="21"/>
                <w:highlight w:val="none"/>
              </w:rPr>
            </w:pPr>
          </w:p>
        </w:tc>
        <w:tc>
          <w:tcPr>
            <w:tcW w:w="1446" w:type="dxa"/>
            <w:vAlign w:val="top"/>
          </w:tcPr>
          <w:p w14:paraId="2A1E1EF3">
            <w:pPr>
              <w:rPr>
                <w:rFonts w:ascii="Arial"/>
                <w:color w:val="auto"/>
                <w:sz w:val="21"/>
                <w:highlight w:val="none"/>
              </w:rPr>
            </w:pPr>
          </w:p>
        </w:tc>
        <w:tc>
          <w:tcPr>
            <w:tcW w:w="1240" w:type="dxa"/>
            <w:vAlign w:val="top"/>
          </w:tcPr>
          <w:p w14:paraId="46E826A8">
            <w:pPr>
              <w:rPr>
                <w:rFonts w:ascii="Arial"/>
                <w:color w:val="auto"/>
                <w:sz w:val="21"/>
                <w:highlight w:val="none"/>
              </w:rPr>
            </w:pPr>
          </w:p>
        </w:tc>
        <w:tc>
          <w:tcPr>
            <w:tcW w:w="1446" w:type="dxa"/>
            <w:vAlign w:val="top"/>
          </w:tcPr>
          <w:p w14:paraId="3DBCB82C">
            <w:pPr>
              <w:rPr>
                <w:rFonts w:ascii="Arial"/>
                <w:color w:val="auto"/>
                <w:sz w:val="21"/>
                <w:highlight w:val="none"/>
              </w:rPr>
            </w:pPr>
          </w:p>
        </w:tc>
        <w:tc>
          <w:tcPr>
            <w:tcW w:w="1679" w:type="dxa"/>
            <w:tcBorders>
              <w:right w:val="single" w:color="000000" w:sz="10" w:space="0"/>
            </w:tcBorders>
            <w:vAlign w:val="top"/>
          </w:tcPr>
          <w:p w14:paraId="489E9000">
            <w:pPr>
              <w:rPr>
                <w:rFonts w:ascii="Arial"/>
                <w:color w:val="auto"/>
                <w:sz w:val="21"/>
                <w:highlight w:val="none"/>
              </w:rPr>
            </w:pPr>
          </w:p>
        </w:tc>
      </w:tr>
      <w:tr w14:paraId="4A2B9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468693E">
            <w:pPr>
              <w:rPr>
                <w:rFonts w:ascii="Arial"/>
                <w:color w:val="auto"/>
                <w:sz w:val="21"/>
                <w:highlight w:val="none"/>
              </w:rPr>
            </w:pPr>
          </w:p>
        </w:tc>
        <w:tc>
          <w:tcPr>
            <w:tcW w:w="1274" w:type="dxa"/>
            <w:vAlign w:val="top"/>
          </w:tcPr>
          <w:p w14:paraId="20705CEC">
            <w:pPr>
              <w:rPr>
                <w:rFonts w:ascii="Arial"/>
                <w:color w:val="auto"/>
                <w:sz w:val="21"/>
                <w:highlight w:val="none"/>
              </w:rPr>
            </w:pPr>
          </w:p>
        </w:tc>
        <w:tc>
          <w:tcPr>
            <w:tcW w:w="1446" w:type="dxa"/>
            <w:vAlign w:val="top"/>
          </w:tcPr>
          <w:p w14:paraId="464E5B95">
            <w:pPr>
              <w:rPr>
                <w:rFonts w:ascii="Arial"/>
                <w:color w:val="auto"/>
                <w:sz w:val="21"/>
                <w:highlight w:val="none"/>
              </w:rPr>
            </w:pPr>
          </w:p>
        </w:tc>
        <w:tc>
          <w:tcPr>
            <w:tcW w:w="1240" w:type="dxa"/>
            <w:vAlign w:val="top"/>
          </w:tcPr>
          <w:p w14:paraId="76FF5362">
            <w:pPr>
              <w:rPr>
                <w:rFonts w:ascii="Arial"/>
                <w:color w:val="auto"/>
                <w:sz w:val="21"/>
                <w:highlight w:val="none"/>
              </w:rPr>
            </w:pPr>
          </w:p>
        </w:tc>
        <w:tc>
          <w:tcPr>
            <w:tcW w:w="1446" w:type="dxa"/>
            <w:vAlign w:val="top"/>
          </w:tcPr>
          <w:p w14:paraId="76158DA5">
            <w:pPr>
              <w:rPr>
                <w:rFonts w:ascii="Arial"/>
                <w:color w:val="auto"/>
                <w:sz w:val="21"/>
                <w:highlight w:val="none"/>
              </w:rPr>
            </w:pPr>
          </w:p>
        </w:tc>
        <w:tc>
          <w:tcPr>
            <w:tcW w:w="1679" w:type="dxa"/>
            <w:tcBorders>
              <w:right w:val="single" w:color="000000" w:sz="10" w:space="0"/>
            </w:tcBorders>
            <w:vAlign w:val="top"/>
          </w:tcPr>
          <w:p w14:paraId="501983BA">
            <w:pPr>
              <w:rPr>
                <w:rFonts w:ascii="Arial"/>
                <w:color w:val="auto"/>
                <w:sz w:val="21"/>
                <w:highlight w:val="none"/>
              </w:rPr>
            </w:pPr>
          </w:p>
        </w:tc>
      </w:tr>
      <w:tr w14:paraId="3CE7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5061DBAC">
            <w:pPr>
              <w:rPr>
                <w:rFonts w:ascii="Arial"/>
                <w:color w:val="auto"/>
                <w:sz w:val="21"/>
                <w:highlight w:val="none"/>
              </w:rPr>
            </w:pPr>
          </w:p>
        </w:tc>
        <w:tc>
          <w:tcPr>
            <w:tcW w:w="1274" w:type="dxa"/>
            <w:vAlign w:val="top"/>
          </w:tcPr>
          <w:p w14:paraId="53CD3CB4">
            <w:pPr>
              <w:rPr>
                <w:rFonts w:ascii="Arial"/>
                <w:color w:val="auto"/>
                <w:sz w:val="21"/>
                <w:highlight w:val="none"/>
              </w:rPr>
            </w:pPr>
          </w:p>
        </w:tc>
        <w:tc>
          <w:tcPr>
            <w:tcW w:w="1446" w:type="dxa"/>
            <w:vAlign w:val="top"/>
          </w:tcPr>
          <w:p w14:paraId="2A4518EF">
            <w:pPr>
              <w:rPr>
                <w:rFonts w:ascii="Arial"/>
                <w:color w:val="auto"/>
                <w:sz w:val="21"/>
                <w:highlight w:val="none"/>
              </w:rPr>
            </w:pPr>
          </w:p>
        </w:tc>
        <w:tc>
          <w:tcPr>
            <w:tcW w:w="1240" w:type="dxa"/>
            <w:vAlign w:val="top"/>
          </w:tcPr>
          <w:p w14:paraId="06E958CA">
            <w:pPr>
              <w:rPr>
                <w:rFonts w:ascii="Arial"/>
                <w:color w:val="auto"/>
                <w:sz w:val="21"/>
                <w:highlight w:val="none"/>
              </w:rPr>
            </w:pPr>
          </w:p>
        </w:tc>
        <w:tc>
          <w:tcPr>
            <w:tcW w:w="1446" w:type="dxa"/>
            <w:vAlign w:val="top"/>
          </w:tcPr>
          <w:p w14:paraId="552CF375">
            <w:pPr>
              <w:rPr>
                <w:rFonts w:ascii="Arial"/>
                <w:color w:val="auto"/>
                <w:sz w:val="21"/>
                <w:highlight w:val="none"/>
              </w:rPr>
            </w:pPr>
          </w:p>
        </w:tc>
        <w:tc>
          <w:tcPr>
            <w:tcW w:w="1679" w:type="dxa"/>
            <w:tcBorders>
              <w:right w:val="single" w:color="000000" w:sz="10" w:space="0"/>
            </w:tcBorders>
            <w:vAlign w:val="top"/>
          </w:tcPr>
          <w:p w14:paraId="71E00965">
            <w:pPr>
              <w:rPr>
                <w:rFonts w:ascii="Arial"/>
                <w:color w:val="auto"/>
                <w:sz w:val="21"/>
                <w:highlight w:val="none"/>
              </w:rPr>
            </w:pPr>
          </w:p>
        </w:tc>
      </w:tr>
      <w:tr w14:paraId="43FDD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5F5E4DD6">
            <w:pPr>
              <w:rPr>
                <w:rFonts w:ascii="Arial"/>
                <w:color w:val="auto"/>
                <w:sz w:val="21"/>
                <w:highlight w:val="none"/>
              </w:rPr>
            </w:pPr>
          </w:p>
        </w:tc>
        <w:tc>
          <w:tcPr>
            <w:tcW w:w="1274" w:type="dxa"/>
            <w:vAlign w:val="top"/>
          </w:tcPr>
          <w:p w14:paraId="314ACDA6">
            <w:pPr>
              <w:rPr>
                <w:rFonts w:ascii="Arial"/>
                <w:color w:val="auto"/>
                <w:sz w:val="21"/>
                <w:highlight w:val="none"/>
              </w:rPr>
            </w:pPr>
          </w:p>
        </w:tc>
        <w:tc>
          <w:tcPr>
            <w:tcW w:w="1446" w:type="dxa"/>
            <w:vAlign w:val="top"/>
          </w:tcPr>
          <w:p w14:paraId="76CAFE20">
            <w:pPr>
              <w:rPr>
                <w:rFonts w:ascii="Arial"/>
                <w:color w:val="auto"/>
                <w:sz w:val="21"/>
                <w:highlight w:val="none"/>
              </w:rPr>
            </w:pPr>
          </w:p>
        </w:tc>
        <w:tc>
          <w:tcPr>
            <w:tcW w:w="1240" w:type="dxa"/>
            <w:vAlign w:val="top"/>
          </w:tcPr>
          <w:p w14:paraId="670BC51D">
            <w:pPr>
              <w:rPr>
                <w:rFonts w:ascii="Arial"/>
                <w:color w:val="auto"/>
                <w:sz w:val="21"/>
                <w:highlight w:val="none"/>
              </w:rPr>
            </w:pPr>
          </w:p>
        </w:tc>
        <w:tc>
          <w:tcPr>
            <w:tcW w:w="1446" w:type="dxa"/>
            <w:vAlign w:val="top"/>
          </w:tcPr>
          <w:p w14:paraId="54DF25C4">
            <w:pPr>
              <w:rPr>
                <w:rFonts w:ascii="Arial"/>
                <w:color w:val="auto"/>
                <w:sz w:val="21"/>
                <w:highlight w:val="none"/>
              </w:rPr>
            </w:pPr>
          </w:p>
        </w:tc>
        <w:tc>
          <w:tcPr>
            <w:tcW w:w="1679" w:type="dxa"/>
            <w:tcBorders>
              <w:right w:val="single" w:color="000000" w:sz="10" w:space="0"/>
            </w:tcBorders>
            <w:vAlign w:val="top"/>
          </w:tcPr>
          <w:p w14:paraId="5B9FC926">
            <w:pPr>
              <w:rPr>
                <w:rFonts w:ascii="Arial"/>
                <w:color w:val="auto"/>
                <w:sz w:val="21"/>
                <w:highlight w:val="none"/>
              </w:rPr>
            </w:pPr>
          </w:p>
        </w:tc>
      </w:tr>
      <w:tr w14:paraId="07C5F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6DFE44C">
            <w:pPr>
              <w:rPr>
                <w:rFonts w:ascii="Arial"/>
                <w:color w:val="auto"/>
                <w:sz w:val="21"/>
                <w:highlight w:val="none"/>
              </w:rPr>
            </w:pPr>
          </w:p>
        </w:tc>
        <w:tc>
          <w:tcPr>
            <w:tcW w:w="1274" w:type="dxa"/>
            <w:vAlign w:val="top"/>
          </w:tcPr>
          <w:p w14:paraId="1F53F0B4">
            <w:pPr>
              <w:rPr>
                <w:rFonts w:ascii="Arial"/>
                <w:color w:val="auto"/>
                <w:sz w:val="21"/>
                <w:highlight w:val="none"/>
              </w:rPr>
            </w:pPr>
          </w:p>
        </w:tc>
        <w:tc>
          <w:tcPr>
            <w:tcW w:w="1446" w:type="dxa"/>
            <w:vAlign w:val="top"/>
          </w:tcPr>
          <w:p w14:paraId="7EA4F2E9">
            <w:pPr>
              <w:rPr>
                <w:rFonts w:ascii="Arial"/>
                <w:color w:val="auto"/>
                <w:sz w:val="21"/>
                <w:highlight w:val="none"/>
              </w:rPr>
            </w:pPr>
          </w:p>
        </w:tc>
        <w:tc>
          <w:tcPr>
            <w:tcW w:w="1240" w:type="dxa"/>
            <w:vAlign w:val="top"/>
          </w:tcPr>
          <w:p w14:paraId="3EAA73B6">
            <w:pPr>
              <w:rPr>
                <w:rFonts w:ascii="Arial"/>
                <w:color w:val="auto"/>
                <w:sz w:val="21"/>
                <w:highlight w:val="none"/>
              </w:rPr>
            </w:pPr>
          </w:p>
        </w:tc>
        <w:tc>
          <w:tcPr>
            <w:tcW w:w="1446" w:type="dxa"/>
            <w:vAlign w:val="top"/>
          </w:tcPr>
          <w:p w14:paraId="04B797DB">
            <w:pPr>
              <w:rPr>
                <w:rFonts w:ascii="Arial"/>
                <w:color w:val="auto"/>
                <w:sz w:val="21"/>
                <w:highlight w:val="none"/>
              </w:rPr>
            </w:pPr>
          </w:p>
        </w:tc>
        <w:tc>
          <w:tcPr>
            <w:tcW w:w="1679" w:type="dxa"/>
            <w:tcBorders>
              <w:right w:val="single" w:color="000000" w:sz="10" w:space="0"/>
            </w:tcBorders>
            <w:vAlign w:val="top"/>
          </w:tcPr>
          <w:p w14:paraId="4C0FB6E1">
            <w:pPr>
              <w:rPr>
                <w:rFonts w:ascii="Arial"/>
                <w:color w:val="auto"/>
                <w:sz w:val="21"/>
                <w:highlight w:val="none"/>
              </w:rPr>
            </w:pPr>
          </w:p>
        </w:tc>
      </w:tr>
      <w:tr w14:paraId="038A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4AB57652">
            <w:pPr>
              <w:rPr>
                <w:rFonts w:ascii="Arial"/>
                <w:color w:val="auto"/>
                <w:sz w:val="21"/>
                <w:highlight w:val="none"/>
              </w:rPr>
            </w:pPr>
          </w:p>
        </w:tc>
        <w:tc>
          <w:tcPr>
            <w:tcW w:w="1274" w:type="dxa"/>
            <w:vAlign w:val="top"/>
          </w:tcPr>
          <w:p w14:paraId="5C27551E">
            <w:pPr>
              <w:rPr>
                <w:rFonts w:ascii="Arial"/>
                <w:color w:val="auto"/>
                <w:sz w:val="21"/>
                <w:highlight w:val="none"/>
              </w:rPr>
            </w:pPr>
          </w:p>
        </w:tc>
        <w:tc>
          <w:tcPr>
            <w:tcW w:w="1446" w:type="dxa"/>
            <w:vAlign w:val="top"/>
          </w:tcPr>
          <w:p w14:paraId="71EB4B99">
            <w:pPr>
              <w:rPr>
                <w:rFonts w:ascii="Arial"/>
                <w:color w:val="auto"/>
                <w:sz w:val="21"/>
                <w:highlight w:val="none"/>
              </w:rPr>
            </w:pPr>
          </w:p>
        </w:tc>
        <w:tc>
          <w:tcPr>
            <w:tcW w:w="1240" w:type="dxa"/>
            <w:vAlign w:val="top"/>
          </w:tcPr>
          <w:p w14:paraId="5010C8EF">
            <w:pPr>
              <w:rPr>
                <w:rFonts w:ascii="Arial"/>
                <w:color w:val="auto"/>
                <w:sz w:val="21"/>
                <w:highlight w:val="none"/>
              </w:rPr>
            </w:pPr>
          </w:p>
        </w:tc>
        <w:tc>
          <w:tcPr>
            <w:tcW w:w="1446" w:type="dxa"/>
            <w:vAlign w:val="top"/>
          </w:tcPr>
          <w:p w14:paraId="09722234">
            <w:pPr>
              <w:rPr>
                <w:rFonts w:ascii="Arial"/>
                <w:color w:val="auto"/>
                <w:sz w:val="21"/>
                <w:highlight w:val="none"/>
              </w:rPr>
            </w:pPr>
          </w:p>
        </w:tc>
        <w:tc>
          <w:tcPr>
            <w:tcW w:w="1679" w:type="dxa"/>
            <w:tcBorders>
              <w:right w:val="single" w:color="000000" w:sz="10" w:space="0"/>
            </w:tcBorders>
            <w:vAlign w:val="top"/>
          </w:tcPr>
          <w:p w14:paraId="533D3862">
            <w:pPr>
              <w:rPr>
                <w:rFonts w:ascii="Arial"/>
                <w:color w:val="auto"/>
                <w:sz w:val="21"/>
                <w:highlight w:val="none"/>
              </w:rPr>
            </w:pPr>
          </w:p>
        </w:tc>
      </w:tr>
      <w:tr w14:paraId="6E9B6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564C946">
            <w:pPr>
              <w:rPr>
                <w:rFonts w:ascii="Arial"/>
                <w:color w:val="auto"/>
                <w:sz w:val="21"/>
                <w:highlight w:val="none"/>
              </w:rPr>
            </w:pPr>
          </w:p>
        </w:tc>
        <w:tc>
          <w:tcPr>
            <w:tcW w:w="1274" w:type="dxa"/>
            <w:vAlign w:val="top"/>
          </w:tcPr>
          <w:p w14:paraId="28AD5359">
            <w:pPr>
              <w:rPr>
                <w:rFonts w:ascii="Arial"/>
                <w:color w:val="auto"/>
                <w:sz w:val="21"/>
                <w:highlight w:val="none"/>
              </w:rPr>
            </w:pPr>
          </w:p>
        </w:tc>
        <w:tc>
          <w:tcPr>
            <w:tcW w:w="1446" w:type="dxa"/>
            <w:vAlign w:val="top"/>
          </w:tcPr>
          <w:p w14:paraId="78EECB51">
            <w:pPr>
              <w:rPr>
                <w:rFonts w:ascii="Arial"/>
                <w:color w:val="auto"/>
                <w:sz w:val="21"/>
                <w:highlight w:val="none"/>
              </w:rPr>
            </w:pPr>
          </w:p>
        </w:tc>
        <w:tc>
          <w:tcPr>
            <w:tcW w:w="1240" w:type="dxa"/>
            <w:vAlign w:val="top"/>
          </w:tcPr>
          <w:p w14:paraId="57B0A316">
            <w:pPr>
              <w:rPr>
                <w:rFonts w:ascii="Arial"/>
                <w:color w:val="auto"/>
                <w:sz w:val="21"/>
                <w:highlight w:val="none"/>
              </w:rPr>
            </w:pPr>
          </w:p>
        </w:tc>
        <w:tc>
          <w:tcPr>
            <w:tcW w:w="1446" w:type="dxa"/>
            <w:vAlign w:val="top"/>
          </w:tcPr>
          <w:p w14:paraId="654BBB81">
            <w:pPr>
              <w:rPr>
                <w:rFonts w:ascii="Arial"/>
                <w:color w:val="auto"/>
                <w:sz w:val="21"/>
                <w:highlight w:val="none"/>
              </w:rPr>
            </w:pPr>
          </w:p>
        </w:tc>
        <w:tc>
          <w:tcPr>
            <w:tcW w:w="1679" w:type="dxa"/>
            <w:tcBorders>
              <w:right w:val="single" w:color="000000" w:sz="10" w:space="0"/>
            </w:tcBorders>
            <w:vAlign w:val="top"/>
          </w:tcPr>
          <w:p w14:paraId="0B50E7C5">
            <w:pPr>
              <w:rPr>
                <w:rFonts w:ascii="Arial"/>
                <w:color w:val="auto"/>
                <w:sz w:val="21"/>
                <w:highlight w:val="none"/>
              </w:rPr>
            </w:pPr>
          </w:p>
        </w:tc>
      </w:tr>
      <w:tr w14:paraId="70121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14:paraId="20291551">
            <w:pPr>
              <w:rPr>
                <w:rFonts w:ascii="Arial"/>
                <w:color w:val="auto"/>
                <w:sz w:val="21"/>
                <w:highlight w:val="none"/>
              </w:rPr>
            </w:pPr>
          </w:p>
        </w:tc>
        <w:tc>
          <w:tcPr>
            <w:tcW w:w="1274" w:type="dxa"/>
            <w:vAlign w:val="top"/>
          </w:tcPr>
          <w:p w14:paraId="06C83B07">
            <w:pPr>
              <w:rPr>
                <w:rFonts w:ascii="Arial"/>
                <w:color w:val="auto"/>
                <w:sz w:val="21"/>
                <w:highlight w:val="none"/>
              </w:rPr>
            </w:pPr>
          </w:p>
        </w:tc>
        <w:tc>
          <w:tcPr>
            <w:tcW w:w="1446" w:type="dxa"/>
            <w:vAlign w:val="top"/>
          </w:tcPr>
          <w:p w14:paraId="6DAEDCCB">
            <w:pPr>
              <w:rPr>
                <w:rFonts w:ascii="Arial"/>
                <w:color w:val="auto"/>
                <w:sz w:val="21"/>
                <w:highlight w:val="none"/>
              </w:rPr>
            </w:pPr>
          </w:p>
        </w:tc>
        <w:tc>
          <w:tcPr>
            <w:tcW w:w="1240" w:type="dxa"/>
            <w:vAlign w:val="top"/>
          </w:tcPr>
          <w:p w14:paraId="5E3BDD54">
            <w:pPr>
              <w:rPr>
                <w:rFonts w:ascii="Arial"/>
                <w:color w:val="auto"/>
                <w:sz w:val="21"/>
                <w:highlight w:val="none"/>
              </w:rPr>
            </w:pPr>
          </w:p>
        </w:tc>
        <w:tc>
          <w:tcPr>
            <w:tcW w:w="1446" w:type="dxa"/>
            <w:vAlign w:val="top"/>
          </w:tcPr>
          <w:p w14:paraId="38EE4434">
            <w:pPr>
              <w:rPr>
                <w:rFonts w:ascii="Arial"/>
                <w:color w:val="auto"/>
                <w:sz w:val="21"/>
                <w:highlight w:val="none"/>
              </w:rPr>
            </w:pPr>
          </w:p>
        </w:tc>
        <w:tc>
          <w:tcPr>
            <w:tcW w:w="1679" w:type="dxa"/>
            <w:tcBorders>
              <w:right w:val="single" w:color="000000" w:sz="10" w:space="0"/>
            </w:tcBorders>
            <w:vAlign w:val="top"/>
          </w:tcPr>
          <w:p w14:paraId="5E63243B">
            <w:pPr>
              <w:rPr>
                <w:rFonts w:ascii="Arial"/>
                <w:color w:val="auto"/>
                <w:sz w:val="21"/>
                <w:highlight w:val="none"/>
              </w:rPr>
            </w:pPr>
          </w:p>
        </w:tc>
      </w:tr>
      <w:tr w14:paraId="267EF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DE088D7">
            <w:pPr>
              <w:rPr>
                <w:rFonts w:ascii="Arial"/>
                <w:color w:val="auto"/>
                <w:sz w:val="21"/>
                <w:highlight w:val="none"/>
              </w:rPr>
            </w:pPr>
          </w:p>
        </w:tc>
        <w:tc>
          <w:tcPr>
            <w:tcW w:w="1274" w:type="dxa"/>
            <w:vAlign w:val="top"/>
          </w:tcPr>
          <w:p w14:paraId="3F0020A3">
            <w:pPr>
              <w:rPr>
                <w:rFonts w:ascii="Arial"/>
                <w:color w:val="auto"/>
                <w:sz w:val="21"/>
                <w:highlight w:val="none"/>
              </w:rPr>
            </w:pPr>
          </w:p>
        </w:tc>
        <w:tc>
          <w:tcPr>
            <w:tcW w:w="1446" w:type="dxa"/>
            <w:vAlign w:val="top"/>
          </w:tcPr>
          <w:p w14:paraId="1D459FC5">
            <w:pPr>
              <w:rPr>
                <w:rFonts w:ascii="Arial"/>
                <w:color w:val="auto"/>
                <w:sz w:val="21"/>
                <w:highlight w:val="none"/>
              </w:rPr>
            </w:pPr>
          </w:p>
        </w:tc>
        <w:tc>
          <w:tcPr>
            <w:tcW w:w="1240" w:type="dxa"/>
            <w:vAlign w:val="top"/>
          </w:tcPr>
          <w:p w14:paraId="33FAC688">
            <w:pPr>
              <w:rPr>
                <w:rFonts w:ascii="Arial"/>
                <w:color w:val="auto"/>
                <w:sz w:val="21"/>
                <w:highlight w:val="none"/>
              </w:rPr>
            </w:pPr>
          </w:p>
        </w:tc>
        <w:tc>
          <w:tcPr>
            <w:tcW w:w="1446" w:type="dxa"/>
            <w:vAlign w:val="top"/>
          </w:tcPr>
          <w:p w14:paraId="4161048E">
            <w:pPr>
              <w:rPr>
                <w:rFonts w:ascii="Arial"/>
                <w:color w:val="auto"/>
                <w:sz w:val="21"/>
                <w:highlight w:val="none"/>
              </w:rPr>
            </w:pPr>
          </w:p>
        </w:tc>
        <w:tc>
          <w:tcPr>
            <w:tcW w:w="1679" w:type="dxa"/>
            <w:tcBorders>
              <w:right w:val="single" w:color="000000" w:sz="10" w:space="0"/>
            </w:tcBorders>
            <w:vAlign w:val="top"/>
          </w:tcPr>
          <w:p w14:paraId="571A8E4F">
            <w:pPr>
              <w:rPr>
                <w:rFonts w:ascii="Arial"/>
                <w:color w:val="auto"/>
                <w:sz w:val="21"/>
                <w:highlight w:val="none"/>
              </w:rPr>
            </w:pPr>
          </w:p>
        </w:tc>
      </w:tr>
      <w:tr w14:paraId="5954A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6B23012">
            <w:pPr>
              <w:rPr>
                <w:rFonts w:ascii="Arial"/>
                <w:color w:val="auto"/>
                <w:sz w:val="21"/>
                <w:highlight w:val="none"/>
              </w:rPr>
            </w:pPr>
          </w:p>
        </w:tc>
        <w:tc>
          <w:tcPr>
            <w:tcW w:w="1274" w:type="dxa"/>
            <w:vAlign w:val="top"/>
          </w:tcPr>
          <w:p w14:paraId="1E93471B">
            <w:pPr>
              <w:rPr>
                <w:rFonts w:ascii="Arial"/>
                <w:color w:val="auto"/>
                <w:sz w:val="21"/>
                <w:highlight w:val="none"/>
              </w:rPr>
            </w:pPr>
          </w:p>
        </w:tc>
        <w:tc>
          <w:tcPr>
            <w:tcW w:w="1446" w:type="dxa"/>
            <w:vAlign w:val="top"/>
          </w:tcPr>
          <w:p w14:paraId="17AFF967">
            <w:pPr>
              <w:rPr>
                <w:rFonts w:ascii="Arial"/>
                <w:color w:val="auto"/>
                <w:sz w:val="21"/>
                <w:highlight w:val="none"/>
              </w:rPr>
            </w:pPr>
          </w:p>
        </w:tc>
        <w:tc>
          <w:tcPr>
            <w:tcW w:w="1240" w:type="dxa"/>
            <w:vAlign w:val="top"/>
          </w:tcPr>
          <w:p w14:paraId="255639AE">
            <w:pPr>
              <w:rPr>
                <w:rFonts w:ascii="Arial"/>
                <w:color w:val="auto"/>
                <w:sz w:val="21"/>
                <w:highlight w:val="none"/>
              </w:rPr>
            </w:pPr>
          </w:p>
        </w:tc>
        <w:tc>
          <w:tcPr>
            <w:tcW w:w="1446" w:type="dxa"/>
            <w:vAlign w:val="top"/>
          </w:tcPr>
          <w:p w14:paraId="57A55229">
            <w:pPr>
              <w:rPr>
                <w:rFonts w:ascii="Arial"/>
                <w:color w:val="auto"/>
                <w:sz w:val="21"/>
                <w:highlight w:val="none"/>
              </w:rPr>
            </w:pPr>
          </w:p>
        </w:tc>
        <w:tc>
          <w:tcPr>
            <w:tcW w:w="1679" w:type="dxa"/>
            <w:tcBorders>
              <w:right w:val="single" w:color="000000" w:sz="10" w:space="0"/>
            </w:tcBorders>
            <w:vAlign w:val="top"/>
          </w:tcPr>
          <w:p w14:paraId="32CA694F">
            <w:pPr>
              <w:rPr>
                <w:rFonts w:ascii="Arial"/>
                <w:color w:val="auto"/>
                <w:sz w:val="21"/>
                <w:highlight w:val="none"/>
              </w:rPr>
            </w:pPr>
          </w:p>
        </w:tc>
      </w:tr>
      <w:tr w14:paraId="79E73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A95479C">
            <w:pPr>
              <w:rPr>
                <w:rFonts w:ascii="Arial"/>
                <w:color w:val="auto"/>
                <w:sz w:val="21"/>
                <w:highlight w:val="none"/>
              </w:rPr>
            </w:pPr>
          </w:p>
        </w:tc>
        <w:tc>
          <w:tcPr>
            <w:tcW w:w="1274" w:type="dxa"/>
            <w:vAlign w:val="top"/>
          </w:tcPr>
          <w:p w14:paraId="23637CB6">
            <w:pPr>
              <w:rPr>
                <w:rFonts w:ascii="Arial"/>
                <w:color w:val="auto"/>
                <w:sz w:val="21"/>
                <w:highlight w:val="none"/>
              </w:rPr>
            </w:pPr>
          </w:p>
        </w:tc>
        <w:tc>
          <w:tcPr>
            <w:tcW w:w="1446" w:type="dxa"/>
            <w:vAlign w:val="top"/>
          </w:tcPr>
          <w:p w14:paraId="13ECBBC1">
            <w:pPr>
              <w:rPr>
                <w:rFonts w:ascii="Arial"/>
                <w:color w:val="auto"/>
                <w:sz w:val="21"/>
                <w:highlight w:val="none"/>
              </w:rPr>
            </w:pPr>
          </w:p>
        </w:tc>
        <w:tc>
          <w:tcPr>
            <w:tcW w:w="1240" w:type="dxa"/>
            <w:vAlign w:val="top"/>
          </w:tcPr>
          <w:p w14:paraId="24A7E9FE">
            <w:pPr>
              <w:rPr>
                <w:rFonts w:ascii="Arial"/>
                <w:color w:val="auto"/>
                <w:sz w:val="21"/>
                <w:highlight w:val="none"/>
              </w:rPr>
            </w:pPr>
          </w:p>
        </w:tc>
        <w:tc>
          <w:tcPr>
            <w:tcW w:w="1446" w:type="dxa"/>
            <w:vAlign w:val="top"/>
          </w:tcPr>
          <w:p w14:paraId="3E7BC2E9">
            <w:pPr>
              <w:rPr>
                <w:rFonts w:ascii="Arial"/>
                <w:color w:val="auto"/>
                <w:sz w:val="21"/>
                <w:highlight w:val="none"/>
              </w:rPr>
            </w:pPr>
          </w:p>
        </w:tc>
        <w:tc>
          <w:tcPr>
            <w:tcW w:w="1679" w:type="dxa"/>
            <w:tcBorders>
              <w:right w:val="single" w:color="000000" w:sz="10" w:space="0"/>
            </w:tcBorders>
            <w:vAlign w:val="top"/>
          </w:tcPr>
          <w:p w14:paraId="20B237D1">
            <w:pPr>
              <w:rPr>
                <w:rFonts w:ascii="Arial"/>
                <w:color w:val="auto"/>
                <w:sz w:val="21"/>
                <w:highlight w:val="none"/>
              </w:rPr>
            </w:pPr>
          </w:p>
        </w:tc>
      </w:tr>
      <w:tr w14:paraId="4965F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1BAB8A21">
            <w:pPr>
              <w:rPr>
                <w:rFonts w:ascii="Arial"/>
                <w:color w:val="auto"/>
                <w:sz w:val="21"/>
                <w:highlight w:val="none"/>
              </w:rPr>
            </w:pPr>
          </w:p>
        </w:tc>
        <w:tc>
          <w:tcPr>
            <w:tcW w:w="1274" w:type="dxa"/>
            <w:vAlign w:val="top"/>
          </w:tcPr>
          <w:p w14:paraId="17D00AE1">
            <w:pPr>
              <w:rPr>
                <w:rFonts w:ascii="Arial"/>
                <w:color w:val="auto"/>
                <w:sz w:val="21"/>
                <w:highlight w:val="none"/>
              </w:rPr>
            </w:pPr>
          </w:p>
        </w:tc>
        <w:tc>
          <w:tcPr>
            <w:tcW w:w="1446" w:type="dxa"/>
            <w:vAlign w:val="top"/>
          </w:tcPr>
          <w:p w14:paraId="5761CDB9">
            <w:pPr>
              <w:rPr>
                <w:rFonts w:ascii="Arial"/>
                <w:color w:val="auto"/>
                <w:sz w:val="21"/>
                <w:highlight w:val="none"/>
              </w:rPr>
            </w:pPr>
          </w:p>
        </w:tc>
        <w:tc>
          <w:tcPr>
            <w:tcW w:w="1240" w:type="dxa"/>
            <w:vAlign w:val="top"/>
          </w:tcPr>
          <w:p w14:paraId="68555BBA">
            <w:pPr>
              <w:rPr>
                <w:rFonts w:ascii="Arial"/>
                <w:color w:val="auto"/>
                <w:sz w:val="21"/>
                <w:highlight w:val="none"/>
              </w:rPr>
            </w:pPr>
          </w:p>
        </w:tc>
        <w:tc>
          <w:tcPr>
            <w:tcW w:w="1446" w:type="dxa"/>
            <w:vAlign w:val="top"/>
          </w:tcPr>
          <w:p w14:paraId="535C085F">
            <w:pPr>
              <w:rPr>
                <w:rFonts w:ascii="Arial"/>
                <w:color w:val="auto"/>
                <w:sz w:val="21"/>
                <w:highlight w:val="none"/>
              </w:rPr>
            </w:pPr>
          </w:p>
        </w:tc>
        <w:tc>
          <w:tcPr>
            <w:tcW w:w="1679" w:type="dxa"/>
            <w:tcBorders>
              <w:right w:val="single" w:color="000000" w:sz="10" w:space="0"/>
            </w:tcBorders>
            <w:vAlign w:val="top"/>
          </w:tcPr>
          <w:p w14:paraId="12E42D8B">
            <w:pPr>
              <w:rPr>
                <w:rFonts w:ascii="Arial"/>
                <w:color w:val="auto"/>
                <w:sz w:val="21"/>
                <w:highlight w:val="none"/>
              </w:rPr>
            </w:pPr>
          </w:p>
        </w:tc>
      </w:tr>
      <w:tr w14:paraId="41D44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279CD7E">
            <w:pPr>
              <w:rPr>
                <w:rFonts w:ascii="Arial"/>
                <w:color w:val="auto"/>
                <w:sz w:val="21"/>
                <w:highlight w:val="none"/>
              </w:rPr>
            </w:pPr>
          </w:p>
        </w:tc>
        <w:tc>
          <w:tcPr>
            <w:tcW w:w="1274" w:type="dxa"/>
            <w:vAlign w:val="top"/>
          </w:tcPr>
          <w:p w14:paraId="4E3E5DD1">
            <w:pPr>
              <w:rPr>
                <w:rFonts w:ascii="Arial"/>
                <w:color w:val="auto"/>
                <w:sz w:val="21"/>
                <w:highlight w:val="none"/>
              </w:rPr>
            </w:pPr>
          </w:p>
        </w:tc>
        <w:tc>
          <w:tcPr>
            <w:tcW w:w="1446" w:type="dxa"/>
            <w:vAlign w:val="top"/>
          </w:tcPr>
          <w:p w14:paraId="07249C68">
            <w:pPr>
              <w:rPr>
                <w:rFonts w:ascii="Arial"/>
                <w:color w:val="auto"/>
                <w:sz w:val="21"/>
                <w:highlight w:val="none"/>
              </w:rPr>
            </w:pPr>
          </w:p>
        </w:tc>
        <w:tc>
          <w:tcPr>
            <w:tcW w:w="1240" w:type="dxa"/>
            <w:vAlign w:val="top"/>
          </w:tcPr>
          <w:p w14:paraId="56B43FEC">
            <w:pPr>
              <w:rPr>
                <w:rFonts w:ascii="Arial"/>
                <w:color w:val="auto"/>
                <w:sz w:val="21"/>
                <w:highlight w:val="none"/>
              </w:rPr>
            </w:pPr>
          </w:p>
        </w:tc>
        <w:tc>
          <w:tcPr>
            <w:tcW w:w="1446" w:type="dxa"/>
            <w:vAlign w:val="top"/>
          </w:tcPr>
          <w:p w14:paraId="354CE032">
            <w:pPr>
              <w:rPr>
                <w:rFonts w:ascii="Arial"/>
                <w:color w:val="auto"/>
                <w:sz w:val="21"/>
                <w:highlight w:val="none"/>
              </w:rPr>
            </w:pPr>
          </w:p>
        </w:tc>
        <w:tc>
          <w:tcPr>
            <w:tcW w:w="1679" w:type="dxa"/>
            <w:tcBorders>
              <w:right w:val="single" w:color="000000" w:sz="10" w:space="0"/>
            </w:tcBorders>
            <w:vAlign w:val="top"/>
          </w:tcPr>
          <w:p w14:paraId="423197CA">
            <w:pPr>
              <w:rPr>
                <w:rFonts w:ascii="Arial"/>
                <w:color w:val="auto"/>
                <w:sz w:val="21"/>
                <w:highlight w:val="none"/>
              </w:rPr>
            </w:pPr>
          </w:p>
        </w:tc>
      </w:tr>
      <w:tr w14:paraId="5F814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1CF161A">
            <w:pPr>
              <w:rPr>
                <w:rFonts w:ascii="Arial"/>
                <w:color w:val="auto"/>
                <w:sz w:val="21"/>
                <w:highlight w:val="none"/>
              </w:rPr>
            </w:pPr>
          </w:p>
        </w:tc>
        <w:tc>
          <w:tcPr>
            <w:tcW w:w="1274" w:type="dxa"/>
            <w:vAlign w:val="top"/>
          </w:tcPr>
          <w:p w14:paraId="5F3CF37D">
            <w:pPr>
              <w:rPr>
                <w:rFonts w:ascii="Arial"/>
                <w:color w:val="auto"/>
                <w:sz w:val="21"/>
                <w:highlight w:val="none"/>
              </w:rPr>
            </w:pPr>
          </w:p>
        </w:tc>
        <w:tc>
          <w:tcPr>
            <w:tcW w:w="1446" w:type="dxa"/>
            <w:vAlign w:val="top"/>
          </w:tcPr>
          <w:p w14:paraId="488A1919">
            <w:pPr>
              <w:rPr>
                <w:rFonts w:ascii="Arial"/>
                <w:color w:val="auto"/>
                <w:sz w:val="21"/>
                <w:highlight w:val="none"/>
              </w:rPr>
            </w:pPr>
          </w:p>
        </w:tc>
        <w:tc>
          <w:tcPr>
            <w:tcW w:w="1240" w:type="dxa"/>
            <w:vAlign w:val="top"/>
          </w:tcPr>
          <w:p w14:paraId="37FBFF07">
            <w:pPr>
              <w:rPr>
                <w:rFonts w:ascii="Arial"/>
                <w:color w:val="auto"/>
                <w:sz w:val="21"/>
                <w:highlight w:val="none"/>
              </w:rPr>
            </w:pPr>
          </w:p>
        </w:tc>
        <w:tc>
          <w:tcPr>
            <w:tcW w:w="1446" w:type="dxa"/>
            <w:vAlign w:val="top"/>
          </w:tcPr>
          <w:p w14:paraId="3F917AA4">
            <w:pPr>
              <w:rPr>
                <w:rFonts w:ascii="Arial"/>
                <w:color w:val="auto"/>
                <w:sz w:val="21"/>
                <w:highlight w:val="none"/>
              </w:rPr>
            </w:pPr>
          </w:p>
        </w:tc>
        <w:tc>
          <w:tcPr>
            <w:tcW w:w="1679" w:type="dxa"/>
            <w:tcBorders>
              <w:right w:val="single" w:color="000000" w:sz="10" w:space="0"/>
            </w:tcBorders>
            <w:vAlign w:val="top"/>
          </w:tcPr>
          <w:p w14:paraId="359C90E5">
            <w:pPr>
              <w:rPr>
                <w:rFonts w:ascii="Arial"/>
                <w:color w:val="auto"/>
                <w:sz w:val="21"/>
                <w:highlight w:val="none"/>
              </w:rPr>
            </w:pPr>
          </w:p>
        </w:tc>
      </w:tr>
      <w:tr w14:paraId="2A2C2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0585B298">
            <w:pPr>
              <w:rPr>
                <w:rFonts w:ascii="Arial"/>
                <w:color w:val="auto"/>
                <w:sz w:val="21"/>
                <w:highlight w:val="none"/>
              </w:rPr>
            </w:pPr>
          </w:p>
        </w:tc>
        <w:tc>
          <w:tcPr>
            <w:tcW w:w="1274" w:type="dxa"/>
            <w:tcBorders>
              <w:bottom w:val="single" w:color="000000" w:sz="10" w:space="0"/>
            </w:tcBorders>
            <w:vAlign w:val="top"/>
          </w:tcPr>
          <w:p w14:paraId="3CD7F73D">
            <w:pPr>
              <w:rPr>
                <w:rFonts w:ascii="Arial"/>
                <w:color w:val="auto"/>
                <w:sz w:val="21"/>
                <w:highlight w:val="none"/>
              </w:rPr>
            </w:pPr>
          </w:p>
        </w:tc>
        <w:tc>
          <w:tcPr>
            <w:tcW w:w="1446" w:type="dxa"/>
            <w:tcBorders>
              <w:bottom w:val="single" w:color="000000" w:sz="10" w:space="0"/>
            </w:tcBorders>
            <w:vAlign w:val="top"/>
          </w:tcPr>
          <w:p w14:paraId="12F1EC86">
            <w:pPr>
              <w:rPr>
                <w:rFonts w:ascii="Arial"/>
                <w:color w:val="auto"/>
                <w:sz w:val="21"/>
                <w:highlight w:val="none"/>
              </w:rPr>
            </w:pPr>
          </w:p>
        </w:tc>
        <w:tc>
          <w:tcPr>
            <w:tcW w:w="1240" w:type="dxa"/>
            <w:tcBorders>
              <w:bottom w:val="single" w:color="000000" w:sz="10" w:space="0"/>
            </w:tcBorders>
            <w:vAlign w:val="top"/>
          </w:tcPr>
          <w:p w14:paraId="7F300426">
            <w:pPr>
              <w:rPr>
                <w:rFonts w:ascii="Arial"/>
                <w:color w:val="auto"/>
                <w:sz w:val="21"/>
                <w:highlight w:val="none"/>
              </w:rPr>
            </w:pPr>
          </w:p>
        </w:tc>
        <w:tc>
          <w:tcPr>
            <w:tcW w:w="1446" w:type="dxa"/>
            <w:tcBorders>
              <w:bottom w:val="single" w:color="000000" w:sz="10" w:space="0"/>
            </w:tcBorders>
            <w:vAlign w:val="top"/>
          </w:tcPr>
          <w:p w14:paraId="3560628F">
            <w:pPr>
              <w:rPr>
                <w:rFonts w:ascii="Arial"/>
                <w:color w:val="auto"/>
                <w:sz w:val="21"/>
                <w:highlight w:val="none"/>
              </w:rPr>
            </w:pPr>
          </w:p>
        </w:tc>
        <w:tc>
          <w:tcPr>
            <w:tcW w:w="1679" w:type="dxa"/>
            <w:tcBorders>
              <w:bottom w:val="single" w:color="000000" w:sz="10" w:space="0"/>
              <w:right w:val="single" w:color="000000" w:sz="10" w:space="0"/>
            </w:tcBorders>
            <w:vAlign w:val="top"/>
          </w:tcPr>
          <w:p w14:paraId="2A632EE0">
            <w:pPr>
              <w:rPr>
                <w:rFonts w:ascii="Arial"/>
                <w:color w:val="auto"/>
                <w:sz w:val="21"/>
                <w:highlight w:val="none"/>
              </w:rPr>
            </w:pPr>
          </w:p>
        </w:tc>
      </w:tr>
    </w:tbl>
    <w:p w14:paraId="1AAFC5B6">
      <w:pPr>
        <w:pStyle w:val="5"/>
        <w:rPr>
          <w:color w:val="auto"/>
          <w:highlight w:val="none"/>
        </w:rPr>
      </w:pPr>
    </w:p>
    <w:p w14:paraId="23EEF33D">
      <w:pPr>
        <w:rPr>
          <w:color w:val="auto"/>
          <w:highlight w:val="none"/>
        </w:rPr>
        <w:sectPr>
          <w:footerReference r:id="rId102" w:type="default"/>
          <w:pgSz w:w="11905" w:h="16839"/>
          <w:pgMar w:top="400" w:right="1411" w:bottom="1004" w:left="1421" w:header="0" w:footer="828" w:gutter="0"/>
          <w:pgNumType w:fmt="decimal"/>
          <w:cols w:space="720" w:num="1"/>
        </w:sectPr>
      </w:pPr>
    </w:p>
    <w:p w14:paraId="6B806F93">
      <w:pPr>
        <w:pStyle w:val="5"/>
        <w:spacing w:line="276" w:lineRule="auto"/>
        <w:rPr>
          <w:color w:val="auto"/>
          <w:highlight w:val="none"/>
        </w:rPr>
      </w:pPr>
    </w:p>
    <w:p w14:paraId="7E0D22A6">
      <w:pPr>
        <w:pStyle w:val="5"/>
        <w:spacing w:line="276" w:lineRule="auto"/>
        <w:rPr>
          <w:color w:val="auto"/>
          <w:highlight w:val="none"/>
        </w:rPr>
      </w:pPr>
    </w:p>
    <w:p w14:paraId="75FD0B39">
      <w:pPr>
        <w:pStyle w:val="5"/>
        <w:spacing w:line="276" w:lineRule="auto"/>
        <w:rPr>
          <w:color w:val="auto"/>
          <w:highlight w:val="none"/>
        </w:rPr>
      </w:pPr>
    </w:p>
    <w:p w14:paraId="22145292">
      <w:pPr>
        <w:pStyle w:val="5"/>
        <w:spacing w:line="276" w:lineRule="auto"/>
        <w:rPr>
          <w:color w:val="auto"/>
          <w:highlight w:val="none"/>
        </w:rPr>
      </w:pPr>
    </w:p>
    <w:p w14:paraId="0089FEEB">
      <w:pPr>
        <w:spacing w:before="78" w:line="219" w:lineRule="auto"/>
        <w:ind w:left="36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5</w:t>
      </w:r>
      <w:r>
        <w:rPr>
          <w:rFonts w:ascii="宋体" w:hAnsi="宋体" w:eastAsia="宋体" w:cs="宋体"/>
          <w:color w:val="auto"/>
          <w:spacing w:val="-10"/>
          <w:sz w:val="24"/>
          <w:szCs w:val="24"/>
          <w:highlight w:val="none"/>
        </w:rPr>
        <w:t>：</w:t>
      </w:r>
    </w:p>
    <w:p w14:paraId="2299361F">
      <w:pPr>
        <w:spacing w:before="243" w:line="225" w:lineRule="auto"/>
        <w:ind w:left="2261"/>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承包人用于本工程施工的机械设备表</w:t>
      </w:r>
    </w:p>
    <w:p w14:paraId="2CF3E5BF">
      <w:pPr>
        <w:spacing w:line="112" w:lineRule="exact"/>
        <w:rPr>
          <w:color w:val="auto"/>
          <w:highlight w:val="none"/>
        </w:rPr>
      </w:pPr>
    </w:p>
    <w:tbl>
      <w:tblPr>
        <w:tblStyle w:val="17"/>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24E87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15C5952B">
            <w:pPr>
              <w:spacing w:line="328" w:lineRule="auto"/>
              <w:rPr>
                <w:rFonts w:ascii="Arial"/>
                <w:color w:val="auto"/>
                <w:sz w:val="21"/>
                <w:highlight w:val="none"/>
              </w:rPr>
            </w:pPr>
          </w:p>
          <w:p w14:paraId="29AE811D">
            <w:pPr>
              <w:pStyle w:val="18"/>
              <w:spacing w:before="68" w:line="222" w:lineRule="auto"/>
              <w:ind w:left="155"/>
              <w:rPr>
                <w:color w:val="auto"/>
                <w:highlight w:val="none"/>
              </w:rPr>
            </w:pPr>
            <w:r>
              <w:rPr>
                <w:color w:val="auto"/>
                <w:spacing w:val="-2"/>
                <w:highlight w:val="none"/>
              </w:rPr>
              <w:t>序号</w:t>
            </w:r>
          </w:p>
        </w:tc>
        <w:tc>
          <w:tcPr>
            <w:tcW w:w="1412" w:type="dxa"/>
            <w:tcBorders>
              <w:top w:val="single" w:color="000000" w:sz="10" w:space="0"/>
            </w:tcBorders>
            <w:vAlign w:val="top"/>
          </w:tcPr>
          <w:p w14:paraId="2F143F1C">
            <w:pPr>
              <w:pStyle w:val="18"/>
              <w:spacing w:before="178" w:line="441" w:lineRule="exact"/>
              <w:ind w:left="177"/>
              <w:rPr>
                <w:color w:val="auto"/>
                <w:highlight w:val="none"/>
              </w:rPr>
            </w:pPr>
            <w:r>
              <w:rPr>
                <w:color w:val="auto"/>
                <w:spacing w:val="-1"/>
                <w:position w:val="17"/>
                <w:highlight w:val="none"/>
              </w:rPr>
              <w:t>机械或设备</w:t>
            </w:r>
          </w:p>
          <w:p w14:paraId="510FB039">
            <w:pPr>
              <w:pStyle w:val="18"/>
              <w:spacing w:line="222" w:lineRule="auto"/>
              <w:ind w:left="497"/>
              <w:rPr>
                <w:color w:val="auto"/>
                <w:highlight w:val="none"/>
              </w:rPr>
            </w:pPr>
            <w:r>
              <w:rPr>
                <w:color w:val="auto"/>
                <w:spacing w:val="-3"/>
                <w:highlight w:val="none"/>
              </w:rPr>
              <w:t>名称</w:t>
            </w:r>
          </w:p>
        </w:tc>
        <w:tc>
          <w:tcPr>
            <w:tcW w:w="848" w:type="dxa"/>
            <w:tcBorders>
              <w:top w:val="single" w:color="000000" w:sz="10" w:space="0"/>
            </w:tcBorders>
            <w:vAlign w:val="top"/>
          </w:tcPr>
          <w:p w14:paraId="7BF35AAE">
            <w:pPr>
              <w:pStyle w:val="18"/>
              <w:spacing w:before="178" w:line="441" w:lineRule="exact"/>
              <w:ind w:left="217"/>
              <w:rPr>
                <w:color w:val="auto"/>
                <w:highlight w:val="none"/>
              </w:rPr>
            </w:pPr>
            <w:r>
              <w:rPr>
                <w:color w:val="auto"/>
                <w:spacing w:val="-2"/>
                <w:position w:val="17"/>
                <w:highlight w:val="none"/>
              </w:rPr>
              <w:t>规格</w:t>
            </w:r>
          </w:p>
          <w:p w14:paraId="701E0E0E">
            <w:pPr>
              <w:pStyle w:val="18"/>
              <w:spacing w:line="222" w:lineRule="auto"/>
              <w:ind w:left="222"/>
              <w:rPr>
                <w:color w:val="auto"/>
                <w:highlight w:val="none"/>
              </w:rPr>
            </w:pPr>
            <w:r>
              <w:rPr>
                <w:color w:val="auto"/>
                <w:spacing w:val="-4"/>
                <w:highlight w:val="none"/>
              </w:rPr>
              <w:t>型号</w:t>
            </w:r>
          </w:p>
        </w:tc>
        <w:tc>
          <w:tcPr>
            <w:tcW w:w="708" w:type="dxa"/>
            <w:tcBorders>
              <w:top w:val="single" w:color="000000" w:sz="10" w:space="0"/>
            </w:tcBorders>
            <w:vAlign w:val="top"/>
          </w:tcPr>
          <w:p w14:paraId="79B4FA00">
            <w:pPr>
              <w:spacing w:line="328" w:lineRule="auto"/>
              <w:rPr>
                <w:rFonts w:ascii="Arial"/>
                <w:color w:val="auto"/>
                <w:sz w:val="21"/>
                <w:highlight w:val="none"/>
              </w:rPr>
            </w:pPr>
          </w:p>
          <w:p w14:paraId="2B42AEC2">
            <w:pPr>
              <w:pStyle w:val="18"/>
              <w:spacing w:before="68" w:line="221" w:lineRule="auto"/>
              <w:ind w:left="148"/>
              <w:rPr>
                <w:color w:val="auto"/>
                <w:highlight w:val="none"/>
              </w:rPr>
            </w:pPr>
            <w:r>
              <w:rPr>
                <w:color w:val="auto"/>
                <w:spacing w:val="-2"/>
                <w:highlight w:val="none"/>
              </w:rPr>
              <w:t>数量</w:t>
            </w:r>
          </w:p>
        </w:tc>
        <w:tc>
          <w:tcPr>
            <w:tcW w:w="848" w:type="dxa"/>
            <w:tcBorders>
              <w:top w:val="single" w:color="000000" w:sz="10" w:space="0"/>
            </w:tcBorders>
            <w:vAlign w:val="top"/>
          </w:tcPr>
          <w:p w14:paraId="1BAD0695">
            <w:pPr>
              <w:spacing w:line="328" w:lineRule="auto"/>
              <w:rPr>
                <w:rFonts w:ascii="Arial"/>
                <w:color w:val="auto"/>
                <w:sz w:val="21"/>
                <w:highlight w:val="none"/>
              </w:rPr>
            </w:pPr>
          </w:p>
          <w:p w14:paraId="4B313057">
            <w:pPr>
              <w:pStyle w:val="18"/>
              <w:spacing w:before="68" w:line="221" w:lineRule="auto"/>
              <w:ind w:left="220"/>
              <w:rPr>
                <w:color w:val="auto"/>
                <w:highlight w:val="none"/>
              </w:rPr>
            </w:pPr>
            <w:r>
              <w:rPr>
                <w:color w:val="auto"/>
                <w:spacing w:val="-2"/>
                <w:highlight w:val="none"/>
              </w:rPr>
              <w:t>产地</w:t>
            </w:r>
          </w:p>
        </w:tc>
        <w:tc>
          <w:tcPr>
            <w:tcW w:w="848" w:type="dxa"/>
            <w:tcBorders>
              <w:top w:val="single" w:color="000000" w:sz="10" w:space="0"/>
            </w:tcBorders>
            <w:vAlign w:val="top"/>
          </w:tcPr>
          <w:p w14:paraId="45C6BCC2">
            <w:pPr>
              <w:pStyle w:val="18"/>
              <w:spacing w:before="178" w:line="441" w:lineRule="exact"/>
              <w:ind w:left="223"/>
              <w:rPr>
                <w:color w:val="auto"/>
                <w:highlight w:val="none"/>
              </w:rPr>
            </w:pPr>
            <w:r>
              <w:rPr>
                <w:color w:val="auto"/>
                <w:spacing w:val="-2"/>
                <w:position w:val="17"/>
                <w:highlight w:val="none"/>
              </w:rPr>
              <w:t>制造</w:t>
            </w:r>
          </w:p>
          <w:p w14:paraId="696090DE">
            <w:pPr>
              <w:pStyle w:val="18"/>
              <w:spacing w:line="220" w:lineRule="auto"/>
              <w:ind w:left="223"/>
              <w:rPr>
                <w:color w:val="auto"/>
                <w:highlight w:val="none"/>
              </w:rPr>
            </w:pPr>
            <w:r>
              <w:rPr>
                <w:color w:val="auto"/>
                <w:spacing w:val="-2"/>
                <w:highlight w:val="none"/>
              </w:rPr>
              <w:t>年份</w:t>
            </w:r>
          </w:p>
        </w:tc>
        <w:tc>
          <w:tcPr>
            <w:tcW w:w="1274" w:type="dxa"/>
            <w:tcBorders>
              <w:top w:val="single" w:color="000000" w:sz="10" w:space="0"/>
            </w:tcBorders>
            <w:vAlign w:val="top"/>
          </w:tcPr>
          <w:p w14:paraId="20AC62EE">
            <w:pPr>
              <w:pStyle w:val="18"/>
              <w:spacing w:before="178" w:line="441" w:lineRule="exact"/>
              <w:ind w:left="224"/>
              <w:rPr>
                <w:color w:val="auto"/>
                <w:highlight w:val="none"/>
              </w:rPr>
            </w:pPr>
            <w:r>
              <w:rPr>
                <w:color w:val="auto"/>
                <w:spacing w:val="-1"/>
                <w:position w:val="17"/>
                <w:highlight w:val="none"/>
              </w:rPr>
              <w:t>额定功率</w:t>
            </w:r>
          </w:p>
          <w:p w14:paraId="1C13D6DF">
            <w:pPr>
              <w:pStyle w:val="18"/>
              <w:spacing w:line="231" w:lineRule="auto"/>
              <w:ind w:left="336"/>
              <w:rPr>
                <w:color w:val="auto"/>
                <w:highlight w:val="none"/>
              </w:rPr>
            </w:pPr>
            <w:r>
              <w:rPr>
                <w:color w:val="auto"/>
                <w:spacing w:val="-4"/>
                <w:highlight w:val="none"/>
              </w:rPr>
              <w:t>（kW）</w:t>
            </w:r>
          </w:p>
        </w:tc>
        <w:tc>
          <w:tcPr>
            <w:tcW w:w="1274" w:type="dxa"/>
            <w:tcBorders>
              <w:top w:val="single" w:color="000000" w:sz="10" w:space="0"/>
            </w:tcBorders>
            <w:vAlign w:val="top"/>
          </w:tcPr>
          <w:p w14:paraId="12252E21">
            <w:pPr>
              <w:spacing w:line="328" w:lineRule="auto"/>
              <w:rPr>
                <w:rFonts w:ascii="Arial"/>
                <w:color w:val="auto"/>
                <w:sz w:val="21"/>
                <w:highlight w:val="none"/>
              </w:rPr>
            </w:pPr>
          </w:p>
          <w:p w14:paraId="1075CB92">
            <w:pPr>
              <w:pStyle w:val="18"/>
              <w:spacing w:before="68" w:line="221" w:lineRule="auto"/>
              <w:ind w:left="229"/>
              <w:rPr>
                <w:color w:val="auto"/>
                <w:highlight w:val="none"/>
              </w:rPr>
            </w:pPr>
            <w:r>
              <w:rPr>
                <w:color w:val="auto"/>
                <w:spacing w:val="-1"/>
                <w:highlight w:val="none"/>
              </w:rPr>
              <w:t>生产能力</w:t>
            </w:r>
          </w:p>
        </w:tc>
        <w:tc>
          <w:tcPr>
            <w:tcW w:w="1007" w:type="dxa"/>
            <w:tcBorders>
              <w:top w:val="single" w:color="000000" w:sz="10" w:space="0"/>
              <w:right w:val="single" w:color="000000" w:sz="10" w:space="0"/>
            </w:tcBorders>
            <w:vAlign w:val="top"/>
          </w:tcPr>
          <w:p w14:paraId="63D9D59F">
            <w:pPr>
              <w:spacing w:line="328" w:lineRule="auto"/>
              <w:rPr>
                <w:rFonts w:ascii="Arial"/>
                <w:color w:val="auto"/>
                <w:sz w:val="21"/>
                <w:highlight w:val="none"/>
              </w:rPr>
            </w:pPr>
          </w:p>
          <w:p w14:paraId="796ACCCB">
            <w:pPr>
              <w:pStyle w:val="18"/>
              <w:spacing w:before="68" w:line="222" w:lineRule="auto"/>
              <w:ind w:left="305"/>
              <w:rPr>
                <w:color w:val="auto"/>
                <w:highlight w:val="none"/>
              </w:rPr>
            </w:pPr>
            <w:r>
              <w:rPr>
                <w:color w:val="auto"/>
                <w:spacing w:val="-3"/>
                <w:highlight w:val="none"/>
              </w:rPr>
              <w:t>备注</w:t>
            </w:r>
          </w:p>
        </w:tc>
      </w:tr>
      <w:tr w14:paraId="367DE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6C8C1C48">
            <w:pPr>
              <w:rPr>
                <w:rFonts w:ascii="Arial"/>
                <w:color w:val="auto"/>
                <w:sz w:val="21"/>
                <w:highlight w:val="none"/>
              </w:rPr>
            </w:pPr>
          </w:p>
        </w:tc>
        <w:tc>
          <w:tcPr>
            <w:tcW w:w="1412" w:type="dxa"/>
            <w:vAlign w:val="top"/>
          </w:tcPr>
          <w:p w14:paraId="1DA21A21">
            <w:pPr>
              <w:rPr>
                <w:rFonts w:ascii="Arial"/>
                <w:color w:val="auto"/>
                <w:sz w:val="21"/>
                <w:highlight w:val="none"/>
              </w:rPr>
            </w:pPr>
          </w:p>
        </w:tc>
        <w:tc>
          <w:tcPr>
            <w:tcW w:w="848" w:type="dxa"/>
            <w:vAlign w:val="top"/>
          </w:tcPr>
          <w:p w14:paraId="075AB3E8">
            <w:pPr>
              <w:rPr>
                <w:rFonts w:ascii="Arial"/>
                <w:color w:val="auto"/>
                <w:sz w:val="21"/>
                <w:highlight w:val="none"/>
              </w:rPr>
            </w:pPr>
          </w:p>
        </w:tc>
        <w:tc>
          <w:tcPr>
            <w:tcW w:w="708" w:type="dxa"/>
            <w:vAlign w:val="top"/>
          </w:tcPr>
          <w:p w14:paraId="2BA49260">
            <w:pPr>
              <w:rPr>
                <w:rFonts w:ascii="Arial"/>
                <w:color w:val="auto"/>
                <w:sz w:val="21"/>
                <w:highlight w:val="none"/>
              </w:rPr>
            </w:pPr>
          </w:p>
        </w:tc>
        <w:tc>
          <w:tcPr>
            <w:tcW w:w="848" w:type="dxa"/>
            <w:vAlign w:val="top"/>
          </w:tcPr>
          <w:p w14:paraId="2AC1B5B6">
            <w:pPr>
              <w:rPr>
                <w:rFonts w:ascii="Arial"/>
                <w:color w:val="auto"/>
                <w:sz w:val="21"/>
                <w:highlight w:val="none"/>
              </w:rPr>
            </w:pPr>
          </w:p>
        </w:tc>
        <w:tc>
          <w:tcPr>
            <w:tcW w:w="848" w:type="dxa"/>
            <w:vAlign w:val="top"/>
          </w:tcPr>
          <w:p w14:paraId="21D34FDD">
            <w:pPr>
              <w:rPr>
                <w:rFonts w:ascii="Arial"/>
                <w:color w:val="auto"/>
                <w:sz w:val="21"/>
                <w:highlight w:val="none"/>
              </w:rPr>
            </w:pPr>
          </w:p>
        </w:tc>
        <w:tc>
          <w:tcPr>
            <w:tcW w:w="1274" w:type="dxa"/>
            <w:vAlign w:val="top"/>
          </w:tcPr>
          <w:p w14:paraId="50E77E0F">
            <w:pPr>
              <w:rPr>
                <w:rFonts w:ascii="Arial"/>
                <w:color w:val="auto"/>
                <w:sz w:val="21"/>
                <w:highlight w:val="none"/>
              </w:rPr>
            </w:pPr>
          </w:p>
        </w:tc>
        <w:tc>
          <w:tcPr>
            <w:tcW w:w="1274" w:type="dxa"/>
            <w:vAlign w:val="top"/>
          </w:tcPr>
          <w:p w14:paraId="7A176E1E">
            <w:pPr>
              <w:rPr>
                <w:rFonts w:ascii="Arial"/>
                <w:color w:val="auto"/>
                <w:sz w:val="21"/>
                <w:highlight w:val="none"/>
              </w:rPr>
            </w:pPr>
          </w:p>
        </w:tc>
        <w:tc>
          <w:tcPr>
            <w:tcW w:w="1007" w:type="dxa"/>
            <w:tcBorders>
              <w:right w:val="single" w:color="000000" w:sz="10" w:space="0"/>
            </w:tcBorders>
            <w:vAlign w:val="top"/>
          </w:tcPr>
          <w:p w14:paraId="45CC9CF6">
            <w:pPr>
              <w:rPr>
                <w:rFonts w:ascii="Arial"/>
                <w:color w:val="auto"/>
                <w:sz w:val="21"/>
                <w:highlight w:val="none"/>
              </w:rPr>
            </w:pPr>
          </w:p>
        </w:tc>
      </w:tr>
      <w:tr w14:paraId="7B8E4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85B6F5E">
            <w:pPr>
              <w:rPr>
                <w:rFonts w:ascii="Arial"/>
                <w:color w:val="auto"/>
                <w:sz w:val="21"/>
                <w:highlight w:val="none"/>
              </w:rPr>
            </w:pPr>
          </w:p>
        </w:tc>
        <w:tc>
          <w:tcPr>
            <w:tcW w:w="1412" w:type="dxa"/>
            <w:vAlign w:val="top"/>
          </w:tcPr>
          <w:p w14:paraId="021D4696">
            <w:pPr>
              <w:rPr>
                <w:rFonts w:ascii="Arial"/>
                <w:color w:val="auto"/>
                <w:sz w:val="21"/>
                <w:highlight w:val="none"/>
              </w:rPr>
            </w:pPr>
          </w:p>
        </w:tc>
        <w:tc>
          <w:tcPr>
            <w:tcW w:w="848" w:type="dxa"/>
            <w:vAlign w:val="top"/>
          </w:tcPr>
          <w:p w14:paraId="3B75A876">
            <w:pPr>
              <w:rPr>
                <w:rFonts w:ascii="Arial"/>
                <w:color w:val="auto"/>
                <w:sz w:val="21"/>
                <w:highlight w:val="none"/>
              </w:rPr>
            </w:pPr>
          </w:p>
        </w:tc>
        <w:tc>
          <w:tcPr>
            <w:tcW w:w="708" w:type="dxa"/>
            <w:vAlign w:val="top"/>
          </w:tcPr>
          <w:p w14:paraId="5211CB1C">
            <w:pPr>
              <w:rPr>
                <w:rFonts w:ascii="Arial"/>
                <w:color w:val="auto"/>
                <w:sz w:val="21"/>
                <w:highlight w:val="none"/>
              </w:rPr>
            </w:pPr>
          </w:p>
        </w:tc>
        <w:tc>
          <w:tcPr>
            <w:tcW w:w="848" w:type="dxa"/>
            <w:vAlign w:val="top"/>
          </w:tcPr>
          <w:p w14:paraId="16E053DE">
            <w:pPr>
              <w:rPr>
                <w:rFonts w:ascii="Arial"/>
                <w:color w:val="auto"/>
                <w:sz w:val="21"/>
                <w:highlight w:val="none"/>
              </w:rPr>
            </w:pPr>
          </w:p>
        </w:tc>
        <w:tc>
          <w:tcPr>
            <w:tcW w:w="848" w:type="dxa"/>
            <w:vAlign w:val="top"/>
          </w:tcPr>
          <w:p w14:paraId="20177140">
            <w:pPr>
              <w:rPr>
                <w:rFonts w:ascii="Arial"/>
                <w:color w:val="auto"/>
                <w:sz w:val="21"/>
                <w:highlight w:val="none"/>
              </w:rPr>
            </w:pPr>
          </w:p>
        </w:tc>
        <w:tc>
          <w:tcPr>
            <w:tcW w:w="1274" w:type="dxa"/>
            <w:vAlign w:val="top"/>
          </w:tcPr>
          <w:p w14:paraId="1D31D37C">
            <w:pPr>
              <w:rPr>
                <w:rFonts w:ascii="Arial"/>
                <w:color w:val="auto"/>
                <w:sz w:val="21"/>
                <w:highlight w:val="none"/>
              </w:rPr>
            </w:pPr>
          </w:p>
        </w:tc>
        <w:tc>
          <w:tcPr>
            <w:tcW w:w="1274" w:type="dxa"/>
            <w:vAlign w:val="top"/>
          </w:tcPr>
          <w:p w14:paraId="4AB161AF">
            <w:pPr>
              <w:rPr>
                <w:rFonts w:ascii="Arial"/>
                <w:color w:val="auto"/>
                <w:sz w:val="21"/>
                <w:highlight w:val="none"/>
              </w:rPr>
            </w:pPr>
          </w:p>
        </w:tc>
        <w:tc>
          <w:tcPr>
            <w:tcW w:w="1007" w:type="dxa"/>
            <w:tcBorders>
              <w:right w:val="single" w:color="000000" w:sz="10" w:space="0"/>
            </w:tcBorders>
            <w:vAlign w:val="top"/>
          </w:tcPr>
          <w:p w14:paraId="4190BDD2">
            <w:pPr>
              <w:rPr>
                <w:rFonts w:ascii="Arial"/>
                <w:color w:val="auto"/>
                <w:sz w:val="21"/>
                <w:highlight w:val="none"/>
              </w:rPr>
            </w:pPr>
          </w:p>
        </w:tc>
      </w:tr>
      <w:tr w14:paraId="03EC3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2C713628">
            <w:pPr>
              <w:rPr>
                <w:rFonts w:ascii="Arial"/>
                <w:color w:val="auto"/>
                <w:sz w:val="21"/>
                <w:highlight w:val="none"/>
              </w:rPr>
            </w:pPr>
          </w:p>
        </w:tc>
        <w:tc>
          <w:tcPr>
            <w:tcW w:w="1412" w:type="dxa"/>
            <w:vAlign w:val="top"/>
          </w:tcPr>
          <w:p w14:paraId="509E2FD0">
            <w:pPr>
              <w:rPr>
                <w:rFonts w:ascii="Arial"/>
                <w:color w:val="auto"/>
                <w:sz w:val="21"/>
                <w:highlight w:val="none"/>
              </w:rPr>
            </w:pPr>
          </w:p>
        </w:tc>
        <w:tc>
          <w:tcPr>
            <w:tcW w:w="848" w:type="dxa"/>
            <w:vAlign w:val="top"/>
          </w:tcPr>
          <w:p w14:paraId="0290E2A5">
            <w:pPr>
              <w:rPr>
                <w:rFonts w:ascii="Arial"/>
                <w:color w:val="auto"/>
                <w:sz w:val="21"/>
                <w:highlight w:val="none"/>
              </w:rPr>
            </w:pPr>
          </w:p>
        </w:tc>
        <w:tc>
          <w:tcPr>
            <w:tcW w:w="708" w:type="dxa"/>
            <w:vAlign w:val="top"/>
          </w:tcPr>
          <w:p w14:paraId="736FD8D4">
            <w:pPr>
              <w:rPr>
                <w:rFonts w:ascii="Arial"/>
                <w:color w:val="auto"/>
                <w:sz w:val="21"/>
                <w:highlight w:val="none"/>
              </w:rPr>
            </w:pPr>
          </w:p>
        </w:tc>
        <w:tc>
          <w:tcPr>
            <w:tcW w:w="848" w:type="dxa"/>
            <w:vAlign w:val="top"/>
          </w:tcPr>
          <w:p w14:paraId="6A32C287">
            <w:pPr>
              <w:rPr>
                <w:rFonts w:ascii="Arial"/>
                <w:color w:val="auto"/>
                <w:sz w:val="21"/>
                <w:highlight w:val="none"/>
              </w:rPr>
            </w:pPr>
          </w:p>
        </w:tc>
        <w:tc>
          <w:tcPr>
            <w:tcW w:w="848" w:type="dxa"/>
            <w:vAlign w:val="top"/>
          </w:tcPr>
          <w:p w14:paraId="2D0A8BC2">
            <w:pPr>
              <w:rPr>
                <w:rFonts w:ascii="Arial"/>
                <w:color w:val="auto"/>
                <w:sz w:val="21"/>
                <w:highlight w:val="none"/>
              </w:rPr>
            </w:pPr>
          </w:p>
        </w:tc>
        <w:tc>
          <w:tcPr>
            <w:tcW w:w="1274" w:type="dxa"/>
            <w:vAlign w:val="top"/>
          </w:tcPr>
          <w:p w14:paraId="42672032">
            <w:pPr>
              <w:rPr>
                <w:rFonts w:ascii="Arial"/>
                <w:color w:val="auto"/>
                <w:sz w:val="21"/>
                <w:highlight w:val="none"/>
              </w:rPr>
            </w:pPr>
          </w:p>
        </w:tc>
        <w:tc>
          <w:tcPr>
            <w:tcW w:w="1274" w:type="dxa"/>
            <w:vAlign w:val="top"/>
          </w:tcPr>
          <w:p w14:paraId="71B1C7B3">
            <w:pPr>
              <w:rPr>
                <w:rFonts w:ascii="Arial"/>
                <w:color w:val="auto"/>
                <w:sz w:val="21"/>
                <w:highlight w:val="none"/>
              </w:rPr>
            </w:pPr>
          </w:p>
        </w:tc>
        <w:tc>
          <w:tcPr>
            <w:tcW w:w="1007" w:type="dxa"/>
            <w:tcBorders>
              <w:right w:val="single" w:color="000000" w:sz="10" w:space="0"/>
            </w:tcBorders>
            <w:vAlign w:val="top"/>
          </w:tcPr>
          <w:p w14:paraId="1587F7C3">
            <w:pPr>
              <w:rPr>
                <w:rFonts w:ascii="Arial"/>
                <w:color w:val="auto"/>
                <w:sz w:val="21"/>
                <w:highlight w:val="none"/>
              </w:rPr>
            </w:pPr>
          </w:p>
        </w:tc>
      </w:tr>
      <w:tr w14:paraId="13454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D27FA9F">
            <w:pPr>
              <w:rPr>
                <w:rFonts w:ascii="Arial"/>
                <w:color w:val="auto"/>
                <w:sz w:val="21"/>
                <w:highlight w:val="none"/>
              </w:rPr>
            </w:pPr>
          </w:p>
        </w:tc>
        <w:tc>
          <w:tcPr>
            <w:tcW w:w="1412" w:type="dxa"/>
            <w:vAlign w:val="top"/>
          </w:tcPr>
          <w:p w14:paraId="6724EB32">
            <w:pPr>
              <w:rPr>
                <w:rFonts w:ascii="Arial"/>
                <w:color w:val="auto"/>
                <w:sz w:val="21"/>
                <w:highlight w:val="none"/>
              </w:rPr>
            </w:pPr>
          </w:p>
        </w:tc>
        <w:tc>
          <w:tcPr>
            <w:tcW w:w="848" w:type="dxa"/>
            <w:vAlign w:val="top"/>
          </w:tcPr>
          <w:p w14:paraId="61A7B77A">
            <w:pPr>
              <w:rPr>
                <w:rFonts w:ascii="Arial"/>
                <w:color w:val="auto"/>
                <w:sz w:val="21"/>
                <w:highlight w:val="none"/>
              </w:rPr>
            </w:pPr>
          </w:p>
        </w:tc>
        <w:tc>
          <w:tcPr>
            <w:tcW w:w="708" w:type="dxa"/>
            <w:vAlign w:val="top"/>
          </w:tcPr>
          <w:p w14:paraId="2DB968E9">
            <w:pPr>
              <w:rPr>
                <w:rFonts w:ascii="Arial"/>
                <w:color w:val="auto"/>
                <w:sz w:val="21"/>
                <w:highlight w:val="none"/>
              </w:rPr>
            </w:pPr>
          </w:p>
        </w:tc>
        <w:tc>
          <w:tcPr>
            <w:tcW w:w="848" w:type="dxa"/>
            <w:vAlign w:val="top"/>
          </w:tcPr>
          <w:p w14:paraId="20DCCCCD">
            <w:pPr>
              <w:rPr>
                <w:rFonts w:ascii="Arial"/>
                <w:color w:val="auto"/>
                <w:sz w:val="21"/>
                <w:highlight w:val="none"/>
              </w:rPr>
            </w:pPr>
          </w:p>
        </w:tc>
        <w:tc>
          <w:tcPr>
            <w:tcW w:w="848" w:type="dxa"/>
            <w:vAlign w:val="top"/>
          </w:tcPr>
          <w:p w14:paraId="5DE2D05B">
            <w:pPr>
              <w:rPr>
                <w:rFonts w:ascii="Arial"/>
                <w:color w:val="auto"/>
                <w:sz w:val="21"/>
                <w:highlight w:val="none"/>
              </w:rPr>
            </w:pPr>
          </w:p>
        </w:tc>
        <w:tc>
          <w:tcPr>
            <w:tcW w:w="1274" w:type="dxa"/>
            <w:vAlign w:val="top"/>
          </w:tcPr>
          <w:p w14:paraId="1BCD4C6D">
            <w:pPr>
              <w:rPr>
                <w:rFonts w:ascii="Arial"/>
                <w:color w:val="auto"/>
                <w:sz w:val="21"/>
                <w:highlight w:val="none"/>
              </w:rPr>
            </w:pPr>
          </w:p>
        </w:tc>
        <w:tc>
          <w:tcPr>
            <w:tcW w:w="1274" w:type="dxa"/>
            <w:vAlign w:val="top"/>
          </w:tcPr>
          <w:p w14:paraId="4330B410">
            <w:pPr>
              <w:rPr>
                <w:rFonts w:ascii="Arial"/>
                <w:color w:val="auto"/>
                <w:sz w:val="21"/>
                <w:highlight w:val="none"/>
              </w:rPr>
            </w:pPr>
          </w:p>
        </w:tc>
        <w:tc>
          <w:tcPr>
            <w:tcW w:w="1007" w:type="dxa"/>
            <w:tcBorders>
              <w:right w:val="single" w:color="000000" w:sz="10" w:space="0"/>
            </w:tcBorders>
            <w:vAlign w:val="top"/>
          </w:tcPr>
          <w:p w14:paraId="7620B73E">
            <w:pPr>
              <w:rPr>
                <w:rFonts w:ascii="Arial"/>
                <w:color w:val="auto"/>
                <w:sz w:val="21"/>
                <w:highlight w:val="none"/>
              </w:rPr>
            </w:pPr>
          </w:p>
        </w:tc>
      </w:tr>
      <w:tr w14:paraId="6A358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EEAB058">
            <w:pPr>
              <w:rPr>
                <w:rFonts w:ascii="Arial"/>
                <w:color w:val="auto"/>
                <w:sz w:val="21"/>
                <w:highlight w:val="none"/>
              </w:rPr>
            </w:pPr>
          </w:p>
        </w:tc>
        <w:tc>
          <w:tcPr>
            <w:tcW w:w="1412" w:type="dxa"/>
            <w:vAlign w:val="top"/>
          </w:tcPr>
          <w:p w14:paraId="3E011A7A">
            <w:pPr>
              <w:rPr>
                <w:rFonts w:ascii="Arial"/>
                <w:color w:val="auto"/>
                <w:sz w:val="21"/>
                <w:highlight w:val="none"/>
              </w:rPr>
            </w:pPr>
          </w:p>
        </w:tc>
        <w:tc>
          <w:tcPr>
            <w:tcW w:w="848" w:type="dxa"/>
            <w:vAlign w:val="top"/>
          </w:tcPr>
          <w:p w14:paraId="3DCA44E9">
            <w:pPr>
              <w:rPr>
                <w:rFonts w:ascii="Arial"/>
                <w:color w:val="auto"/>
                <w:sz w:val="21"/>
                <w:highlight w:val="none"/>
              </w:rPr>
            </w:pPr>
          </w:p>
        </w:tc>
        <w:tc>
          <w:tcPr>
            <w:tcW w:w="708" w:type="dxa"/>
            <w:vAlign w:val="top"/>
          </w:tcPr>
          <w:p w14:paraId="15DD32C9">
            <w:pPr>
              <w:rPr>
                <w:rFonts w:ascii="Arial"/>
                <w:color w:val="auto"/>
                <w:sz w:val="21"/>
                <w:highlight w:val="none"/>
              </w:rPr>
            </w:pPr>
          </w:p>
        </w:tc>
        <w:tc>
          <w:tcPr>
            <w:tcW w:w="848" w:type="dxa"/>
            <w:vAlign w:val="top"/>
          </w:tcPr>
          <w:p w14:paraId="26919A1B">
            <w:pPr>
              <w:rPr>
                <w:rFonts w:ascii="Arial"/>
                <w:color w:val="auto"/>
                <w:sz w:val="21"/>
                <w:highlight w:val="none"/>
              </w:rPr>
            </w:pPr>
          </w:p>
        </w:tc>
        <w:tc>
          <w:tcPr>
            <w:tcW w:w="848" w:type="dxa"/>
            <w:vAlign w:val="top"/>
          </w:tcPr>
          <w:p w14:paraId="1EEAB9CC">
            <w:pPr>
              <w:rPr>
                <w:rFonts w:ascii="Arial"/>
                <w:color w:val="auto"/>
                <w:sz w:val="21"/>
                <w:highlight w:val="none"/>
              </w:rPr>
            </w:pPr>
          </w:p>
        </w:tc>
        <w:tc>
          <w:tcPr>
            <w:tcW w:w="1274" w:type="dxa"/>
            <w:vAlign w:val="top"/>
          </w:tcPr>
          <w:p w14:paraId="4A772074">
            <w:pPr>
              <w:rPr>
                <w:rFonts w:ascii="Arial"/>
                <w:color w:val="auto"/>
                <w:sz w:val="21"/>
                <w:highlight w:val="none"/>
              </w:rPr>
            </w:pPr>
          </w:p>
        </w:tc>
        <w:tc>
          <w:tcPr>
            <w:tcW w:w="1274" w:type="dxa"/>
            <w:vAlign w:val="top"/>
          </w:tcPr>
          <w:p w14:paraId="47A156AE">
            <w:pPr>
              <w:rPr>
                <w:rFonts w:ascii="Arial"/>
                <w:color w:val="auto"/>
                <w:sz w:val="21"/>
                <w:highlight w:val="none"/>
              </w:rPr>
            </w:pPr>
          </w:p>
        </w:tc>
        <w:tc>
          <w:tcPr>
            <w:tcW w:w="1007" w:type="dxa"/>
            <w:tcBorders>
              <w:right w:val="single" w:color="000000" w:sz="10" w:space="0"/>
            </w:tcBorders>
            <w:vAlign w:val="top"/>
          </w:tcPr>
          <w:p w14:paraId="09A1593D">
            <w:pPr>
              <w:rPr>
                <w:rFonts w:ascii="Arial"/>
                <w:color w:val="auto"/>
                <w:sz w:val="21"/>
                <w:highlight w:val="none"/>
              </w:rPr>
            </w:pPr>
          </w:p>
        </w:tc>
      </w:tr>
      <w:tr w14:paraId="4F88A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4474B9DC">
            <w:pPr>
              <w:rPr>
                <w:rFonts w:ascii="Arial"/>
                <w:color w:val="auto"/>
                <w:sz w:val="21"/>
                <w:highlight w:val="none"/>
              </w:rPr>
            </w:pPr>
          </w:p>
        </w:tc>
        <w:tc>
          <w:tcPr>
            <w:tcW w:w="1412" w:type="dxa"/>
            <w:vAlign w:val="top"/>
          </w:tcPr>
          <w:p w14:paraId="63E536E1">
            <w:pPr>
              <w:rPr>
                <w:rFonts w:ascii="Arial"/>
                <w:color w:val="auto"/>
                <w:sz w:val="21"/>
                <w:highlight w:val="none"/>
              </w:rPr>
            </w:pPr>
          </w:p>
        </w:tc>
        <w:tc>
          <w:tcPr>
            <w:tcW w:w="848" w:type="dxa"/>
            <w:vAlign w:val="top"/>
          </w:tcPr>
          <w:p w14:paraId="5003B34F">
            <w:pPr>
              <w:rPr>
                <w:rFonts w:ascii="Arial"/>
                <w:color w:val="auto"/>
                <w:sz w:val="21"/>
                <w:highlight w:val="none"/>
              </w:rPr>
            </w:pPr>
          </w:p>
        </w:tc>
        <w:tc>
          <w:tcPr>
            <w:tcW w:w="708" w:type="dxa"/>
            <w:vAlign w:val="top"/>
          </w:tcPr>
          <w:p w14:paraId="535BA972">
            <w:pPr>
              <w:rPr>
                <w:rFonts w:ascii="Arial"/>
                <w:color w:val="auto"/>
                <w:sz w:val="21"/>
                <w:highlight w:val="none"/>
              </w:rPr>
            </w:pPr>
          </w:p>
        </w:tc>
        <w:tc>
          <w:tcPr>
            <w:tcW w:w="848" w:type="dxa"/>
            <w:vAlign w:val="top"/>
          </w:tcPr>
          <w:p w14:paraId="020171B8">
            <w:pPr>
              <w:rPr>
                <w:rFonts w:ascii="Arial"/>
                <w:color w:val="auto"/>
                <w:sz w:val="21"/>
                <w:highlight w:val="none"/>
              </w:rPr>
            </w:pPr>
          </w:p>
        </w:tc>
        <w:tc>
          <w:tcPr>
            <w:tcW w:w="848" w:type="dxa"/>
            <w:vAlign w:val="top"/>
          </w:tcPr>
          <w:p w14:paraId="0F0FE82B">
            <w:pPr>
              <w:rPr>
                <w:rFonts w:ascii="Arial"/>
                <w:color w:val="auto"/>
                <w:sz w:val="21"/>
                <w:highlight w:val="none"/>
              </w:rPr>
            </w:pPr>
          </w:p>
        </w:tc>
        <w:tc>
          <w:tcPr>
            <w:tcW w:w="1274" w:type="dxa"/>
            <w:vAlign w:val="top"/>
          </w:tcPr>
          <w:p w14:paraId="62A9B5DF">
            <w:pPr>
              <w:rPr>
                <w:rFonts w:ascii="Arial"/>
                <w:color w:val="auto"/>
                <w:sz w:val="21"/>
                <w:highlight w:val="none"/>
              </w:rPr>
            </w:pPr>
          </w:p>
        </w:tc>
        <w:tc>
          <w:tcPr>
            <w:tcW w:w="1274" w:type="dxa"/>
            <w:vAlign w:val="top"/>
          </w:tcPr>
          <w:p w14:paraId="0EBD3D07">
            <w:pPr>
              <w:rPr>
                <w:rFonts w:ascii="Arial"/>
                <w:color w:val="auto"/>
                <w:sz w:val="21"/>
                <w:highlight w:val="none"/>
              </w:rPr>
            </w:pPr>
          </w:p>
        </w:tc>
        <w:tc>
          <w:tcPr>
            <w:tcW w:w="1007" w:type="dxa"/>
            <w:tcBorders>
              <w:right w:val="single" w:color="000000" w:sz="10" w:space="0"/>
            </w:tcBorders>
            <w:vAlign w:val="top"/>
          </w:tcPr>
          <w:p w14:paraId="76DDD64A">
            <w:pPr>
              <w:rPr>
                <w:rFonts w:ascii="Arial"/>
                <w:color w:val="auto"/>
                <w:sz w:val="21"/>
                <w:highlight w:val="none"/>
              </w:rPr>
            </w:pPr>
          </w:p>
        </w:tc>
      </w:tr>
      <w:tr w14:paraId="0E8E4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75806F7">
            <w:pPr>
              <w:rPr>
                <w:rFonts w:ascii="Arial"/>
                <w:color w:val="auto"/>
                <w:sz w:val="21"/>
                <w:highlight w:val="none"/>
              </w:rPr>
            </w:pPr>
          </w:p>
        </w:tc>
        <w:tc>
          <w:tcPr>
            <w:tcW w:w="1412" w:type="dxa"/>
            <w:vAlign w:val="top"/>
          </w:tcPr>
          <w:p w14:paraId="10F283E2">
            <w:pPr>
              <w:rPr>
                <w:rFonts w:ascii="Arial"/>
                <w:color w:val="auto"/>
                <w:sz w:val="21"/>
                <w:highlight w:val="none"/>
              </w:rPr>
            </w:pPr>
          </w:p>
        </w:tc>
        <w:tc>
          <w:tcPr>
            <w:tcW w:w="848" w:type="dxa"/>
            <w:vAlign w:val="top"/>
          </w:tcPr>
          <w:p w14:paraId="43A29553">
            <w:pPr>
              <w:rPr>
                <w:rFonts w:ascii="Arial"/>
                <w:color w:val="auto"/>
                <w:sz w:val="21"/>
                <w:highlight w:val="none"/>
              </w:rPr>
            </w:pPr>
          </w:p>
        </w:tc>
        <w:tc>
          <w:tcPr>
            <w:tcW w:w="708" w:type="dxa"/>
            <w:vAlign w:val="top"/>
          </w:tcPr>
          <w:p w14:paraId="442158A5">
            <w:pPr>
              <w:rPr>
                <w:rFonts w:ascii="Arial"/>
                <w:color w:val="auto"/>
                <w:sz w:val="21"/>
                <w:highlight w:val="none"/>
              </w:rPr>
            </w:pPr>
          </w:p>
        </w:tc>
        <w:tc>
          <w:tcPr>
            <w:tcW w:w="848" w:type="dxa"/>
            <w:vAlign w:val="top"/>
          </w:tcPr>
          <w:p w14:paraId="0BA56E69">
            <w:pPr>
              <w:rPr>
                <w:rFonts w:ascii="Arial"/>
                <w:color w:val="auto"/>
                <w:sz w:val="21"/>
                <w:highlight w:val="none"/>
              </w:rPr>
            </w:pPr>
          </w:p>
        </w:tc>
        <w:tc>
          <w:tcPr>
            <w:tcW w:w="848" w:type="dxa"/>
            <w:vAlign w:val="top"/>
          </w:tcPr>
          <w:p w14:paraId="70E80C41">
            <w:pPr>
              <w:rPr>
                <w:rFonts w:ascii="Arial"/>
                <w:color w:val="auto"/>
                <w:sz w:val="21"/>
                <w:highlight w:val="none"/>
              </w:rPr>
            </w:pPr>
          </w:p>
        </w:tc>
        <w:tc>
          <w:tcPr>
            <w:tcW w:w="1274" w:type="dxa"/>
            <w:vAlign w:val="top"/>
          </w:tcPr>
          <w:p w14:paraId="2A78CDFC">
            <w:pPr>
              <w:rPr>
                <w:rFonts w:ascii="Arial"/>
                <w:color w:val="auto"/>
                <w:sz w:val="21"/>
                <w:highlight w:val="none"/>
              </w:rPr>
            </w:pPr>
          </w:p>
        </w:tc>
        <w:tc>
          <w:tcPr>
            <w:tcW w:w="1274" w:type="dxa"/>
            <w:vAlign w:val="top"/>
          </w:tcPr>
          <w:p w14:paraId="2AC19B2C">
            <w:pPr>
              <w:rPr>
                <w:rFonts w:ascii="Arial"/>
                <w:color w:val="auto"/>
                <w:sz w:val="21"/>
                <w:highlight w:val="none"/>
              </w:rPr>
            </w:pPr>
          </w:p>
        </w:tc>
        <w:tc>
          <w:tcPr>
            <w:tcW w:w="1007" w:type="dxa"/>
            <w:tcBorders>
              <w:right w:val="single" w:color="000000" w:sz="10" w:space="0"/>
            </w:tcBorders>
            <w:vAlign w:val="top"/>
          </w:tcPr>
          <w:p w14:paraId="3A37D498">
            <w:pPr>
              <w:rPr>
                <w:rFonts w:ascii="Arial"/>
                <w:color w:val="auto"/>
                <w:sz w:val="21"/>
                <w:highlight w:val="none"/>
              </w:rPr>
            </w:pPr>
          </w:p>
        </w:tc>
      </w:tr>
      <w:tr w14:paraId="58B22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5832D81">
            <w:pPr>
              <w:rPr>
                <w:rFonts w:ascii="Arial"/>
                <w:color w:val="auto"/>
                <w:sz w:val="21"/>
                <w:highlight w:val="none"/>
              </w:rPr>
            </w:pPr>
          </w:p>
        </w:tc>
        <w:tc>
          <w:tcPr>
            <w:tcW w:w="1412" w:type="dxa"/>
            <w:vAlign w:val="top"/>
          </w:tcPr>
          <w:p w14:paraId="000F34BE">
            <w:pPr>
              <w:rPr>
                <w:rFonts w:ascii="Arial"/>
                <w:color w:val="auto"/>
                <w:sz w:val="21"/>
                <w:highlight w:val="none"/>
              </w:rPr>
            </w:pPr>
          </w:p>
        </w:tc>
        <w:tc>
          <w:tcPr>
            <w:tcW w:w="848" w:type="dxa"/>
            <w:vAlign w:val="top"/>
          </w:tcPr>
          <w:p w14:paraId="43106B6E">
            <w:pPr>
              <w:rPr>
                <w:rFonts w:ascii="Arial"/>
                <w:color w:val="auto"/>
                <w:sz w:val="21"/>
                <w:highlight w:val="none"/>
              </w:rPr>
            </w:pPr>
          </w:p>
        </w:tc>
        <w:tc>
          <w:tcPr>
            <w:tcW w:w="708" w:type="dxa"/>
            <w:vAlign w:val="top"/>
          </w:tcPr>
          <w:p w14:paraId="69EE67F6">
            <w:pPr>
              <w:rPr>
                <w:rFonts w:ascii="Arial"/>
                <w:color w:val="auto"/>
                <w:sz w:val="21"/>
                <w:highlight w:val="none"/>
              </w:rPr>
            </w:pPr>
          </w:p>
        </w:tc>
        <w:tc>
          <w:tcPr>
            <w:tcW w:w="848" w:type="dxa"/>
            <w:vAlign w:val="top"/>
          </w:tcPr>
          <w:p w14:paraId="0E6B9680">
            <w:pPr>
              <w:rPr>
                <w:rFonts w:ascii="Arial"/>
                <w:color w:val="auto"/>
                <w:sz w:val="21"/>
                <w:highlight w:val="none"/>
              </w:rPr>
            </w:pPr>
          </w:p>
        </w:tc>
        <w:tc>
          <w:tcPr>
            <w:tcW w:w="848" w:type="dxa"/>
            <w:vAlign w:val="top"/>
          </w:tcPr>
          <w:p w14:paraId="17222E0E">
            <w:pPr>
              <w:rPr>
                <w:rFonts w:ascii="Arial"/>
                <w:color w:val="auto"/>
                <w:sz w:val="21"/>
                <w:highlight w:val="none"/>
              </w:rPr>
            </w:pPr>
          </w:p>
        </w:tc>
        <w:tc>
          <w:tcPr>
            <w:tcW w:w="1274" w:type="dxa"/>
            <w:vAlign w:val="top"/>
          </w:tcPr>
          <w:p w14:paraId="7C82E1A2">
            <w:pPr>
              <w:rPr>
                <w:rFonts w:ascii="Arial"/>
                <w:color w:val="auto"/>
                <w:sz w:val="21"/>
                <w:highlight w:val="none"/>
              </w:rPr>
            </w:pPr>
          </w:p>
        </w:tc>
        <w:tc>
          <w:tcPr>
            <w:tcW w:w="1274" w:type="dxa"/>
            <w:vAlign w:val="top"/>
          </w:tcPr>
          <w:p w14:paraId="3C968630">
            <w:pPr>
              <w:rPr>
                <w:rFonts w:ascii="Arial"/>
                <w:color w:val="auto"/>
                <w:sz w:val="21"/>
                <w:highlight w:val="none"/>
              </w:rPr>
            </w:pPr>
          </w:p>
        </w:tc>
        <w:tc>
          <w:tcPr>
            <w:tcW w:w="1007" w:type="dxa"/>
            <w:tcBorders>
              <w:right w:val="single" w:color="000000" w:sz="10" w:space="0"/>
            </w:tcBorders>
            <w:vAlign w:val="top"/>
          </w:tcPr>
          <w:p w14:paraId="31AA9DC8">
            <w:pPr>
              <w:rPr>
                <w:rFonts w:ascii="Arial"/>
                <w:color w:val="auto"/>
                <w:sz w:val="21"/>
                <w:highlight w:val="none"/>
              </w:rPr>
            </w:pPr>
          </w:p>
        </w:tc>
      </w:tr>
      <w:tr w14:paraId="47BF0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25D73EA">
            <w:pPr>
              <w:rPr>
                <w:rFonts w:ascii="Arial"/>
                <w:color w:val="auto"/>
                <w:sz w:val="21"/>
                <w:highlight w:val="none"/>
              </w:rPr>
            </w:pPr>
          </w:p>
        </w:tc>
        <w:tc>
          <w:tcPr>
            <w:tcW w:w="1412" w:type="dxa"/>
            <w:vAlign w:val="top"/>
          </w:tcPr>
          <w:p w14:paraId="4BB2C7BD">
            <w:pPr>
              <w:rPr>
                <w:rFonts w:ascii="Arial"/>
                <w:color w:val="auto"/>
                <w:sz w:val="21"/>
                <w:highlight w:val="none"/>
              </w:rPr>
            </w:pPr>
          </w:p>
        </w:tc>
        <w:tc>
          <w:tcPr>
            <w:tcW w:w="848" w:type="dxa"/>
            <w:vAlign w:val="top"/>
          </w:tcPr>
          <w:p w14:paraId="23FD934F">
            <w:pPr>
              <w:rPr>
                <w:rFonts w:ascii="Arial"/>
                <w:color w:val="auto"/>
                <w:sz w:val="21"/>
                <w:highlight w:val="none"/>
              </w:rPr>
            </w:pPr>
          </w:p>
        </w:tc>
        <w:tc>
          <w:tcPr>
            <w:tcW w:w="708" w:type="dxa"/>
            <w:vAlign w:val="top"/>
          </w:tcPr>
          <w:p w14:paraId="66170C70">
            <w:pPr>
              <w:rPr>
                <w:rFonts w:ascii="Arial"/>
                <w:color w:val="auto"/>
                <w:sz w:val="21"/>
                <w:highlight w:val="none"/>
              </w:rPr>
            </w:pPr>
          </w:p>
        </w:tc>
        <w:tc>
          <w:tcPr>
            <w:tcW w:w="848" w:type="dxa"/>
            <w:vAlign w:val="top"/>
          </w:tcPr>
          <w:p w14:paraId="2E51DD56">
            <w:pPr>
              <w:rPr>
                <w:rFonts w:ascii="Arial"/>
                <w:color w:val="auto"/>
                <w:sz w:val="21"/>
                <w:highlight w:val="none"/>
              </w:rPr>
            </w:pPr>
          </w:p>
        </w:tc>
        <w:tc>
          <w:tcPr>
            <w:tcW w:w="848" w:type="dxa"/>
            <w:vAlign w:val="top"/>
          </w:tcPr>
          <w:p w14:paraId="3AF9777B">
            <w:pPr>
              <w:rPr>
                <w:rFonts w:ascii="Arial"/>
                <w:color w:val="auto"/>
                <w:sz w:val="21"/>
                <w:highlight w:val="none"/>
              </w:rPr>
            </w:pPr>
          </w:p>
        </w:tc>
        <w:tc>
          <w:tcPr>
            <w:tcW w:w="1274" w:type="dxa"/>
            <w:vAlign w:val="top"/>
          </w:tcPr>
          <w:p w14:paraId="77A0462D">
            <w:pPr>
              <w:rPr>
                <w:rFonts w:ascii="Arial"/>
                <w:color w:val="auto"/>
                <w:sz w:val="21"/>
                <w:highlight w:val="none"/>
              </w:rPr>
            </w:pPr>
          </w:p>
        </w:tc>
        <w:tc>
          <w:tcPr>
            <w:tcW w:w="1274" w:type="dxa"/>
            <w:vAlign w:val="top"/>
          </w:tcPr>
          <w:p w14:paraId="51480353">
            <w:pPr>
              <w:rPr>
                <w:rFonts w:ascii="Arial"/>
                <w:color w:val="auto"/>
                <w:sz w:val="21"/>
                <w:highlight w:val="none"/>
              </w:rPr>
            </w:pPr>
          </w:p>
        </w:tc>
        <w:tc>
          <w:tcPr>
            <w:tcW w:w="1007" w:type="dxa"/>
            <w:tcBorders>
              <w:right w:val="single" w:color="000000" w:sz="10" w:space="0"/>
            </w:tcBorders>
            <w:vAlign w:val="top"/>
          </w:tcPr>
          <w:p w14:paraId="6E0CE370">
            <w:pPr>
              <w:rPr>
                <w:rFonts w:ascii="Arial"/>
                <w:color w:val="auto"/>
                <w:sz w:val="21"/>
                <w:highlight w:val="none"/>
              </w:rPr>
            </w:pPr>
          </w:p>
        </w:tc>
      </w:tr>
      <w:tr w14:paraId="64305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5F9AF1F5">
            <w:pPr>
              <w:rPr>
                <w:rFonts w:ascii="Arial"/>
                <w:color w:val="auto"/>
                <w:sz w:val="21"/>
                <w:highlight w:val="none"/>
              </w:rPr>
            </w:pPr>
          </w:p>
        </w:tc>
        <w:tc>
          <w:tcPr>
            <w:tcW w:w="1412" w:type="dxa"/>
            <w:vAlign w:val="top"/>
          </w:tcPr>
          <w:p w14:paraId="3B8A8E80">
            <w:pPr>
              <w:rPr>
                <w:rFonts w:ascii="Arial"/>
                <w:color w:val="auto"/>
                <w:sz w:val="21"/>
                <w:highlight w:val="none"/>
              </w:rPr>
            </w:pPr>
          </w:p>
        </w:tc>
        <w:tc>
          <w:tcPr>
            <w:tcW w:w="848" w:type="dxa"/>
            <w:vAlign w:val="top"/>
          </w:tcPr>
          <w:p w14:paraId="201EE884">
            <w:pPr>
              <w:rPr>
                <w:rFonts w:ascii="Arial"/>
                <w:color w:val="auto"/>
                <w:sz w:val="21"/>
                <w:highlight w:val="none"/>
              </w:rPr>
            </w:pPr>
          </w:p>
        </w:tc>
        <w:tc>
          <w:tcPr>
            <w:tcW w:w="708" w:type="dxa"/>
            <w:vAlign w:val="top"/>
          </w:tcPr>
          <w:p w14:paraId="2AD56EE0">
            <w:pPr>
              <w:rPr>
                <w:rFonts w:ascii="Arial"/>
                <w:color w:val="auto"/>
                <w:sz w:val="21"/>
                <w:highlight w:val="none"/>
              </w:rPr>
            </w:pPr>
          </w:p>
        </w:tc>
        <w:tc>
          <w:tcPr>
            <w:tcW w:w="848" w:type="dxa"/>
            <w:vAlign w:val="top"/>
          </w:tcPr>
          <w:p w14:paraId="4E2C6E93">
            <w:pPr>
              <w:rPr>
                <w:rFonts w:ascii="Arial"/>
                <w:color w:val="auto"/>
                <w:sz w:val="21"/>
                <w:highlight w:val="none"/>
              </w:rPr>
            </w:pPr>
          </w:p>
        </w:tc>
        <w:tc>
          <w:tcPr>
            <w:tcW w:w="848" w:type="dxa"/>
            <w:vAlign w:val="top"/>
          </w:tcPr>
          <w:p w14:paraId="5872791E">
            <w:pPr>
              <w:rPr>
                <w:rFonts w:ascii="Arial"/>
                <w:color w:val="auto"/>
                <w:sz w:val="21"/>
                <w:highlight w:val="none"/>
              </w:rPr>
            </w:pPr>
          </w:p>
        </w:tc>
        <w:tc>
          <w:tcPr>
            <w:tcW w:w="1274" w:type="dxa"/>
            <w:vAlign w:val="top"/>
          </w:tcPr>
          <w:p w14:paraId="46505A8A">
            <w:pPr>
              <w:rPr>
                <w:rFonts w:ascii="Arial"/>
                <w:color w:val="auto"/>
                <w:sz w:val="21"/>
                <w:highlight w:val="none"/>
              </w:rPr>
            </w:pPr>
          </w:p>
        </w:tc>
        <w:tc>
          <w:tcPr>
            <w:tcW w:w="1274" w:type="dxa"/>
            <w:vAlign w:val="top"/>
          </w:tcPr>
          <w:p w14:paraId="5F038202">
            <w:pPr>
              <w:rPr>
                <w:rFonts w:ascii="Arial"/>
                <w:color w:val="auto"/>
                <w:sz w:val="21"/>
                <w:highlight w:val="none"/>
              </w:rPr>
            </w:pPr>
          </w:p>
        </w:tc>
        <w:tc>
          <w:tcPr>
            <w:tcW w:w="1007" w:type="dxa"/>
            <w:tcBorders>
              <w:right w:val="single" w:color="000000" w:sz="10" w:space="0"/>
            </w:tcBorders>
            <w:vAlign w:val="top"/>
          </w:tcPr>
          <w:p w14:paraId="41F77278">
            <w:pPr>
              <w:rPr>
                <w:rFonts w:ascii="Arial"/>
                <w:color w:val="auto"/>
                <w:sz w:val="21"/>
                <w:highlight w:val="none"/>
              </w:rPr>
            </w:pPr>
          </w:p>
        </w:tc>
      </w:tr>
      <w:tr w14:paraId="77FB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5C68F09">
            <w:pPr>
              <w:rPr>
                <w:rFonts w:ascii="Arial"/>
                <w:color w:val="auto"/>
                <w:sz w:val="21"/>
                <w:highlight w:val="none"/>
              </w:rPr>
            </w:pPr>
          </w:p>
        </w:tc>
        <w:tc>
          <w:tcPr>
            <w:tcW w:w="1412" w:type="dxa"/>
            <w:vAlign w:val="top"/>
          </w:tcPr>
          <w:p w14:paraId="28C0836E">
            <w:pPr>
              <w:rPr>
                <w:rFonts w:ascii="Arial"/>
                <w:color w:val="auto"/>
                <w:sz w:val="21"/>
                <w:highlight w:val="none"/>
              </w:rPr>
            </w:pPr>
          </w:p>
        </w:tc>
        <w:tc>
          <w:tcPr>
            <w:tcW w:w="848" w:type="dxa"/>
            <w:vAlign w:val="top"/>
          </w:tcPr>
          <w:p w14:paraId="40A4D6F5">
            <w:pPr>
              <w:rPr>
                <w:rFonts w:ascii="Arial"/>
                <w:color w:val="auto"/>
                <w:sz w:val="21"/>
                <w:highlight w:val="none"/>
              </w:rPr>
            </w:pPr>
          </w:p>
        </w:tc>
        <w:tc>
          <w:tcPr>
            <w:tcW w:w="708" w:type="dxa"/>
            <w:vAlign w:val="top"/>
          </w:tcPr>
          <w:p w14:paraId="28326F90">
            <w:pPr>
              <w:rPr>
                <w:rFonts w:ascii="Arial"/>
                <w:color w:val="auto"/>
                <w:sz w:val="21"/>
                <w:highlight w:val="none"/>
              </w:rPr>
            </w:pPr>
          </w:p>
        </w:tc>
        <w:tc>
          <w:tcPr>
            <w:tcW w:w="848" w:type="dxa"/>
            <w:vAlign w:val="top"/>
          </w:tcPr>
          <w:p w14:paraId="63CFFD32">
            <w:pPr>
              <w:rPr>
                <w:rFonts w:ascii="Arial"/>
                <w:color w:val="auto"/>
                <w:sz w:val="21"/>
                <w:highlight w:val="none"/>
              </w:rPr>
            </w:pPr>
          </w:p>
        </w:tc>
        <w:tc>
          <w:tcPr>
            <w:tcW w:w="848" w:type="dxa"/>
            <w:vAlign w:val="top"/>
          </w:tcPr>
          <w:p w14:paraId="73E068E5">
            <w:pPr>
              <w:rPr>
                <w:rFonts w:ascii="Arial"/>
                <w:color w:val="auto"/>
                <w:sz w:val="21"/>
                <w:highlight w:val="none"/>
              </w:rPr>
            </w:pPr>
          </w:p>
        </w:tc>
        <w:tc>
          <w:tcPr>
            <w:tcW w:w="1274" w:type="dxa"/>
            <w:vAlign w:val="top"/>
          </w:tcPr>
          <w:p w14:paraId="48A09783">
            <w:pPr>
              <w:rPr>
                <w:rFonts w:ascii="Arial"/>
                <w:color w:val="auto"/>
                <w:sz w:val="21"/>
                <w:highlight w:val="none"/>
              </w:rPr>
            </w:pPr>
          </w:p>
        </w:tc>
        <w:tc>
          <w:tcPr>
            <w:tcW w:w="1274" w:type="dxa"/>
            <w:vAlign w:val="top"/>
          </w:tcPr>
          <w:p w14:paraId="1E31DF0A">
            <w:pPr>
              <w:rPr>
                <w:rFonts w:ascii="Arial"/>
                <w:color w:val="auto"/>
                <w:sz w:val="21"/>
                <w:highlight w:val="none"/>
              </w:rPr>
            </w:pPr>
          </w:p>
        </w:tc>
        <w:tc>
          <w:tcPr>
            <w:tcW w:w="1007" w:type="dxa"/>
            <w:tcBorders>
              <w:right w:val="single" w:color="000000" w:sz="10" w:space="0"/>
            </w:tcBorders>
            <w:vAlign w:val="top"/>
          </w:tcPr>
          <w:p w14:paraId="648A2FB4">
            <w:pPr>
              <w:rPr>
                <w:rFonts w:ascii="Arial"/>
                <w:color w:val="auto"/>
                <w:sz w:val="21"/>
                <w:highlight w:val="none"/>
              </w:rPr>
            </w:pPr>
          </w:p>
        </w:tc>
      </w:tr>
      <w:tr w14:paraId="5B213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4FCADDF7">
            <w:pPr>
              <w:rPr>
                <w:rFonts w:ascii="Arial"/>
                <w:color w:val="auto"/>
                <w:sz w:val="21"/>
                <w:highlight w:val="none"/>
              </w:rPr>
            </w:pPr>
          </w:p>
        </w:tc>
        <w:tc>
          <w:tcPr>
            <w:tcW w:w="1412" w:type="dxa"/>
            <w:vAlign w:val="top"/>
          </w:tcPr>
          <w:p w14:paraId="475DABB9">
            <w:pPr>
              <w:rPr>
                <w:rFonts w:ascii="Arial"/>
                <w:color w:val="auto"/>
                <w:sz w:val="21"/>
                <w:highlight w:val="none"/>
              </w:rPr>
            </w:pPr>
          </w:p>
        </w:tc>
        <w:tc>
          <w:tcPr>
            <w:tcW w:w="848" w:type="dxa"/>
            <w:vAlign w:val="top"/>
          </w:tcPr>
          <w:p w14:paraId="19F9A490">
            <w:pPr>
              <w:rPr>
                <w:rFonts w:ascii="Arial"/>
                <w:color w:val="auto"/>
                <w:sz w:val="21"/>
                <w:highlight w:val="none"/>
              </w:rPr>
            </w:pPr>
          </w:p>
        </w:tc>
        <w:tc>
          <w:tcPr>
            <w:tcW w:w="708" w:type="dxa"/>
            <w:vAlign w:val="top"/>
          </w:tcPr>
          <w:p w14:paraId="27F7D326">
            <w:pPr>
              <w:rPr>
                <w:rFonts w:ascii="Arial"/>
                <w:color w:val="auto"/>
                <w:sz w:val="21"/>
                <w:highlight w:val="none"/>
              </w:rPr>
            </w:pPr>
          </w:p>
        </w:tc>
        <w:tc>
          <w:tcPr>
            <w:tcW w:w="848" w:type="dxa"/>
            <w:vAlign w:val="top"/>
          </w:tcPr>
          <w:p w14:paraId="7E6E194B">
            <w:pPr>
              <w:rPr>
                <w:rFonts w:ascii="Arial"/>
                <w:color w:val="auto"/>
                <w:sz w:val="21"/>
                <w:highlight w:val="none"/>
              </w:rPr>
            </w:pPr>
          </w:p>
        </w:tc>
        <w:tc>
          <w:tcPr>
            <w:tcW w:w="848" w:type="dxa"/>
            <w:vAlign w:val="top"/>
          </w:tcPr>
          <w:p w14:paraId="48EAE3BA">
            <w:pPr>
              <w:rPr>
                <w:rFonts w:ascii="Arial"/>
                <w:color w:val="auto"/>
                <w:sz w:val="21"/>
                <w:highlight w:val="none"/>
              </w:rPr>
            </w:pPr>
          </w:p>
        </w:tc>
        <w:tc>
          <w:tcPr>
            <w:tcW w:w="1274" w:type="dxa"/>
            <w:vAlign w:val="top"/>
          </w:tcPr>
          <w:p w14:paraId="6E994D78">
            <w:pPr>
              <w:rPr>
                <w:rFonts w:ascii="Arial"/>
                <w:color w:val="auto"/>
                <w:sz w:val="21"/>
                <w:highlight w:val="none"/>
              </w:rPr>
            </w:pPr>
          </w:p>
        </w:tc>
        <w:tc>
          <w:tcPr>
            <w:tcW w:w="1274" w:type="dxa"/>
            <w:vAlign w:val="top"/>
          </w:tcPr>
          <w:p w14:paraId="06EB3E5E">
            <w:pPr>
              <w:rPr>
                <w:rFonts w:ascii="Arial"/>
                <w:color w:val="auto"/>
                <w:sz w:val="21"/>
                <w:highlight w:val="none"/>
              </w:rPr>
            </w:pPr>
          </w:p>
        </w:tc>
        <w:tc>
          <w:tcPr>
            <w:tcW w:w="1007" w:type="dxa"/>
            <w:tcBorders>
              <w:right w:val="single" w:color="000000" w:sz="10" w:space="0"/>
            </w:tcBorders>
            <w:vAlign w:val="top"/>
          </w:tcPr>
          <w:p w14:paraId="0B64232B">
            <w:pPr>
              <w:rPr>
                <w:rFonts w:ascii="Arial"/>
                <w:color w:val="auto"/>
                <w:sz w:val="21"/>
                <w:highlight w:val="none"/>
              </w:rPr>
            </w:pPr>
          </w:p>
        </w:tc>
      </w:tr>
      <w:tr w14:paraId="0428A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867DC71">
            <w:pPr>
              <w:rPr>
                <w:rFonts w:ascii="Arial"/>
                <w:color w:val="auto"/>
                <w:sz w:val="21"/>
                <w:highlight w:val="none"/>
              </w:rPr>
            </w:pPr>
          </w:p>
        </w:tc>
        <w:tc>
          <w:tcPr>
            <w:tcW w:w="1412" w:type="dxa"/>
            <w:vAlign w:val="top"/>
          </w:tcPr>
          <w:p w14:paraId="41504EB7">
            <w:pPr>
              <w:rPr>
                <w:rFonts w:ascii="Arial"/>
                <w:color w:val="auto"/>
                <w:sz w:val="21"/>
                <w:highlight w:val="none"/>
              </w:rPr>
            </w:pPr>
          </w:p>
        </w:tc>
        <w:tc>
          <w:tcPr>
            <w:tcW w:w="848" w:type="dxa"/>
            <w:vAlign w:val="top"/>
          </w:tcPr>
          <w:p w14:paraId="1E0BC42C">
            <w:pPr>
              <w:rPr>
                <w:rFonts w:ascii="Arial"/>
                <w:color w:val="auto"/>
                <w:sz w:val="21"/>
                <w:highlight w:val="none"/>
              </w:rPr>
            </w:pPr>
          </w:p>
        </w:tc>
        <w:tc>
          <w:tcPr>
            <w:tcW w:w="708" w:type="dxa"/>
            <w:vAlign w:val="top"/>
          </w:tcPr>
          <w:p w14:paraId="61F1E8A8">
            <w:pPr>
              <w:rPr>
                <w:rFonts w:ascii="Arial"/>
                <w:color w:val="auto"/>
                <w:sz w:val="21"/>
                <w:highlight w:val="none"/>
              </w:rPr>
            </w:pPr>
          </w:p>
        </w:tc>
        <w:tc>
          <w:tcPr>
            <w:tcW w:w="848" w:type="dxa"/>
            <w:vAlign w:val="top"/>
          </w:tcPr>
          <w:p w14:paraId="2EDF75D7">
            <w:pPr>
              <w:rPr>
                <w:rFonts w:ascii="Arial"/>
                <w:color w:val="auto"/>
                <w:sz w:val="21"/>
                <w:highlight w:val="none"/>
              </w:rPr>
            </w:pPr>
          </w:p>
        </w:tc>
        <w:tc>
          <w:tcPr>
            <w:tcW w:w="848" w:type="dxa"/>
            <w:vAlign w:val="top"/>
          </w:tcPr>
          <w:p w14:paraId="67A19F08">
            <w:pPr>
              <w:rPr>
                <w:rFonts w:ascii="Arial"/>
                <w:color w:val="auto"/>
                <w:sz w:val="21"/>
                <w:highlight w:val="none"/>
              </w:rPr>
            </w:pPr>
          </w:p>
        </w:tc>
        <w:tc>
          <w:tcPr>
            <w:tcW w:w="1274" w:type="dxa"/>
            <w:vAlign w:val="top"/>
          </w:tcPr>
          <w:p w14:paraId="4E728A39">
            <w:pPr>
              <w:rPr>
                <w:rFonts w:ascii="Arial"/>
                <w:color w:val="auto"/>
                <w:sz w:val="21"/>
                <w:highlight w:val="none"/>
              </w:rPr>
            </w:pPr>
          </w:p>
        </w:tc>
        <w:tc>
          <w:tcPr>
            <w:tcW w:w="1274" w:type="dxa"/>
            <w:vAlign w:val="top"/>
          </w:tcPr>
          <w:p w14:paraId="25B45D80">
            <w:pPr>
              <w:rPr>
                <w:rFonts w:ascii="Arial"/>
                <w:color w:val="auto"/>
                <w:sz w:val="21"/>
                <w:highlight w:val="none"/>
              </w:rPr>
            </w:pPr>
          </w:p>
        </w:tc>
        <w:tc>
          <w:tcPr>
            <w:tcW w:w="1007" w:type="dxa"/>
            <w:tcBorders>
              <w:right w:val="single" w:color="000000" w:sz="10" w:space="0"/>
            </w:tcBorders>
            <w:vAlign w:val="top"/>
          </w:tcPr>
          <w:p w14:paraId="415F155E">
            <w:pPr>
              <w:rPr>
                <w:rFonts w:ascii="Arial"/>
                <w:color w:val="auto"/>
                <w:sz w:val="21"/>
                <w:highlight w:val="none"/>
              </w:rPr>
            </w:pPr>
          </w:p>
        </w:tc>
      </w:tr>
      <w:tr w14:paraId="3E313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16A5509">
            <w:pPr>
              <w:rPr>
                <w:rFonts w:ascii="Arial"/>
                <w:color w:val="auto"/>
                <w:sz w:val="21"/>
                <w:highlight w:val="none"/>
              </w:rPr>
            </w:pPr>
          </w:p>
        </w:tc>
        <w:tc>
          <w:tcPr>
            <w:tcW w:w="1412" w:type="dxa"/>
            <w:vAlign w:val="top"/>
          </w:tcPr>
          <w:p w14:paraId="66F1FDBE">
            <w:pPr>
              <w:rPr>
                <w:rFonts w:ascii="Arial"/>
                <w:color w:val="auto"/>
                <w:sz w:val="21"/>
                <w:highlight w:val="none"/>
              </w:rPr>
            </w:pPr>
          </w:p>
        </w:tc>
        <w:tc>
          <w:tcPr>
            <w:tcW w:w="848" w:type="dxa"/>
            <w:vAlign w:val="top"/>
          </w:tcPr>
          <w:p w14:paraId="24BCE8BC">
            <w:pPr>
              <w:rPr>
                <w:rFonts w:ascii="Arial"/>
                <w:color w:val="auto"/>
                <w:sz w:val="21"/>
                <w:highlight w:val="none"/>
              </w:rPr>
            </w:pPr>
          </w:p>
        </w:tc>
        <w:tc>
          <w:tcPr>
            <w:tcW w:w="708" w:type="dxa"/>
            <w:vAlign w:val="top"/>
          </w:tcPr>
          <w:p w14:paraId="0C867496">
            <w:pPr>
              <w:rPr>
                <w:rFonts w:ascii="Arial"/>
                <w:color w:val="auto"/>
                <w:sz w:val="21"/>
                <w:highlight w:val="none"/>
              </w:rPr>
            </w:pPr>
          </w:p>
        </w:tc>
        <w:tc>
          <w:tcPr>
            <w:tcW w:w="848" w:type="dxa"/>
            <w:vAlign w:val="top"/>
          </w:tcPr>
          <w:p w14:paraId="12754CAB">
            <w:pPr>
              <w:rPr>
                <w:rFonts w:ascii="Arial"/>
                <w:color w:val="auto"/>
                <w:sz w:val="21"/>
                <w:highlight w:val="none"/>
              </w:rPr>
            </w:pPr>
          </w:p>
        </w:tc>
        <w:tc>
          <w:tcPr>
            <w:tcW w:w="848" w:type="dxa"/>
            <w:vAlign w:val="top"/>
          </w:tcPr>
          <w:p w14:paraId="3D4DAE55">
            <w:pPr>
              <w:rPr>
                <w:rFonts w:ascii="Arial"/>
                <w:color w:val="auto"/>
                <w:sz w:val="21"/>
                <w:highlight w:val="none"/>
              </w:rPr>
            </w:pPr>
          </w:p>
        </w:tc>
        <w:tc>
          <w:tcPr>
            <w:tcW w:w="1274" w:type="dxa"/>
            <w:vAlign w:val="top"/>
          </w:tcPr>
          <w:p w14:paraId="06BDE126">
            <w:pPr>
              <w:rPr>
                <w:rFonts w:ascii="Arial"/>
                <w:color w:val="auto"/>
                <w:sz w:val="21"/>
                <w:highlight w:val="none"/>
              </w:rPr>
            </w:pPr>
          </w:p>
        </w:tc>
        <w:tc>
          <w:tcPr>
            <w:tcW w:w="1274" w:type="dxa"/>
            <w:vAlign w:val="top"/>
          </w:tcPr>
          <w:p w14:paraId="5584CFE9">
            <w:pPr>
              <w:rPr>
                <w:rFonts w:ascii="Arial"/>
                <w:color w:val="auto"/>
                <w:sz w:val="21"/>
                <w:highlight w:val="none"/>
              </w:rPr>
            </w:pPr>
          </w:p>
        </w:tc>
        <w:tc>
          <w:tcPr>
            <w:tcW w:w="1007" w:type="dxa"/>
            <w:tcBorders>
              <w:right w:val="single" w:color="000000" w:sz="10" w:space="0"/>
            </w:tcBorders>
            <w:vAlign w:val="top"/>
          </w:tcPr>
          <w:p w14:paraId="500E5557">
            <w:pPr>
              <w:rPr>
                <w:rFonts w:ascii="Arial"/>
                <w:color w:val="auto"/>
                <w:sz w:val="21"/>
                <w:highlight w:val="none"/>
              </w:rPr>
            </w:pPr>
          </w:p>
        </w:tc>
      </w:tr>
      <w:tr w14:paraId="5E3FB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4AB49AFC">
            <w:pPr>
              <w:rPr>
                <w:rFonts w:ascii="Arial"/>
                <w:color w:val="auto"/>
                <w:sz w:val="21"/>
                <w:highlight w:val="none"/>
              </w:rPr>
            </w:pPr>
          </w:p>
        </w:tc>
        <w:tc>
          <w:tcPr>
            <w:tcW w:w="1412" w:type="dxa"/>
            <w:vAlign w:val="top"/>
          </w:tcPr>
          <w:p w14:paraId="652D48B5">
            <w:pPr>
              <w:rPr>
                <w:rFonts w:ascii="Arial"/>
                <w:color w:val="auto"/>
                <w:sz w:val="21"/>
                <w:highlight w:val="none"/>
              </w:rPr>
            </w:pPr>
          </w:p>
        </w:tc>
        <w:tc>
          <w:tcPr>
            <w:tcW w:w="848" w:type="dxa"/>
            <w:vAlign w:val="top"/>
          </w:tcPr>
          <w:p w14:paraId="27BEAF17">
            <w:pPr>
              <w:rPr>
                <w:rFonts w:ascii="Arial"/>
                <w:color w:val="auto"/>
                <w:sz w:val="21"/>
                <w:highlight w:val="none"/>
              </w:rPr>
            </w:pPr>
          </w:p>
        </w:tc>
        <w:tc>
          <w:tcPr>
            <w:tcW w:w="708" w:type="dxa"/>
            <w:vAlign w:val="top"/>
          </w:tcPr>
          <w:p w14:paraId="1509D3A3">
            <w:pPr>
              <w:rPr>
                <w:rFonts w:ascii="Arial"/>
                <w:color w:val="auto"/>
                <w:sz w:val="21"/>
                <w:highlight w:val="none"/>
              </w:rPr>
            </w:pPr>
          </w:p>
        </w:tc>
        <w:tc>
          <w:tcPr>
            <w:tcW w:w="848" w:type="dxa"/>
            <w:vAlign w:val="top"/>
          </w:tcPr>
          <w:p w14:paraId="2CB3F6A2">
            <w:pPr>
              <w:rPr>
                <w:rFonts w:ascii="Arial"/>
                <w:color w:val="auto"/>
                <w:sz w:val="21"/>
                <w:highlight w:val="none"/>
              </w:rPr>
            </w:pPr>
          </w:p>
        </w:tc>
        <w:tc>
          <w:tcPr>
            <w:tcW w:w="848" w:type="dxa"/>
            <w:vAlign w:val="top"/>
          </w:tcPr>
          <w:p w14:paraId="4C875E6A">
            <w:pPr>
              <w:rPr>
                <w:rFonts w:ascii="Arial"/>
                <w:color w:val="auto"/>
                <w:sz w:val="21"/>
                <w:highlight w:val="none"/>
              </w:rPr>
            </w:pPr>
          </w:p>
        </w:tc>
        <w:tc>
          <w:tcPr>
            <w:tcW w:w="1274" w:type="dxa"/>
            <w:vAlign w:val="top"/>
          </w:tcPr>
          <w:p w14:paraId="1EB4376C">
            <w:pPr>
              <w:rPr>
                <w:rFonts w:ascii="Arial"/>
                <w:color w:val="auto"/>
                <w:sz w:val="21"/>
                <w:highlight w:val="none"/>
              </w:rPr>
            </w:pPr>
          </w:p>
        </w:tc>
        <w:tc>
          <w:tcPr>
            <w:tcW w:w="1274" w:type="dxa"/>
            <w:vAlign w:val="top"/>
          </w:tcPr>
          <w:p w14:paraId="55330074">
            <w:pPr>
              <w:rPr>
                <w:rFonts w:ascii="Arial"/>
                <w:color w:val="auto"/>
                <w:sz w:val="21"/>
                <w:highlight w:val="none"/>
              </w:rPr>
            </w:pPr>
          </w:p>
        </w:tc>
        <w:tc>
          <w:tcPr>
            <w:tcW w:w="1007" w:type="dxa"/>
            <w:tcBorders>
              <w:right w:val="single" w:color="000000" w:sz="10" w:space="0"/>
            </w:tcBorders>
            <w:vAlign w:val="top"/>
          </w:tcPr>
          <w:p w14:paraId="01665A68">
            <w:pPr>
              <w:rPr>
                <w:rFonts w:ascii="Arial"/>
                <w:color w:val="auto"/>
                <w:sz w:val="21"/>
                <w:highlight w:val="none"/>
              </w:rPr>
            </w:pPr>
          </w:p>
        </w:tc>
      </w:tr>
      <w:tr w14:paraId="731AE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CAD4C52">
            <w:pPr>
              <w:rPr>
                <w:rFonts w:ascii="Arial"/>
                <w:color w:val="auto"/>
                <w:sz w:val="21"/>
                <w:highlight w:val="none"/>
              </w:rPr>
            </w:pPr>
          </w:p>
        </w:tc>
        <w:tc>
          <w:tcPr>
            <w:tcW w:w="1412" w:type="dxa"/>
            <w:vAlign w:val="top"/>
          </w:tcPr>
          <w:p w14:paraId="596AC4F6">
            <w:pPr>
              <w:rPr>
                <w:rFonts w:ascii="Arial"/>
                <w:color w:val="auto"/>
                <w:sz w:val="21"/>
                <w:highlight w:val="none"/>
              </w:rPr>
            </w:pPr>
          </w:p>
        </w:tc>
        <w:tc>
          <w:tcPr>
            <w:tcW w:w="848" w:type="dxa"/>
            <w:vAlign w:val="top"/>
          </w:tcPr>
          <w:p w14:paraId="40BD32EC">
            <w:pPr>
              <w:rPr>
                <w:rFonts w:ascii="Arial"/>
                <w:color w:val="auto"/>
                <w:sz w:val="21"/>
                <w:highlight w:val="none"/>
              </w:rPr>
            </w:pPr>
          </w:p>
        </w:tc>
        <w:tc>
          <w:tcPr>
            <w:tcW w:w="708" w:type="dxa"/>
            <w:vAlign w:val="top"/>
          </w:tcPr>
          <w:p w14:paraId="6D46AB38">
            <w:pPr>
              <w:rPr>
                <w:rFonts w:ascii="Arial"/>
                <w:color w:val="auto"/>
                <w:sz w:val="21"/>
                <w:highlight w:val="none"/>
              </w:rPr>
            </w:pPr>
          </w:p>
        </w:tc>
        <w:tc>
          <w:tcPr>
            <w:tcW w:w="848" w:type="dxa"/>
            <w:vAlign w:val="top"/>
          </w:tcPr>
          <w:p w14:paraId="6FD3356C">
            <w:pPr>
              <w:rPr>
                <w:rFonts w:ascii="Arial"/>
                <w:color w:val="auto"/>
                <w:sz w:val="21"/>
                <w:highlight w:val="none"/>
              </w:rPr>
            </w:pPr>
          </w:p>
        </w:tc>
        <w:tc>
          <w:tcPr>
            <w:tcW w:w="848" w:type="dxa"/>
            <w:vAlign w:val="top"/>
          </w:tcPr>
          <w:p w14:paraId="53026883">
            <w:pPr>
              <w:rPr>
                <w:rFonts w:ascii="Arial"/>
                <w:color w:val="auto"/>
                <w:sz w:val="21"/>
                <w:highlight w:val="none"/>
              </w:rPr>
            </w:pPr>
          </w:p>
        </w:tc>
        <w:tc>
          <w:tcPr>
            <w:tcW w:w="1274" w:type="dxa"/>
            <w:vAlign w:val="top"/>
          </w:tcPr>
          <w:p w14:paraId="720F2887">
            <w:pPr>
              <w:rPr>
                <w:rFonts w:ascii="Arial"/>
                <w:color w:val="auto"/>
                <w:sz w:val="21"/>
                <w:highlight w:val="none"/>
              </w:rPr>
            </w:pPr>
          </w:p>
        </w:tc>
        <w:tc>
          <w:tcPr>
            <w:tcW w:w="1274" w:type="dxa"/>
            <w:vAlign w:val="top"/>
          </w:tcPr>
          <w:p w14:paraId="1C4877DC">
            <w:pPr>
              <w:rPr>
                <w:rFonts w:ascii="Arial"/>
                <w:color w:val="auto"/>
                <w:sz w:val="21"/>
                <w:highlight w:val="none"/>
              </w:rPr>
            </w:pPr>
          </w:p>
        </w:tc>
        <w:tc>
          <w:tcPr>
            <w:tcW w:w="1007" w:type="dxa"/>
            <w:tcBorders>
              <w:right w:val="single" w:color="000000" w:sz="10" w:space="0"/>
            </w:tcBorders>
            <w:vAlign w:val="top"/>
          </w:tcPr>
          <w:p w14:paraId="5EEDAFDC">
            <w:pPr>
              <w:rPr>
                <w:rFonts w:ascii="Arial"/>
                <w:color w:val="auto"/>
                <w:sz w:val="21"/>
                <w:highlight w:val="none"/>
              </w:rPr>
            </w:pPr>
          </w:p>
        </w:tc>
      </w:tr>
      <w:tr w14:paraId="698F1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E2D8204">
            <w:pPr>
              <w:rPr>
                <w:rFonts w:ascii="Arial"/>
                <w:color w:val="auto"/>
                <w:sz w:val="21"/>
                <w:highlight w:val="none"/>
              </w:rPr>
            </w:pPr>
          </w:p>
        </w:tc>
        <w:tc>
          <w:tcPr>
            <w:tcW w:w="1412" w:type="dxa"/>
            <w:vAlign w:val="top"/>
          </w:tcPr>
          <w:p w14:paraId="58A8BE1B">
            <w:pPr>
              <w:rPr>
                <w:rFonts w:ascii="Arial"/>
                <w:color w:val="auto"/>
                <w:sz w:val="21"/>
                <w:highlight w:val="none"/>
              </w:rPr>
            </w:pPr>
          </w:p>
        </w:tc>
        <w:tc>
          <w:tcPr>
            <w:tcW w:w="848" w:type="dxa"/>
            <w:vAlign w:val="top"/>
          </w:tcPr>
          <w:p w14:paraId="3A806CFD">
            <w:pPr>
              <w:rPr>
                <w:rFonts w:ascii="Arial"/>
                <w:color w:val="auto"/>
                <w:sz w:val="21"/>
                <w:highlight w:val="none"/>
              </w:rPr>
            </w:pPr>
          </w:p>
        </w:tc>
        <w:tc>
          <w:tcPr>
            <w:tcW w:w="708" w:type="dxa"/>
            <w:vAlign w:val="top"/>
          </w:tcPr>
          <w:p w14:paraId="5AC50543">
            <w:pPr>
              <w:rPr>
                <w:rFonts w:ascii="Arial"/>
                <w:color w:val="auto"/>
                <w:sz w:val="21"/>
                <w:highlight w:val="none"/>
              </w:rPr>
            </w:pPr>
          </w:p>
        </w:tc>
        <w:tc>
          <w:tcPr>
            <w:tcW w:w="848" w:type="dxa"/>
            <w:vAlign w:val="top"/>
          </w:tcPr>
          <w:p w14:paraId="3C45C1B3">
            <w:pPr>
              <w:rPr>
                <w:rFonts w:ascii="Arial"/>
                <w:color w:val="auto"/>
                <w:sz w:val="21"/>
                <w:highlight w:val="none"/>
              </w:rPr>
            </w:pPr>
          </w:p>
        </w:tc>
        <w:tc>
          <w:tcPr>
            <w:tcW w:w="848" w:type="dxa"/>
            <w:vAlign w:val="top"/>
          </w:tcPr>
          <w:p w14:paraId="3BF06E98">
            <w:pPr>
              <w:rPr>
                <w:rFonts w:ascii="Arial"/>
                <w:color w:val="auto"/>
                <w:sz w:val="21"/>
                <w:highlight w:val="none"/>
              </w:rPr>
            </w:pPr>
          </w:p>
        </w:tc>
        <w:tc>
          <w:tcPr>
            <w:tcW w:w="1274" w:type="dxa"/>
            <w:vAlign w:val="top"/>
          </w:tcPr>
          <w:p w14:paraId="5DB50B7F">
            <w:pPr>
              <w:rPr>
                <w:rFonts w:ascii="Arial"/>
                <w:color w:val="auto"/>
                <w:sz w:val="21"/>
                <w:highlight w:val="none"/>
              </w:rPr>
            </w:pPr>
          </w:p>
        </w:tc>
        <w:tc>
          <w:tcPr>
            <w:tcW w:w="1274" w:type="dxa"/>
            <w:vAlign w:val="top"/>
          </w:tcPr>
          <w:p w14:paraId="0827FDF3">
            <w:pPr>
              <w:rPr>
                <w:rFonts w:ascii="Arial"/>
                <w:color w:val="auto"/>
                <w:sz w:val="21"/>
                <w:highlight w:val="none"/>
              </w:rPr>
            </w:pPr>
          </w:p>
        </w:tc>
        <w:tc>
          <w:tcPr>
            <w:tcW w:w="1007" w:type="dxa"/>
            <w:tcBorders>
              <w:right w:val="single" w:color="000000" w:sz="10" w:space="0"/>
            </w:tcBorders>
            <w:vAlign w:val="top"/>
          </w:tcPr>
          <w:p w14:paraId="6BB61453">
            <w:pPr>
              <w:rPr>
                <w:rFonts w:ascii="Arial"/>
                <w:color w:val="auto"/>
                <w:sz w:val="21"/>
                <w:highlight w:val="none"/>
              </w:rPr>
            </w:pPr>
          </w:p>
        </w:tc>
      </w:tr>
      <w:tr w14:paraId="534D3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58C5BB53">
            <w:pPr>
              <w:rPr>
                <w:rFonts w:ascii="Arial"/>
                <w:color w:val="auto"/>
                <w:sz w:val="21"/>
                <w:highlight w:val="none"/>
              </w:rPr>
            </w:pPr>
          </w:p>
        </w:tc>
        <w:tc>
          <w:tcPr>
            <w:tcW w:w="1412" w:type="dxa"/>
            <w:vAlign w:val="top"/>
          </w:tcPr>
          <w:p w14:paraId="1DB26465">
            <w:pPr>
              <w:rPr>
                <w:rFonts w:ascii="Arial"/>
                <w:color w:val="auto"/>
                <w:sz w:val="21"/>
                <w:highlight w:val="none"/>
              </w:rPr>
            </w:pPr>
          </w:p>
        </w:tc>
        <w:tc>
          <w:tcPr>
            <w:tcW w:w="848" w:type="dxa"/>
            <w:vAlign w:val="top"/>
          </w:tcPr>
          <w:p w14:paraId="7C642985">
            <w:pPr>
              <w:rPr>
                <w:rFonts w:ascii="Arial"/>
                <w:color w:val="auto"/>
                <w:sz w:val="21"/>
                <w:highlight w:val="none"/>
              </w:rPr>
            </w:pPr>
          </w:p>
        </w:tc>
        <w:tc>
          <w:tcPr>
            <w:tcW w:w="708" w:type="dxa"/>
            <w:vAlign w:val="top"/>
          </w:tcPr>
          <w:p w14:paraId="3987612E">
            <w:pPr>
              <w:rPr>
                <w:rFonts w:ascii="Arial"/>
                <w:color w:val="auto"/>
                <w:sz w:val="21"/>
                <w:highlight w:val="none"/>
              </w:rPr>
            </w:pPr>
          </w:p>
        </w:tc>
        <w:tc>
          <w:tcPr>
            <w:tcW w:w="848" w:type="dxa"/>
            <w:vAlign w:val="top"/>
          </w:tcPr>
          <w:p w14:paraId="701D6A23">
            <w:pPr>
              <w:rPr>
                <w:rFonts w:ascii="Arial"/>
                <w:color w:val="auto"/>
                <w:sz w:val="21"/>
                <w:highlight w:val="none"/>
              </w:rPr>
            </w:pPr>
          </w:p>
        </w:tc>
        <w:tc>
          <w:tcPr>
            <w:tcW w:w="848" w:type="dxa"/>
            <w:vAlign w:val="top"/>
          </w:tcPr>
          <w:p w14:paraId="4F48FAE7">
            <w:pPr>
              <w:rPr>
                <w:rFonts w:ascii="Arial"/>
                <w:color w:val="auto"/>
                <w:sz w:val="21"/>
                <w:highlight w:val="none"/>
              </w:rPr>
            </w:pPr>
          </w:p>
        </w:tc>
        <w:tc>
          <w:tcPr>
            <w:tcW w:w="1274" w:type="dxa"/>
            <w:vAlign w:val="top"/>
          </w:tcPr>
          <w:p w14:paraId="5324306E">
            <w:pPr>
              <w:rPr>
                <w:rFonts w:ascii="Arial"/>
                <w:color w:val="auto"/>
                <w:sz w:val="21"/>
                <w:highlight w:val="none"/>
              </w:rPr>
            </w:pPr>
          </w:p>
        </w:tc>
        <w:tc>
          <w:tcPr>
            <w:tcW w:w="1274" w:type="dxa"/>
            <w:vAlign w:val="top"/>
          </w:tcPr>
          <w:p w14:paraId="5E8B821A">
            <w:pPr>
              <w:rPr>
                <w:rFonts w:ascii="Arial"/>
                <w:color w:val="auto"/>
                <w:sz w:val="21"/>
                <w:highlight w:val="none"/>
              </w:rPr>
            </w:pPr>
          </w:p>
        </w:tc>
        <w:tc>
          <w:tcPr>
            <w:tcW w:w="1007" w:type="dxa"/>
            <w:tcBorders>
              <w:right w:val="single" w:color="000000" w:sz="10" w:space="0"/>
            </w:tcBorders>
            <w:vAlign w:val="top"/>
          </w:tcPr>
          <w:p w14:paraId="62FCCB3D">
            <w:pPr>
              <w:rPr>
                <w:rFonts w:ascii="Arial"/>
                <w:color w:val="auto"/>
                <w:sz w:val="21"/>
                <w:highlight w:val="none"/>
              </w:rPr>
            </w:pPr>
          </w:p>
        </w:tc>
      </w:tr>
      <w:tr w14:paraId="3C2A0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16DFDD7E">
            <w:pPr>
              <w:rPr>
                <w:rFonts w:ascii="Arial"/>
                <w:color w:val="auto"/>
                <w:sz w:val="21"/>
                <w:highlight w:val="none"/>
              </w:rPr>
            </w:pPr>
          </w:p>
        </w:tc>
        <w:tc>
          <w:tcPr>
            <w:tcW w:w="1412" w:type="dxa"/>
            <w:tcBorders>
              <w:bottom w:val="single" w:color="000000" w:sz="10" w:space="0"/>
            </w:tcBorders>
            <w:vAlign w:val="top"/>
          </w:tcPr>
          <w:p w14:paraId="68E01273">
            <w:pPr>
              <w:rPr>
                <w:rFonts w:ascii="Arial"/>
                <w:color w:val="auto"/>
                <w:sz w:val="21"/>
                <w:highlight w:val="none"/>
              </w:rPr>
            </w:pPr>
          </w:p>
        </w:tc>
        <w:tc>
          <w:tcPr>
            <w:tcW w:w="848" w:type="dxa"/>
            <w:tcBorders>
              <w:bottom w:val="single" w:color="000000" w:sz="10" w:space="0"/>
            </w:tcBorders>
            <w:vAlign w:val="top"/>
          </w:tcPr>
          <w:p w14:paraId="14568587">
            <w:pPr>
              <w:rPr>
                <w:rFonts w:ascii="Arial"/>
                <w:color w:val="auto"/>
                <w:sz w:val="21"/>
                <w:highlight w:val="none"/>
              </w:rPr>
            </w:pPr>
          </w:p>
        </w:tc>
        <w:tc>
          <w:tcPr>
            <w:tcW w:w="708" w:type="dxa"/>
            <w:tcBorders>
              <w:bottom w:val="single" w:color="000000" w:sz="10" w:space="0"/>
            </w:tcBorders>
            <w:vAlign w:val="top"/>
          </w:tcPr>
          <w:p w14:paraId="36CBA82D">
            <w:pPr>
              <w:rPr>
                <w:rFonts w:ascii="Arial"/>
                <w:color w:val="auto"/>
                <w:sz w:val="21"/>
                <w:highlight w:val="none"/>
              </w:rPr>
            </w:pPr>
          </w:p>
        </w:tc>
        <w:tc>
          <w:tcPr>
            <w:tcW w:w="848" w:type="dxa"/>
            <w:tcBorders>
              <w:bottom w:val="single" w:color="000000" w:sz="10" w:space="0"/>
            </w:tcBorders>
            <w:vAlign w:val="top"/>
          </w:tcPr>
          <w:p w14:paraId="1478EEA3">
            <w:pPr>
              <w:rPr>
                <w:rFonts w:ascii="Arial"/>
                <w:color w:val="auto"/>
                <w:sz w:val="21"/>
                <w:highlight w:val="none"/>
              </w:rPr>
            </w:pPr>
          </w:p>
        </w:tc>
        <w:tc>
          <w:tcPr>
            <w:tcW w:w="848" w:type="dxa"/>
            <w:tcBorders>
              <w:bottom w:val="single" w:color="000000" w:sz="10" w:space="0"/>
            </w:tcBorders>
            <w:vAlign w:val="top"/>
          </w:tcPr>
          <w:p w14:paraId="22D0AA7A">
            <w:pPr>
              <w:rPr>
                <w:rFonts w:ascii="Arial"/>
                <w:color w:val="auto"/>
                <w:sz w:val="21"/>
                <w:highlight w:val="none"/>
              </w:rPr>
            </w:pPr>
          </w:p>
        </w:tc>
        <w:tc>
          <w:tcPr>
            <w:tcW w:w="1274" w:type="dxa"/>
            <w:tcBorders>
              <w:bottom w:val="single" w:color="000000" w:sz="10" w:space="0"/>
            </w:tcBorders>
            <w:vAlign w:val="top"/>
          </w:tcPr>
          <w:p w14:paraId="6E7BC41D">
            <w:pPr>
              <w:rPr>
                <w:rFonts w:ascii="Arial"/>
                <w:color w:val="auto"/>
                <w:sz w:val="21"/>
                <w:highlight w:val="none"/>
              </w:rPr>
            </w:pPr>
          </w:p>
        </w:tc>
        <w:tc>
          <w:tcPr>
            <w:tcW w:w="1274" w:type="dxa"/>
            <w:tcBorders>
              <w:bottom w:val="single" w:color="000000" w:sz="10" w:space="0"/>
            </w:tcBorders>
            <w:vAlign w:val="top"/>
          </w:tcPr>
          <w:p w14:paraId="46072FB1">
            <w:pPr>
              <w:rPr>
                <w:rFonts w:ascii="Arial"/>
                <w:color w:val="auto"/>
                <w:sz w:val="21"/>
                <w:highlight w:val="none"/>
              </w:rPr>
            </w:pPr>
          </w:p>
        </w:tc>
        <w:tc>
          <w:tcPr>
            <w:tcW w:w="1007" w:type="dxa"/>
            <w:tcBorders>
              <w:bottom w:val="single" w:color="000000" w:sz="10" w:space="0"/>
              <w:right w:val="single" w:color="000000" w:sz="10" w:space="0"/>
            </w:tcBorders>
            <w:vAlign w:val="top"/>
          </w:tcPr>
          <w:p w14:paraId="52F8E50C">
            <w:pPr>
              <w:rPr>
                <w:rFonts w:ascii="Arial"/>
                <w:color w:val="auto"/>
                <w:sz w:val="21"/>
                <w:highlight w:val="none"/>
              </w:rPr>
            </w:pPr>
          </w:p>
        </w:tc>
      </w:tr>
    </w:tbl>
    <w:p w14:paraId="7B945266">
      <w:pPr>
        <w:pStyle w:val="5"/>
        <w:rPr>
          <w:color w:val="auto"/>
          <w:highlight w:val="none"/>
        </w:rPr>
      </w:pPr>
    </w:p>
    <w:p w14:paraId="44E755AF">
      <w:pPr>
        <w:rPr>
          <w:color w:val="auto"/>
          <w:highlight w:val="none"/>
        </w:rPr>
        <w:sectPr>
          <w:footerReference r:id="rId103" w:type="default"/>
          <w:pgSz w:w="11905" w:h="16839"/>
          <w:pgMar w:top="400" w:right="1450" w:bottom="1004" w:left="1459" w:header="0" w:footer="828" w:gutter="0"/>
          <w:pgNumType w:fmt="decimal"/>
          <w:cols w:space="720" w:num="1"/>
        </w:sectPr>
      </w:pPr>
    </w:p>
    <w:p w14:paraId="3FB0C5B6">
      <w:pPr>
        <w:pStyle w:val="5"/>
        <w:spacing w:line="276" w:lineRule="auto"/>
        <w:rPr>
          <w:color w:val="auto"/>
          <w:highlight w:val="none"/>
        </w:rPr>
      </w:pPr>
    </w:p>
    <w:p w14:paraId="07C52BFC">
      <w:pPr>
        <w:pStyle w:val="5"/>
        <w:spacing w:line="276" w:lineRule="auto"/>
        <w:rPr>
          <w:color w:val="auto"/>
          <w:highlight w:val="none"/>
        </w:rPr>
      </w:pPr>
    </w:p>
    <w:p w14:paraId="0A7B52CC">
      <w:pPr>
        <w:pStyle w:val="5"/>
        <w:spacing w:line="276" w:lineRule="auto"/>
        <w:rPr>
          <w:color w:val="auto"/>
          <w:highlight w:val="none"/>
        </w:rPr>
      </w:pPr>
    </w:p>
    <w:p w14:paraId="1C5B7EF9">
      <w:pPr>
        <w:pStyle w:val="5"/>
        <w:spacing w:line="276" w:lineRule="auto"/>
        <w:rPr>
          <w:color w:val="auto"/>
          <w:highlight w:val="none"/>
        </w:rPr>
      </w:pPr>
    </w:p>
    <w:p w14:paraId="6C6DA652">
      <w:pPr>
        <w:spacing w:before="78" w:line="219" w:lineRule="auto"/>
        <w:ind w:left="79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6</w:t>
      </w:r>
      <w:r>
        <w:rPr>
          <w:rFonts w:ascii="宋体" w:hAnsi="宋体" w:eastAsia="宋体" w:cs="宋体"/>
          <w:color w:val="auto"/>
          <w:spacing w:val="-10"/>
          <w:sz w:val="24"/>
          <w:szCs w:val="24"/>
          <w:highlight w:val="none"/>
        </w:rPr>
        <w:t>：</w:t>
      </w:r>
    </w:p>
    <w:p w14:paraId="295E5B87">
      <w:pPr>
        <w:spacing w:before="243" w:line="224" w:lineRule="auto"/>
        <w:ind w:left="3250"/>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承包人主要施工管理人员表</w:t>
      </w:r>
    </w:p>
    <w:p w14:paraId="6F245E06">
      <w:pPr>
        <w:spacing w:line="113" w:lineRule="exact"/>
        <w:rPr>
          <w:color w:val="auto"/>
          <w:highlight w:val="none"/>
        </w:rPr>
      </w:pPr>
    </w:p>
    <w:tbl>
      <w:tblPr>
        <w:tblStyle w:val="17"/>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3C0CA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4AA4C6F">
            <w:pPr>
              <w:pStyle w:val="18"/>
              <w:spacing w:before="177" w:line="223" w:lineRule="auto"/>
              <w:ind w:left="513"/>
              <w:rPr>
                <w:color w:val="auto"/>
                <w:highlight w:val="none"/>
              </w:rPr>
            </w:pPr>
            <w:r>
              <w:rPr>
                <w:color w:val="auto"/>
                <w:spacing w:val="-5"/>
                <w:highlight w:val="none"/>
              </w:rPr>
              <w:t>名</w:t>
            </w:r>
            <w:r>
              <w:rPr>
                <w:color w:val="auto"/>
                <w:spacing w:val="2"/>
                <w:highlight w:val="none"/>
              </w:rPr>
              <w:t xml:space="preserve">    </w:t>
            </w:r>
            <w:r>
              <w:rPr>
                <w:color w:val="auto"/>
                <w:spacing w:val="-5"/>
                <w:highlight w:val="none"/>
              </w:rPr>
              <w:t>称</w:t>
            </w:r>
          </w:p>
        </w:tc>
        <w:tc>
          <w:tcPr>
            <w:tcW w:w="1413" w:type="dxa"/>
            <w:tcBorders>
              <w:top w:val="single" w:color="000000" w:sz="10" w:space="0"/>
            </w:tcBorders>
            <w:vAlign w:val="top"/>
          </w:tcPr>
          <w:p w14:paraId="32D7D251">
            <w:pPr>
              <w:pStyle w:val="18"/>
              <w:spacing w:before="177" w:line="221" w:lineRule="auto"/>
              <w:ind w:left="497"/>
              <w:rPr>
                <w:color w:val="auto"/>
                <w:highlight w:val="none"/>
              </w:rPr>
            </w:pPr>
            <w:r>
              <w:rPr>
                <w:color w:val="auto"/>
                <w:spacing w:val="-2"/>
                <w:highlight w:val="none"/>
              </w:rPr>
              <w:t>姓名</w:t>
            </w:r>
          </w:p>
        </w:tc>
        <w:tc>
          <w:tcPr>
            <w:tcW w:w="1134" w:type="dxa"/>
            <w:tcBorders>
              <w:top w:val="single" w:color="000000" w:sz="10" w:space="0"/>
            </w:tcBorders>
            <w:vAlign w:val="top"/>
          </w:tcPr>
          <w:p w14:paraId="06E508CD">
            <w:pPr>
              <w:pStyle w:val="18"/>
              <w:spacing w:before="177" w:line="221" w:lineRule="auto"/>
              <w:ind w:left="357"/>
              <w:rPr>
                <w:color w:val="auto"/>
                <w:highlight w:val="none"/>
              </w:rPr>
            </w:pPr>
            <w:r>
              <w:rPr>
                <w:color w:val="auto"/>
                <w:spacing w:val="-2"/>
                <w:highlight w:val="none"/>
              </w:rPr>
              <w:t>职务</w:t>
            </w:r>
          </w:p>
        </w:tc>
        <w:tc>
          <w:tcPr>
            <w:tcW w:w="1130" w:type="dxa"/>
            <w:tcBorders>
              <w:top w:val="single" w:color="000000" w:sz="10" w:space="0"/>
            </w:tcBorders>
            <w:vAlign w:val="top"/>
          </w:tcPr>
          <w:p w14:paraId="7F63E295">
            <w:pPr>
              <w:pStyle w:val="18"/>
              <w:spacing w:before="177" w:line="223" w:lineRule="auto"/>
              <w:ind w:left="361"/>
              <w:rPr>
                <w:color w:val="auto"/>
                <w:highlight w:val="none"/>
              </w:rPr>
            </w:pPr>
            <w:r>
              <w:rPr>
                <w:color w:val="auto"/>
                <w:spacing w:val="-2"/>
                <w:highlight w:val="none"/>
              </w:rPr>
              <w:t>职称</w:t>
            </w:r>
          </w:p>
        </w:tc>
        <w:tc>
          <w:tcPr>
            <w:tcW w:w="4261" w:type="dxa"/>
            <w:tcBorders>
              <w:top w:val="single" w:color="000000" w:sz="10" w:space="0"/>
              <w:right w:val="single" w:color="000000" w:sz="10" w:space="0"/>
            </w:tcBorders>
            <w:vAlign w:val="top"/>
          </w:tcPr>
          <w:p w14:paraId="00B508BA">
            <w:pPr>
              <w:pStyle w:val="18"/>
              <w:spacing w:before="177" w:line="221" w:lineRule="auto"/>
              <w:ind w:left="668"/>
              <w:rPr>
                <w:color w:val="auto"/>
                <w:highlight w:val="none"/>
              </w:rPr>
            </w:pPr>
            <w:r>
              <w:rPr>
                <w:color w:val="auto"/>
                <w:spacing w:val="-1"/>
                <w:highlight w:val="none"/>
              </w:rPr>
              <w:t>主要资历、经验及承担过的项目</w:t>
            </w:r>
          </w:p>
        </w:tc>
      </w:tr>
      <w:tr w14:paraId="7EAE7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4888BADA">
            <w:pPr>
              <w:pStyle w:val="18"/>
              <w:spacing w:before="200" w:line="221" w:lineRule="auto"/>
              <w:ind w:left="4279"/>
              <w:rPr>
                <w:color w:val="auto"/>
                <w:highlight w:val="none"/>
              </w:rPr>
            </w:pPr>
            <w:r>
              <w:rPr>
                <w:color w:val="auto"/>
                <w:spacing w:val="-3"/>
                <w:highlight w:val="none"/>
              </w:rPr>
              <w:t>一、总部人员</w:t>
            </w:r>
          </w:p>
        </w:tc>
      </w:tr>
      <w:tr w14:paraId="0EB0F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6FED603">
            <w:pPr>
              <w:pStyle w:val="18"/>
              <w:spacing w:before="173" w:line="221" w:lineRule="auto"/>
              <w:ind w:left="514"/>
              <w:rPr>
                <w:color w:val="auto"/>
                <w:highlight w:val="none"/>
              </w:rPr>
            </w:pPr>
            <w:r>
              <w:rPr>
                <w:color w:val="auto"/>
                <w:spacing w:val="-2"/>
                <w:highlight w:val="none"/>
              </w:rPr>
              <w:t>项目主管</w:t>
            </w:r>
          </w:p>
        </w:tc>
        <w:tc>
          <w:tcPr>
            <w:tcW w:w="1413" w:type="dxa"/>
            <w:vAlign w:val="top"/>
          </w:tcPr>
          <w:p w14:paraId="4C30278D">
            <w:pPr>
              <w:rPr>
                <w:rFonts w:ascii="Arial"/>
                <w:color w:val="auto"/>
                <w:sz w:val="21"/>
                <w:highlight w:val="none"/>
              </w:rPr>
            </w:pPr>
          </w:p>
        </w:tc>
        <w:tc>
          <w:tcPr>
            <w:tcW w:w="1134" w:type="dxa"/>
            <w:vAlign w:val="top"/>
          </w:tcPr>
          <w:p w14:paraId="2AD191CB">
            <w:pPr>
              <w:rPr>
                <w:rFonts w:ascii="Arial"/>
                <w:color w:val="auto"/>
                <w:sz w:val="21"/>
                <w:highlight w:val="none"/>
              </w:rPr>
            </w:pPr>
          </w:p>
        </w:tc>
        <w:tc>
          <w:tcPr>
            <w:tcW w:w="1130" w:type="dxa"/>
            <w:vAlign w:val="top"/>
          </w:tcPr>
          <w:p w14:paraId="1A9EE3E4">
            <w:pPr>
              <w:rPr>
                <w:rFonts w:ascii="Arial"/>
                <w:color w:val="auto"/>
                <w:sz w:val="21"/>
                <w:highlight w:val="none"/>
              </w:rPr>
            </w:pPr>
          </w:p>
        </w:tc>
        <w:tc>
          <w:tcPr>
            <w:tcW w:w="4261" w:type="dxa"/>
            <w:tcBorders>
              <w:right w:val="single" w:color="000000" w:sz="10" w:space="0"/>
            </w:tcBorders>
            <w:vAlign w:val="top"/>
          </w:tcPr>
          <w:p w14:paraId="012BF3B9">
            <w:pPr>
              <w:rPr>
                <w:rFonts w:ascii="Arial"/>
                <w:color w:val="auto"/>
                <w:sz w:val="21"/>
                <w:highlight w:val="none"/>
              </w:rPr>
            </w:pPr>
          </w:p>
        </w:tc>
      </w:tr>
      <w:tr w14:paraId="212FB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7B71FF39">
            <w:pPr>
              <w:spacing w:line="280" w:lineRule="auto"/>
              <w:rPr>
                <w:rFonts w:ascii="Arial"/>
                <w:color w:val="auto"/>
                <w:sz w:val="21"/>
                <w:highlight w:val="none"/>
              </w:rPr>
            </w:pPr>
          </w:p>
          <w:p w14:paraId="48390EC5">
            <w:pPr>
              <w:spacing w:line="280" w:lineRule="auto"/>
              <w:rPr>
                <w:rFonts w:ascii="Arial"/>
                <w:color w:val="auto"/>
                <w:sz w:val="21"/>
                <w:highlight w:val="none"/>
              </w:rPr>
            </w:pPr>
          </w:p>
          <w:p w14:paraId="5816DC1C">
            <w:pPr>
              <w:pStyle w:val="18"/>
              <w:spacing w:before="68" w:line="221" w:lineRule="auto"/>
              <w:ind w:left="512"/>
              <w:rPr>
                <w:color w:val="auto"/>
                <w:highlight w:val="none"/>
              </w:rPr>
            </w:pPr>
            <w:r>
              <w:rPr>
                <w:color w:val="auto"/>
                <w:spacing w:val="-1"/>
                <w:highlight w:val="none"/>
              </w:rPr>
              <w:t>其他人员</w:t>
            </w:r>
          </w:p>
        </w:tc>
        <w:tc>
          <w:tcPr>
            <w:tcW w:w="1413" w:type="dxa"/>
            <w:vAlign w:val="top"/>
          </w:tcPr>
          <w:p w14:paraId="5527C57E">
            <w:pPr>
              <w:rPr>
                <w:rFonts w:ascii="Arial"/>
                <w:color w:val="auto"/>
                <w:sz w:val="21"/>
                <w:highlight w:val="none"/>
              </w:rPr>
            </w:pPr>
          </w:p>
        </w:tc>
        <w:tc>
          <w:tcPr>
            <w:tcW w:w="1134" w:type="dxa"/>
            <w:vAlign w:val="top"/>
          </w:tcPr>
          <w:p w14:paraId="153A6C8C">
            <w:pPr>
              <w:rPr>
                <w:rFonts w:ascii="Arial"/>
                <w:color w:val="auto"/>
                <w:sz w:val="21"/>
                <w:highlight w:val="none"/>
              </w:rPr>
            </w:pPr>
          </w:p>
        </w:tc>
        <w:tc>
          <w:tcPr>
            <w:tcW w:w="1130" w:type="dxa"/>
            <w:vAlign w:val="top"/>
          </w:tcPr>
          <w:p w14:paraId="7751EEEF">
            <w:pPr>
              <w:rPr>
                <w:rFonts w:ascii="Arial"/>
                <w:color w:val="auto"/>
                <w:sz w:val="21"/>
                <w:highlight w:val="none"/>
              </w:rPr>
            </w:pPr>
          </w:p>
        </w:tc>
        <w:tc>
          <w:tcPr>
            <w:tcW w:w="4261" w:type="dxa"/>
            <w:tcBorders>
              <w:right w:val="single" w:color="000000" w:sz="10" w:space="0"/>
            </w:tcBorders>
            <w:vAlign w:val="top"/>
          </w:tcPr>
          <w:p w14:paraId="0C1D3965">
            <w:pPr>
              <w:rPr>
                <w:rFonts w:ascii="Arial"/>
                <w:color w:val="auto"/>
                <w:sz w:val="21"/>
                <w:highlight w:val="none"/>
              </w:rPr>
            </w:pPr>
          </w:p>
        </w:tc>
      </w:tr>
      <w:tr w14:paraId="25433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6C5AE31">
            <w:pPr>
              <w:rPr>
                <w:rFonts w:ascii="Arial"/>
                <w:color w:val="auto"/>
                <w:sz w:val="21"/>
                <w:highlight w:val="none"/>
              </w:rPr>
            </w:pPr>
          </w:p>
        </w:tc>
        <w:tc>
          <w:tcPr>
            <w:tcW w:w="1413" w:type="dxa"/>
            <w:vAlign w:val="top"/>
          </w:tcPr>
          <w:p w14:paraId="78A50FBB">
            <w:pPr>
              <w:rPr>
                <w:rFonts w:ascii="Arial"/>
                <w:color w:val="auto"/>
                <w:sz w:val="21"/>
                <w:highlight w:val="none"/>
              </w:rPr>
            </w:pPr>
          </w:p>
        </w:tc>
        <w:tc>
          <w:tcPr>
            <w:tcW w:w="1134" w:type="dxa"/>
            <w:vAlign w:val="top"/>
          </w:tcPr>
          <w:p w14:paraId="28C662F4">
            <w:pPr>
              <w:rPr>
                <w:rFonts w:ascii="Arial"/>
                <w:color w:val="auto"/>
                <w:sz w:val="21"/>
                <w:highlight w:val="none"/>
              </w:rPr>
            </w:pPr>
          </w:p>
        </w:tc>
        <w:tc>
          <w:tcPr>
            <w:tcW w:w="1130" w:type="dxa"/>
            <w:vAlign w:val="top"/>
          </w:tcPr>
          <w:p w14:paraId="79D92A3A">
            <w:pPr>
              <w:rPr>
                <w:rFonts w:ascii="Arial"/>
                <w:color w:val="auto"/>
                <w:sz w:val="21"/>
                <w:highlight w:val="none"/>
              </w:rPr>
            </w:pPr>
          </w:p>
        </w:tc>
        <w:tc>
          <w:tcPr>
            <w:tcW w:w="4261" w:type="dxa"/>
            <w:tcBorders>
              <w:right w:val="single" w:color="000000" w:sz="10" w:space="0"/>
            </w:tcBorders>
            <w:vAlign w:val="top"/>
          </w:tcPr>
          <w:p w14:paraId="344E589E">
            <w:pPr>
              <w:rPr>
                <w:rFonts w:ascii="Arial"/>
                <w:color w:val="auto"/>
                <w:sz w:val="21"/>
                <w:highlight w:val="none"/>
              </w:rPr>
            </w:pPr>
          </w:p>
        </w:tc>
      </w:tr>
      <w:tr w14:paraId="13182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45E3672E">
            <w:pPr>
              <w:rPr>
                <w:rFonts w:ascii="Arial"/>
                <w:color w:val="auto"/>
                <w:sz w:val="21"/>
                <w:highlight w:val="none"/>
              </w:rPr>
            </w:pPr>
          </w:p>
        </w:tc>
        <w:tc>
          <w:tcPr>
            <w:tcW w:w="1413" w:type="dxa"/>
            <w:vAlign w:val="top"/>
          </w:tcPr>
          <w:p w14:paraId="56FF583F">
            <w:pPr>
              <w:rPr>
                <w:rFonts w:ascii="Arial"/>
                <w:color w:val="auto"/>
                <w:sz w:val="21"/>
                <w:highlight w:val="none"/>
              </w:rPr>
            </w:pPr>
          </w:p>
        </w:tc>
        <w:tc>
          <w:tcPr>
            <w:tcW w:w="1134" w:type="dxa"/>
            <w:vAlign w:val="top"/>
          </w:tcPr>
          <w:p w14:paraId="28B838F2">
            <w:pPr>
              <w:rPr>
                <w:rFonts w:ascii="Arial"/>
                <w:color w:val="auto"/>
                <w:sz w:val="21"/>
                <w:highlight w:val="none"/>
              </w:rPr>
            </w:pPr>
          </w:p>
        </w:tc>
        <w:tc>
          <w:tcPr>
            <w:tcW w:w="1130" w:type="dxa"/>
            <w:vAlign w:val="top"/>
          </w:tcPr>
          <w:p w14:paraId="618F47FA">
            <w:pPr>
              <w:rPr>
                <w:rFonts w:ascii="Arial"/>
                <w:color w:val="auto"/>
                <w:sz w:val="21"/>
                <w:highlight w:val="none"/>
              </w:rPr>
            </w:pPr>
          </w:p>
        </w:tc>
        <w:tc>
          <w:tcPr>
            <w:tcW w:w="4261" w:type="dxa"/>
            <w:tcBorders>
              <w:right w:val="single" w:color="000000" w:sz="10" w:space="0"/>
            </w:tcBorders>
            <w:vAlign w:val="top"/>
          </w:tcPr>
          <w:p w14:paraId="488DFECB">
            <w:pPr>
              <w:rPr>
                <w:rFonts w:ascii="Arial"/>
                <w:color w:val="auto"/>
                <w:sz w:val="21"/>
                <w:highlight w:val="none"/>
              </w:rPr>
            </w:pPr>
          </w:p>
        </w:tc>
      </w:tr>
      <w:tr w14:paraId="36827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5772F512">
            <w:pPr>
              <w:pStyle w:val="18"/>
              <w:spacing w:before="178" w:line="221" w:lineRule="auto"/>
              <w:ind w:left="4279"/>
              <w:rPr>
                <w:color w:val="auto"/>
                <w:highlight w:val="none"/>
              </w:rPr>
            </w:pPr>
            <w:r>
              <w:rPr>
                <w:color w:val="auto"/>
                <w:spacing w:val="-1"/>
                <w:highlight w:val="none"/>
              </w:rPr>
              <w:t>二、现场人员</w:t>
            </w:r>
          </w:p>
        </w:tc>
      </w:tr>
      <w:tr w14:paraId="04779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FC10179">
            <w:pPr>
              <w:pStyle w:val="18"/>
              <w:spacing w:before="179" w:line="221" w:lineRule="auto"/>
              <w:ind w:left="514"/>
              <w:rPr>
                <w:color w:val="auto"/>
                <w:highlight w:val="none"/>
              </w:rPr>
            </w:pPr>
            <w:r>
              <w:rPr>
                <w:color w:val="auto"/>
                <w:spacing w:val="-2"/>
                <w:highlight w:val="none"/>
              </w:rPr>
              <w:t>项目经理</w:t>
            </w:r>
          </w:p>
        </w:tc>
        <w:tc>
          <w:tcPr>
            <w:tcW w:w="1413" w:type="dxa"/>
            <w:vAlign w:val="top"/>
          </w:tcPr>
          <w:p w14:paraId="54AFE58E">
            <w:pPr>
              <w:rPr>
                <w:rFonts w:ascii="Arial"/>
                <w:color w:val="auto"/>
                <w:sz w:val="21"/>
                <w:highlight w:val="none"/>
              </w:rPr>
            </w:pPr>
          </w:p>
        </w:tc>
        <w:tc>
          <w:tcPr>
            <w:tcW w:w="1134" w:type="dxa"/>
            <w:vAlign w:val="top"/>
          </w:tcPr>
          <w:p w14:paraId="276654C3">
            <w:pPr>
              <w:rPr>
                <w:rFonts w:ascii="Arial"/>
                <w:color w:val="auto"/>
                <w:sz w:val="21"/>
                <w:highlight w:val="none"/>
              </w:rPr>
            </w:pPr>
          </w:p>
        </w:tc>
        <w:tc>
          <w:tcPr>
            <w:tcW w:w="1130" w:type="dxa"/>
            <w:vAlign w:val="top"/>
          </w:tcPr>
          <w:p w14:paraId="2F4A2C60">
            <w:pPr>
              <w:rPr>
                <w:rFonts w:ascii="Arial"/>
                <w:color w:val="auto"/>
                <w:sz w:val="21"/>
                <w:highlight w:val="none"/>
              </w:rPr>
            </w:pPr>
          </w:p>
        </w:tc>
        <w:tc>
          <w:tcPr>
            <w:tcW w:w="4261" w:type="dxa"/>
            <w:tcBorders>
              <w:right w:val="single" w:color="000000" w:sz="10" w:space="0"/>
            </w:tcBorders>
            <w:vAlign w:val="top"/>
          </w:tcPr>
          <w:p w14:paraId="44497053">
            <w:pPr>
              <w:rPr>
                <w:rFonts w:ascii="Arial"/>
                <w:color w:val="auto"/>
                <w:sz w:val="21"/>
                <w:highlight w:val="none"/>
              </w:rPr>
            </w:pPr>
          </w:p>
        </w:tc>
      </w:tr>
      <w:tr w14:paraId="71B48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5AC5691">
            <w:pPr>
              <w:pStyle w:val="18"/>
              <w:spacing w:before="180" w:line="221" w:lineRule="auto"/>
              <w:ind w:left="409"/>
              <w:rPr>
                <w:color w:val="auto"/>
                <w:highlight w:val="none"/>
              </w:rPr>
            </w:pPr>
            <w:r>
              <w:rPr>
                <w:color w:val="auto"/>
                <w:spacing w:val="-1"/>
                <w:highlight w:val="none"/>
              </w:rPr>
              <w:t>项目副经理</w:t>
            </w:r>
          </w:p>
        </w:tc>
        <w:tc>
          <w:tcPr>
            <w:tcW w:w="1413" w:type="dxa"/>
            <w:vAlign w:val="top"/>
          </w:tcPr>
          <w:p w14:paraId="752F957F">
            <w:pPr>
              <w:rPr>
                <w:rFonts w:ascii="Arial"/>
                <w:color w:val="auto"/>
                <w:sz w:val="21"/>
                <w:highlight w:val="none"/>
              </w:rPr>
            </w:pPr>
          </w:p>
        </w:tc>
        <w:tc>
          <w:tcPr>
            <w:tcW w:w="1134" w:type="dxa"/>
            <w:vAlign w:val="top"/>
          </w:tcPr>
          <w:p w14:paraId="41B4AB6C">
            <w:pPr>
              <w:rPr>
                <w:rFonts w:ascii="Arial"/>
                <w:color w:val="auto"/>
                <w:sz w:val="21"/>
                <w:highlight w:val="none"/>
              </w:rPr>
            </w:pPr>
          </w:p>
        </w:tc>
        <w:tc>
          <w:tcPr>
            <w:tcW w:w="1130" w:type="dxa"/>
            <w:vAlign w:val="top"/>
          </w:tcPr>
          <w:p w14:paraId="1C36B0B2">
            <w:pPr>
              <w:rPr>
                <w:rFonts w:ascii="Arial"/>
                <w:color w:val="auto"/>
                <w:sz w:val="21"/>
                <w:highlight w:val="none"/>
              </w:rPr>
            </w:pPr>
          </w:p>
        </w:tc>
        <w:tc>
          <w:tcPr>
            <w:tcW w:w="4261" w:type="dxa"/>
            <w:tcBorders>
              <w:right w:val="single" w:color="000000" w:sz="10" w:space="0"/>
            </w:tcBorders>
            <w:vAlign w:val="top"/>
          </w:tcPr>
          <w:p w14:paraId="7B76FEDB">
            <w:pPr>
              <w:rPr>
                <w:rFonts w:ascii="Arial"/>
                <w:color w:val="auto"/>
                <w:sz w:val="21"/>
                <w:highlight w:val="none"/>
              </w:rPr>
            </w:pPr>
          </w:p>
        </w:tc>
      </w:tr>
      <w:tr w14:paraId="2B4F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2B3535E">
            <w:pPr>
              <w:pStyle w:val="18"/>
              <w:spacing w:before="181" w:line="221" w:lineRule="auto"/>
              <w:ind w:left="406"/>
              <w:rPr>
                <w:color w:val="auto"/>
                <w:highlight w:val="none"/>
              </w:rPr>
            </w:pPr>
            <w:r>
              <w:rPr>
                <w:color w:val="auto"/>
                <w:spacing w:val="-1"/>
                <w:highlight w:val="none"/>
              </w:rPr>
              <w:t>技术负责人</w:t>
            </w:r>
          </w:p>
        </w:tc>
        <w:tc>
          <w:tcPr>
            <w:tcW w:w="1413" w:type="dxa"/>
            <w:vAlign w:val="top"/>
          </w:tcPr>
          <w:p w14:paraId="789FB0D6">
            <w:pPr>
              <w:rPr>
                <w:rFonts w:ascii="Arial"/>
                <w:color w:val="auto"/>
                <w:sz w:val="21"/>
                <w:highlight w:val="none"/>
              </w:rPr>
            </w:pPr>
          </w:p>
        </w:tc>
        <w:tc>
          <w:tcPr>
            <w:tcW w:w="1134" w:type="dxa"/>
            <w:vAlign w:val="top"/>
          </w:tcPr>
          <w:p w14:paraId="698CA4AA">
            <w:pPr>
              <w:rPr>
                <w:rFonts w:ascii="Arial"/>
                <w:color w:val="auto"/>
                <w:sz w:val="21"/>
                <w:highlight w:val="none"/>
              </w:rPr>
            </w:pPr>
          </w:p>
        </w:tc>
        <w:tc>
          <w:tcPr>
            <w:tcW w:w="1130" w:type="dxa"/>
            <w:vAlign w:val="top"/>
          </w:tcPr>
          <w:p w14:paraId="54D81840">
            <w:pPr>
              <w:rPr>
                <w:rFonts w:ascii="Arial"/>
                <w:color w:val="auto"/>
                <w:sz w:val="21"/>
                <w:highlight w:val="none"/>
              </w:rPr>
            </w:pPr>
          </w:p>
        </w:tc>
        <w:tc>
          <w:tcPr>
            <w:tcW w:w="4261" w:type="dxa"/>
            <w:tcBorders>
              <w:right w:val="single" w:color="000000" w:sz="10" w:space="0"/>
            </w:tcBorders>
            <w:vAlign w:val="top"/>
          </w:tcPr>
          <w:p w14:paraId="4073F5C1">
            <w:pPr>
              <w:rPr>
                <w:rFonts w:ascii="Arial"/>
                <w:color w:val="auto"/>
                <w:sz w:val="21"/>
                <w:highlight w:val="none"/>
              </w:rPr>
            </w:pPr>
          </w:p>
        </w:tc>
      </w:tr>
      <w:tr w14:paraId="665FC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57AA5DF8">
            <w:pPr>
              <w:pStyle w:val="18"/>
              <w:spacing w:before="178" w:line="219" w:lineRule="auto"/>
              <w:ind w:left="510"/>
              <w:rPr>
                <w:color w:val="auto"/>
                <w:highlight w:val="none"/>
              </w:rPr>
            </w:pPr>
            <w:r>
              <w:rPr>
                <w:color w:val="auto"/>
                <w:spacing w:val="-1"/>
                <w:highlight w:val="none"/>
              </w:rPr>
              <w:t>造价管理</w:t>
            </w:r>
          </w:p>
        </w:tc>
        <w:tc>
          <w:tcPr>
            <w:tcW w:w="1413" w:type="dxa"/>
            <w:vAlign w:val="top"/>
          </w:tcPr>
          <w:p w14:paraId="20D9A074">
            <w:pPr>
              <w:rPr>
                <w:rFonts w:ascii="Arial"/>
                <w:color w:val="auto"/>
                <w:sz w:val="21"/>
                <w:highlight w:val="none"/>
              </w:rPr>
            </w:pPr>
          </w:p>
        </w:tc>
        <w:tc>
          <w:tcPr>
            <w:tcW w:w="1134" w:type="dxa"/>
            <w:vAlign w:val="top"/>
          </w:tcPr>
          <w:p w14:paraId="23E092A0">
            <w:pPr>
              <w:rPr>
                <w:rFonts w:ascii="Arial"/>
                <w:color w:val="auto"/>
                <w:sz w:val="21"/>
                <w:highlight w:val="none"/>
              </w:rPr>
            </w:pPr>
          </w:p>
        </w:tc>
        <w:tc>
          <w:tcPr>
            <w:tcW w:w="1130" w:type="dxa"/>
            <w:vAlign w:val="top"/>
          </w:tcPr>
          <w:p w14:paraId="3D5079DB">
            <w:pPr>
              <w:rPr>
                <w:rFonts w:ascii="Arial"/>
                <w:color w:val="auto"/>
                <w:sz w:val="21"/>
                <w:highlight w:val="none"/>
              </w:rPr>
            </w:pPr>
          </w:p>
        </w:tc>
        <w:tc>
          <w:tcPr>
            <w:tcW w:w="4261" w:type="dxa"/>
            <w:tcBorders>
              <w:right w:val="single" w:color="000000" w:sz="10" w:space="0"/>
            </w:tcBorders>
            <w:vAlign w:val="top"/>
          </w:tcPr>
          <w:p w14:paraId="25D8110A">
            <w:pPr>
              <w:rPr>
                <w:rFonts w:ascii="Arial"/>
                <w:color w:val="auto"/>
                <w:sz w:val="21"/>
                <w:highlight w:val="none"/>
              </w:rPr>
            </w:pPr>
          </w:p>
        </w:tc>
      </w:tr>
      <w:tr w14:paraId="2D62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06FAC77">
            <w:pPr>
              <w:pStyle w:val="18"/>
              <w:spacing w:before="184" w:line="220" w:lineRule="auto"/>
              <w:ind w:left="512"/>
              <w:rPr>
                <w:color w:val="auto"/>
                <w:highlight w:val="none"/>
              </w:rPr>
            </w:pPr>
            <w:r>
              <w:rPr>
                <w:color w:val="auto"/>
                <w:spacing w:val="-1"/>
                <w:highlight w:val="none"/>
              </w:rPr>
              <w:t>质量管理</w:t>
            </w:r>
          </w:p>
        </w:tc>
        <w:tc>
          <w:tcPr>
            <w:tcW w:w="1413" w:type="dxa"/>
            <w:vAlign w:val="top"/>
          </w:tcPr>
          <w:p w14:paraId="75D0B1F3">
            <w:pPr>
              <w:rPr>
                <w:rFonts w:ascii="Arial"/>
                <w:color w:val="auto"/>
                <w:sz w:val="21"/>
                <w:highlight w:val="none"/>
              </w:rPr>
            </w:pPr>
          </w:p>
        </w:tc>
        <w:tc>
          <w:tcPr>
            <w:tcW w:w="1134" w:type="dxa"/>
            <w:vAlign w:val="top"/>
          </w:tcPr>
          <w:p w14:paraId="6B6E5B96">
            <w:pPr>
              <w:rPr>
                <w:rFonts w:ascii="Arial"/>
                <w:color w:val="auto"/>
                <w:sz w:val="21"/>
                <w:highlight w:val="none"/>
              </w:rPr>
            </w:pPr>
          </w:p>
        </w:tc>
        <w:tc>
          <w:tcPr>
            <w:tcW w:w="1130" w:type="dxa"/>
            <w:vAlign w:val="top"/>
          </w:tcPr>
          <w:p w14:paraId="24B9AA42">
            <w:pPr>
              <w:rPr>
                <w:rFonts w:ascii="Arial"/>
                <w:color w:val="auto"/>
                <w:sz w:val="21"/>
                <w:highlight w:val="none"/>
              </w:rPr>
            </w:pPr>
          </w:p>
        </w:tc>
        <w:tc>
          <w:tcPr>
            <w:tcW w:w="4261" w:type="dxa"/>
            <w:tcBorders>
              <w:right w:val="single" w:color="000000" w:sz="10" w:space="0"/>
            </w:tcBorders>
            <w:vAlign w:val="top"/>
          </w:tcPr>
          <w:p w14:paraId="714E06F3">
            <w:pPr>
              <w:rPr>
                <w:rFonts w:ascii="Arial"/>
                <w:color w:val="auto"/>
                <w:sz w:val="21"/>
                <w:highlight w:val="none"/>
              </w:rPr>
            </w:pPr>
          </w:p>
        </w:tc>
      </w:tr>
      <w:tr w14:paraId="5E2A9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49D02FA">
            <w:pPr>
              <w:pStyle w:val="18"/>
              <w:spacing w:before="185" w:line="219" w:lineRule="auto"/>
              <w:ind w:left="511"/>
              <w:rPr>
                <w:color w:val="auto"/>
                <w:highlight w:val="none"/>
              </w:rPr>
            </w:pPr>
            <w:r>
              <w:rPr>
                <w:color w:val="auto"/>
                <w:spacing w:val="-1"/>
                <w:highlight w:val="none"/>
              </w:rPr>
              <w:t>材料管理</w:t>
            </w:r>
          </w:p>
        </w:tc>
        <w:tc>
          <w:tcPr>
            <w:tcW w:w="1413" w:type="dxa"/>
            <w:vAlign w:val="top"/>
          </w:tcPr>
          <w:p w14:paraId="168C16D1">
            <w:pPr>
              <w:rPr>
                <w:rFonts w:ascii="Arial"/>
                <w:color w:val="auto"/>
                <w:sz w:val="21"/>
                <w:highlight w:val="none"/>
              </w:rPr>
            </w:pPr>
          </w:p>
        </w:tc>
        <w:tc>
          <w:tcPr>
            <w:tcW w:w="1134" w:type="dxa"/>
            <w:vAlign w:val="top"/>
          </w:tcPr>
          <w:p w14:paraId="795EDC45">
            <w:pPr>
              <w:rPr>
                <w:rFonts w:ascii="Arial"/>
                <w:color w:val="auto"/>
                <w:sz w:val="21"/>
                <w:highlight w:val="none"/>
              </w:rPr>
            </w:pPr>
          </w:p>
        </w:tc>
        <w:tc>
          <w:tcPr>
            <w:tcW w:w="1130" w:type="dxa"/>
            <w:vAlign w:val="top"/>
          </w:tcPr>
          <w:p w14:paraId="0AAA099E">
            <w:pPr>
              <w:rPr>
                <w:rFonts w:ascii="Arial"/>
                <w:color w:val="auto"/>
                <w:sz w:val="21"/>
                <w:highlight w:val="none"/>
              </w:rPr>
            </w:pPr>
          </w:p>
        </w:tc>
        <w:tc>
          <w:tcPr>
            <w:tcW w:w="4261" w:type="dxa"/>
            <w:tcBorders>
              <w:right w:val="single" w:color="000000" w:sz="10" w:space="0"/>
            </w:tcBorders>
            <w:vAlign w:val="top"/>
          </w:tcPr>
          <w:p w14:paraId="7B5CE841">
            <w:pPr>
              <w:rPr>
                <w:rFonts w:ascii="Arial"/>
                <w:color w:val="auto"/>
                <w:sz w:val="21"/>
                <w:highlight w:val="none"/>
              </w:rPr>
            </w:pPr>
          </w:p>
        </w:tc>
      </w:tr>
      <w:tr w14:paraId="062B7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AA311A2">
            <w:pPr>
              <w:pStyle w:val="18"/>
              <w:spacing w:before="187" w:line="218" w:lineRule="auto"/>
              <w:ind w:left="511"/>
              <w:rPr>
                <w:color w:val="auto"/>
                <w:highlight w:val="none"/>
              </w:rPr>
            </w:pPr>
            <w:r>
              <w:rPr>
                <w:color w:val="auto"/>
                <w:spacing w:val="-1"/>
                <w:highlight w:val="none"/>
              </w:rPr>
              <w:t>计划管理</w:t>
            </w:r>
          </w:p>
        </w:tc>
        <w:tc>
          <w:tcPr>
            <w:tcW w:w="1413" w:type="dxa"/>
            <w:vAlign w:val="top"/>
          </w:tcPr>
          <w:p w14:paraId="4144963D">
            <w:pPr>
              <w:rPr>
                <w:rFonts w:ascii="Arial"/>
                <w:color w:val="auto"/>
                <w:sz w:val="21"/>
                <w:highlight w:val="none"/>
              </w:rPr>
            </w:pPr>
          </w:p>
        </w:tc>
        <w:tc>
          <w:tcPr>
            <w:tcW w:w="1134" w:type="dxa"/>
            <w:vAlign w:val="top"/>
          </w:tcPr>
          <w:p w14:paraId="4840B55E">
            <w:pPr>
              <w:rPr>
                <w:rFonts w:ascii="Arial"/>
                <w:color w:val="auto"/>
                <w:sz w:val="21"/>
                <w:highlight w:val="none"/>
              </w:rPr>
            </w:pPr>
          </w:p>
        </w:tc>
        <w:tc>
          <w:tcPr>
            <w:tcW w:w="1130" w:type="dxa"/>
            <w:vAlign w:val="top"/>
          </w:tcPr>
          <w:p w14:paraId="5DF6B25E">
            <w:pPr>
              <w:rPr>
                <w:rFonts w:ascii="Arial"/>
                <w:color w:val="auto"/>
                <w:sz w:val="21"/>
                <w:highlight w:val="none"/>
              </w:rPr>
            </w:pPr>
          </w:p>
        </w:tc>
        <w:tc>
          <w:tcPr>
            <w:tcW w:w="4261" w:type="dxa"/>
            <w:tcBorders>
              <w:right w:val="single" w:color="000000" w:sz="10" w:space="0"/>
            </w:tcBorders>
            <w:vAlign w:val="top"/>
          </w:tcPr>
          <w:p w14:paraId="0467231A">
            <w:pPr>
              <w:rPr>
                <w:rFonts w:ascii="Arial"/>
                <w:color w:val="auto"/>
                <w:sz w:val="21"/>
                <w:highlight w:val="none"/>
              </w:rPr>
            </w:pPr>
          </w:p>
        </w:tc>
      </w:tr>
      <w:tr w14:paraId="20C1C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E473FD1">
            <w:pPr>
              <w:pStyle w:val="18"/>
              <w:spacing w:before="188" w:line="217" w:lineRule="auto"/>
              <w:ind w:left="515"/>
              <w:rPr>
                <w:color w:val="auto"/>
                <w:highlight w:val="none"/>
              </w:rPr>
            </w:pPr>
            <w:r>
              <w:rPr>
                <w:color w:val="auto"/>
                <w:spacing w:val="-2"/>
                <w:highlight w:val="none"/>
              </w:rPr>
              <w:t>安全管理</w:t>
            </w:r>
          </w:p>
        </w:tc>
        <w:tc>
          <w:tcPr>
            <w:tcW w:w="1413" w:type="dxa"/>
            <w:vAlign w:val="top"/>
          </w:tcPr>
          <w:p w14:paraId="3D1AB41F">
            <w:pPr>
              <w:rPr>
                <w:rFonts w:ascii="Arial"/>
                <w:color w:val="auto"/>
                <w:sz w:val="21"/>
                <w:highlight w:val="none"/>
              </w:rPr>
            </w:pPr>
          </w:p>
        </w:tc>
        <w:tc>
          <w:tcPr>
            <w:tcW w:w="1134" w:type="dxa"/>
            <w:vAlign w:val="top"/>
          </w:tcPr>
          <w:p w14:paraId="4CB37639">
            <w:pPr>
              <w:rPr>
                <w:rFonts w:ascii="Arial"/>
                <w:color w:val="auto"/>
                <w:sz w:val="21"/>
                <w:highlight w:val="none"/>
              </w:rPr>
            </w:pPr>
          </w:p>
        </w:tc>
        <w:tc>
          <w:tcPr>
            <w:tcW w:w="1130" w:type="dxa"/>
            <w:vAlign w:val="top"/>
          </w:tcPr>
          <w:p w14:paraId="76678452">
            <w:pPr>
              <w:rPr>
                <w:rFonts w:ascii="Arial"/>
                <w:color w:val="auto"/>
                <w:sz w:val="21"/>
                <w:highlight w:val="none"/>
              </w:rPr>
            </w:pPr>
          </w:p>
        </w:tc>
        <w:tc>
          <w:tcPr>
            <w:tcW w:w="4261" w:type="dxa"/>
            <w:tcBorders>
              <w:right w:val="single" w:color="000000" w:sz="10" w:space="0"/>
            </w:tcBorders>
            <w:vAlign w:val="top"/>
          </w:tcPr>
          <w:p w14:paraId="0C96D2FE">
            <w:pPr>
              <w:rPr>
                <w:rFonts w:ascii="Arial"/>
                <w:color w:val="auto"/>
                <w:sz w:val="21"/>
                <w:highlight w:val="none"/>
              </w:rPr>
            </w:pPr>
          </w:p>
        </w:tc>
      </w:tr>
      <w:tr w14:paraId="63786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75685524">
            <w:pPr>
              <w:spacing w:line="249" w:lineRule="auto"/>
              <w:rPr>
                <w:rFonts w:ascii="Arial"/>
                <w:color w:val="auto"/>
                <w:sz w:val="21"/>
                <w:highlight w:val="none"/>
              </w:rPr>
            </w:pPr>
          </w:p>
          <w:p w14:paraId="230404CD">
            <w:pPr>
              <w:spacing w:line="249" w:lineRule="auto"/>
              <w:rPr>
                <w:rFonts w:ascii="Arial"/>
                <w:color w:val="auto"/>
                <w:sz w:val="21"/>
                <w:highlight w:val="none"/>
              </w:rPr>
            </w:pPr>
          </w:p>
          <w:p w14:paraId="5A878B46">
            <w:pPr>
              <w:spacing w:line="249" w:lineRule="auto"/>
              <w:rPr>
                <w:rFonts w:ascii="Arial"/>
                <w:color w:val="auto"/>
                <w:sz w:val="21"/>
                <w:highlight w:val="none"/>
              </w:rPr>
            </w:pPr>
          </w:p>
          <w:p w14:paraId="1DEBDDE1">
            <w:pPr>
              <w:spacing w:line="249" w:lineRule="auto"/>
              <w:rPr>
                <w:rFonts w:ascii="Arial"/>
                <w:color w:val="auto"/>
                <w:sz w:val="21"/>
                <w:highlight w:val="none"/>
              </w:rPr>
            </w:pPr>
          </w:p>
          <w:p w14:paraId="3BECA9E0">
            <w:pPr>
              <w:spacing w:line="250" w:lineRule="auto"/>
              <w:rPr>
                <w:rFonts w:ascii="Arial"/>
                <w:color w:val="auto"/>
                <w:sz w:val="21"/>
                <w:highlight w:val="none"/>
              </w:rPr>
            </w:pPr>
          </w:p>
          <w:p w14:paraId="4DECFF92">
            <w:pPr>
              <w:pStyle w:val="18"/>
              <w:spacing w:before="68" w:line="221" w:lineRule="auto"/>
              <w:ind w:left="512"/>
              <w:rPr>
                <w:color w:val="auto"/>
                <w:highlight w:val="none"/>
              </w:rPr>
            </w:pPr>
            <w:r>
              <w:rPr>
                <w:color w:val="auto"/>
                <w:spacing w:val="-1"/>
                <w:highlight w:val="none"/>
              </w:rPr>
              <w:t>其他人员</w:t>
            </w:r>
          </w:p>
        </w:tc>
        <w:tc>
          <w:tcPr>
            <w:tcW w:w="1413" w:type="dxa"/>
            <w:vAlign w:val="top"/>
          </w:tcPr>
          <w:p w14:paraId="0FEE8037">
            <w:pPr>
              <w:rPr>
                <w:rFonts w:ascii="Arial"/>
                <w:color w:val="auto"/>
                <w:sz w:val="21"/>
                <w:highlight w:val="none"/>
              </w:rPr>
            </w:pPr>
          </w:p>
        </w:tc>
        <w:tc>
          <w:tcPr>
            <w:tcW w:w="1134" w:type="dxa"/>
            <w:vAlign w:val="top"/>
          </w:tcPr>
          <w:p w14:paraId="4518DBB7">
            <w:pPr>
              <w:rPr>
                <w:rFonts w:ascii="Arial"/>
                <w:color w:val="auto"/>
                <w:sz w:val="21"/>
                <w:highlight w:val="none"/>
              </w:rPr>
            </w:pPr>
          </w:p>
        </w:tc>
        <w:tc>
          <w:tcPr>
            <w:tcW w:w="1130" w:type="dxa"/>
            <w:vAlign w:val="top"/>
          </w:tcPr>
          <w:p w14:paraId="797BB905">
            <w:pPr>
              <w:rPr>
                <w:rFonts w:ascii="Arial"/>
                <w:color w:val="auto"/>
                <w:sz w:val="21"/>
                <w:highlight w:val="none"/>
              </w:rPr>
            </w:pPr>
          </w:p>
        </w:tc>
        <w:tc>
          <w:tcPr>
            <w:tcW w:w="4261" w:type="dxa"/>
            <w:tcBorders>
              <w:right w:val="single" w:color="000000" w:sz="10" w:space="0"/>
            </w:tcBorders>
            <w:vAlign w:val="top"/>
          </w:tcPr>
          <w:p w14:paraId="1645517E">
            <w:pPr>
              <w:rPr>
                <w:rFonts w:ascii="Arial"/>
                <w:color w:val="auto"/>
                <w:sz w:val="21"/>
                <w:highlight w:val="none"/>
              </w:rPr>
            </w:pPr>
          </w:p>
        </w:tc>
      </w:tr>
      <w:tr w14:paraId="3BF5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69F7E93B">
            <w:pPr>
              <w:rPr>
                <w:rFonts w:ascii="Arial"/>
                <w:color w:val="auto"/>
                <w:sz w:val="21"/>
                <w:highlight w:val="none"/>
              </w:rPr>
            </w:pPr>
          </w:p>
        </w:tc>
        <w:tc>
          <w:tcPr>
            <w:tcW w:w="1413" w:type="dxa"/>
            <w:vAlign w:val="top"/>
          </w:tcPr>
          <w:p w14:paraId="67708468">
            <w:pPr>
              <w:rPr>
                <w:rFonts w:ascii="Arial"/>
                <w:color w:val="auto"/>
                <w:sz w:val="21"/>
                <w:highlight w:val="none"/>
              </w:rPr>
            </w:pPr>
          </w:p>
        </w:tc>
        <w:tc>
          <w:tcPr>
            <w:tcW w:w="1134" w:type="dxa"/>
            <w:vAlign w:val="top"/>
          </w:tcPr>
          <w:p w14:paraId="70666125">
            <w:pPr>
              <w:rPr>
                <w:rFonts w:ascii="Arial"/>
                <w:color w:val="auto"/>
                <w:sz w:val="21"/>
                <w:highlight w:val="none"/>
              </w:rPr>
            </w:pPr>
          </w:p>
        </w:tc>
        <w:tc>
          <w:tcPr>
            <w:tcW w:w="1130" w:type="dxa"/>
            <w:vAlign w:val="top"/>
          </w:tcPr>
          <w:p w14:paraId="5A6FA27B">
            <w:pPr>
              <w:rPr>
                <w:rFonts w:ascii="Arial"/>
                <w:color w:val="auto"/>
                <w:sz w:val="21"/>
                <w:highlight w:val="none"/>
              </w:rPr>
            </w:pPr>
          </w:p>
        </w:tc>
        <w:tc>
          <w:tcPr>
            <w:tcW w:w="4261" w:type="dxa"/>
            <w:tcBorders>
              <w:right w:val="single" w:color="000000" w:sz="10" w:space="0"/>
            </w:tcBorders>
            <w:vAlign w:val="top"/>
          </w:tcPr>
          <w:p w14:paraId="448037AC">
            <w:pPr>
              <w:rPr>
                <w:rFonts w:ascii="Arial"/>
                <w:color w:val="auto"/>
                <w:sz w:val="21"/>
                <w:highlight w:val="none"/>
              </w:rPr>
            </w:pPr>
          </w:p>
        </w:tc>
      </w:tr>
      <w:tr w14:paraId="5DC80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A6DA72F">
            <w:pPr>
              <w:rPr>
                <w:rFonts w:ascii="Arial"/>
                <w:color w:val="auto"/>
                <w:sz w:val="21"/>
                <w:highlight w:val="none"/>
              </w:rPr>
            </w:pPr>
          </w:p>
        </w:tc>
        <w:tc>
          <w:tcPr>
            <w:tcW w:w="1413" w:type="dxa"/>
            <w:vAlign w:val="top"/>
          </w:tcPr>
          <w:p w14:paraId="52698478">
            <w:pPr>
              <w:rPr>
                <w:rFonts w:ascii="Arial"/>
                <w:color w:val="auto"/>
                <w:sz w:val="21"/>
                <w:highlight w:val="none"/>
              </w:rPr>
            </w:pPr>
          </w:p>
        </w:tc>
        <w:tc>
          <w:tcPr>
            <w:tcW w:w="1134" w:type="dxa"/>
            <w:vAlign w:val="top"/>
          </w:tcPr>
          <w:p w14:paraId="67A1898F">
            <w:pPr>
              <w:rPr>
                <w:rFonts w:ascii="Arial"/>
                <w:color w:val="auto"/>
                <w:sz w:val="21"/>
                <w:highlight w:val="none"/>
              </w:rPr>
            </w:pPr>
          </w:p>
        </w:tc>
        <w:tc>
          <w:tcPr>
            <w:tcW w:w="1130" w:type="dxa"/>
            <w:vAlign w:val="top"/>
          </w:tcPr>
          <w:p w14:paraId="0291F4AA">
            <w:pPr>
              <w:rPr>
                <w:rFonts w:ascii="Arial"/>
                <w:color w:val="auto"/>
                <w:sz w:val="21"/>
                <w:highlight w:val="none"/>
              </w:rPr>
            </w:pPr>
          </w:p>
        </w:tc>
        <w:tc>
          <w:tcPr>
            <w:tcW w:w="4261" w:type="dxa"/>
            <w:tcBorders>
              <w:right w:val="single" w:color="000000" w:sz="10" w:space="0"/>
            </w:tcBorders>
            <w:vAlign w:val="top"/>
          </w:tcPr>
          <w:p w14:paraId="103B5DF5">
            <w:pPr>
              <w:rPr>
                <w:rFonts w:ascii="Arial"/>
                <w:color w:val="auto"/>
                <w:sz w:val="21"/>
                <w:highlight w:val="none"/>
              </w:rPr>
            </w:pPr>
          </w:p>
        </w:tc>
      </w:tr>
      <w:tr w14:paraId="22218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338F471">
            <w:pPr>
              <w:rPr>
                <w:rFonts w:ascii="Arial"/>
                <w:color w:val="auto"/>
                <w:sz w:val="21"/>
                <w:highlight w:val="none"/>
              </w:rPr>
            </w:pPr>
          </w:p>
        </w:tc>
        <w:tc>
          <w:tcPr>
            <w:tcW w:w="1413" w:type="dxa"/>
            <w:vAlign w:val="top"/>
          </w:tcPr>
          <w:p w14:paraId="20CF9DFD">
            <w:pPr>
              <w:rPr>
                <w:rFonts w:ascii="Arial"/>
                <w:color w:val="auto"/>
                <w:sz w:val="21"/>
                <w:highlight w:val="none"/>
              </w:rPr>
            </w:pPr>
          </w:p>
        </w:tc>
        <w:tc>
          <w:tcPr>
            <w:tcW w:w="1134" w:type="dxa"/>
            <w:vAlign w:val="top"/>
          </w:tcPr>
          <w:p w14:paraId="0B954AD6">
            <w:pPr>
              <w:rPr>
                <w:rFonts w:ascii="Arial"/>
                <w:color w:val="auto"/>
                <w:sz w:val="21"/>
                <w:highlight w:val="none"/>
              </w:rPr>
            </w:pPr>
          </w:p>
        </w:tc>
        <w:tc>
          <w:tcPr>
            <w:tcW w:w="1130" w:type="dxa"/>
            <w:vAlign w:val="top"/>
          </w:tcPr>
          <w:p w14:paraId="3E5988FB">
            <w:pPr>
              <w:rPr>
                <w:rFonts w:ascii="Arial"/>
                <w:color w:val="auto"/>
                <w:sz w:val="21"/>
                <w:highlight w:val="none"/>
              </w:rPr>
            </w:pPr>
          </w:p>
        </w:tc>
        <w:tc>
          <w:tcPr>
            <w:tcW w:w="4261" w:type="dxa"/>
            <w:tcBorders>
              <w:right w:val="single" w:color="000000" w:sz="10" w:space="0"/>
            </w:tcBorders>
            <w:vAlign w:val="top"/>
          </w:tcPr>
          <w:p w14:paraId="3ED6493D">
            <w:pPr>
              <w:rPr>
                <w:rFonts w:ascii="Arial"/>
                <w:color w:val="auto"/>
                <w:sz w:val="21"/>
                <w:highlight w:val="none"/>
              </w:rPr>
            </w:pPr>
          </w:p>
        </w:tc>
      </w:tr>
      <w:tr w14:paraId="00A4F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4836568">
            <w:pPr>
              <w:rPr>
                <w:rFonts w:ascii="Arial"/>
                <w:color w:val="auto"/>
                <w:sz w:val="21"/>
                <w:highlight w:val="none"/>
              </w:rPr>
            </w:pPr>
          </w:p>
        </w:tc>
        <w:tc>
          <w:tcPr>
            <w:tcW w:w="1413" w:type="dxa"/>
            <w:vAlign w:val="top"/>
          </w:tcPr>
          <w:p w14:paraId="1705FB2A">
            <w:pPr>
              <w:rPr>
                <w:rFonts w:ascii="Arial"/>
                <w:color w:val="auto"/>
                <w:sz w:val="21"/>
                <w:highlight w:val="none"/>
              </w:rPr>
            </w:pPr>
          </w:p>
        </w:tc>
        <w:tc>
          <w:tcPr>
            <w:tcW w:w="1134" w:type="dxa"/>
            <w:vAlign w:val="top"/>
          </w:tcPr>
          <w:p w14:paraId="07F76BAB">
            <w:pPr>
              <w:rPr>
                <w:rFonts w:ascii="Arial"/>
                <w:color w:val="auto"/>
                <w:sz w:val="21"/>
                <w:highlight w:val="none"/>
              </w:rPr>
            </w:pPr>
          </w:p>
        </w:tc>
        <w:tc>
          <w:tcPr>
            <w:tcW w:w="1130" w:type="dxa"/>
            <w:vAlign w:val="top"/>
          </w:tcPr>
          <w:p w14:paraId="57CD22FE">
            <w:pPr>
              <w:rPr>
                <w:rFonts w:ascii="Arial"/>
                <w:color w:val="auto"/>
                <w:sz w:val="21"/>
                <w:highlight w:val="none"/>
              </w:rPr>
            </w:pPr>
          </w:p>
        </w:tc>
        <w:tc>
          <w:tcPr>
            <w:tcW w:w="4261" w:type="dxa"/>
            <w:tcBorders>
              <w:right w:val="single" w:color="000000" w:sz="10" w:space="0"/>
            </w:tcBorders>
            <w:vAlign w:val="top"/>
          </w:tcPr>
          <w:p w14:paraId="545DEB17">
            <w:pPr>
              <w:rPr>
                <w:rFonts w:ascii="Arial"/>
                <w:color w:val="auto"/>
                <w:sz w:val="21"/>
                <w:highlight w:val="none"/>
              </w:rPr>
            </w:pPr>
          </w:p>
        </w:tc>
      </w:tr>
      <w:tr w14:paraId="6C18B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58A35177">
            <w:pPr>
              <w:rPr>
                <w:rFonts w:ascii="Arial"/>
                <w:color w:val="auto"/>
                <w:sz w:val="21"/>
                <w:highlight w:val="none"/>
              </w:rPr>
            </w:pPr>
          </w:p>
        </w:tc>
        <w:tc>
          <w:tcPr>
            <w:tcW w:w="1413" w:type="dxa"/>
            <w:tcBorders>
              <w:bottom w:val="single" w:color="000000" w:sz="10" w:space="0"/>
            </w:tcBorders>
            <w:vAlign w:val="top"/>
          </w:tcPr>
          <w:p w14:paraId="6F535A73">
            <w:pPr>
              <w:rPr>
                <w:rFonts w:ascii="Arial"/>
                <w:color w:val="auto"/>
                <w:sz w:val="21"/>
                <w:highlight w:val="none"/>
              </w:rPr>
            </w:pPr>
          </w:p>
        </w:tc>
        <w:tc>
          <w:tcPr>
            <w:tcW w:w="1134" w:type="dxa"/>
            <w:tcBorders>
              <w:bottom w:val="single" w:color="000000" w:sz="10" w:space="0"/>
            </w:tcBorders>
            <w:vAlign w:val="top"/>
          </w:tcPr>
          <w:p w14:paraId="76753954">
            <w:pPr>
              <w:rPr>
                <w:rFonts w:ascii="Arial"/>
                <w:color w:val="auto"/>
                <w:sz w:val="21"/>
                <w:highlight w:val="none"/>
              </w:rPr>
            </w:pPr>
          </w:p>
        </w:tc>
        <w:tc>
          <w:tcPr>
            <w:tcW w:w="1130" w:type="dxa"/>
            <w:tcBorders>
              <w:bottom w:val="single" w:color="000000" w:sz="10" w:space="0"/>
            </w:tcBorders>
            <w:vAlign w:val="top"/>
          </w:tcPr>
          <w:p w14:paraId="0A97EB4B">
            <w:pPr>
              <w:rPr>
                <w:rFonts w:ascii="Arial"/>
                <w:color w:val="auto"/>
                <w:sz w:val="21"/>
                <w:highlight w:val="none"/>
              </w:rPr>
            </w:pPr>
          </w:p>
        </w:tc>
        <w:tc>
          <w:tcPr>
            <w:tcW w:w="4261" w:type="dxa"/>
            <w:tcBorders>
              <w:bottom w:val="single" w:color="000000" w:sz="10" w:space="0"/>
              <w:right w:val="single" w:color="000000" w:sz="10" w:space="0"/>
            </w:tcBorders>
            <w:vAlign w:val="top"/>
          </w:tcPr>
          <w:p w14:paraId="36673528">
            <w:pPr>
              <w:rPr>
                <w:rFonts w:ascii="Arial"/>
                <w:color w:val="auto"/>
                <w:sz w:val="21"/>
                <w:highlight w:val="none"/>
              </w:rPr>
            </w:pPr>
          </w:p>
        </w:tc>
      </w:tr>
    </w:tbl>
    <w:p w14:paraId="2760FC3C">
      <w:pPr>
        <w:pStyle w:val="5"/>
        <w:rPr>
          <w:color w:val="auto"/>
          <w:highlight w:val="none"/>
        </w:rPr>
      </w:pPr>
    </w:p>
    <w:p w14:paraId="64A981CF">
      <w:pPr>
        <w:rPr>
          <w:color w:val="auto"/>
          <w:highlight w:val="none"/>
        </w:rPr>
        <w:sectPr>
          <w:footerReference r:id="rId104" w:type="default"/>
          <w:pgSz w:w="11905" w:h="16839"/>
          <w:pgMar w:top="400" w:right="1027" w:bottom="1004" w:left="1032" w:header="0" w:footer="828" w:gutter="0"/>
          <w:pgNumType w:fmt="decimal"/>
          <w:cols w:space="720" w:num="1"/>
        </w:sectPr>
      </w:pPr>
    </w:p>
    <w:p w14:paraId="251F62D8">
      <w:pPr>
        <w:pStyle w:val="5"/>
        <w:spacing w:line="276" w:lineRule="auto"/>
        <w:rPr>
          <w:color w:val="auto"/>
          <w:highlight w:val="none"/>
        </w:rPr>
      </w:pPr>
    </w:p>
    <w:p w14:paraId="20B24A81">
      <w:pPr>
        <w:pStyle w:val="5"/>
        <w:spacing w:line="276" w:lineRule="auto"/>
        <w:rPr>
          <w:color w:val="auto"/>
          <w:highlight w:val="none"/>
        </w:rPr>
      </w:pPr>
    </w:p>
    <w:p w14:paraId="4646CA64">
      <w:pPr>
        <w:pStyle w:val="5"/>
        <w:spacing w:line="276" w:lineRule="auto"/>
        <w:rPr>
          <w:color w:val="auto"/>
          <w:highlight w:val="none"/>
        </w:rPr>
      </w:pPr>
    </w:p>
    <w:p w14:paraId="1EFDA0E6">
      <w:pPr>
        <w:pStyle w:val="5"/>
        <w:spacing w:line="276" w:lineRule="auto"/>
        <w:rPr>
          <w:color w:val="auto"/>
          <w:highlight w:val="none"/>
        </w:rPr>
      </w:pPr>
    </w:p>
    <w:p w14:paraId="1401BB41">
      <w:pPr>
        <w:spacing w:before="78" w:line="219" w:lineRule="auto"/>
        <w:ind w:left="79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7</w:t>
      </w:r>
      <w:r>
        <w:rPr>
          <w:rFonts w:ascii="宋体" w:hAnsi="宋体" w:eastAsia="宋体" w:cs="宋体"/>
          <w:color w:val="auto"/>
          <w:spacing w:val="-10"/>
          <w:sz w:val="24"/>
          <w:szCs w:val="24"/>
          <w:highlight w:val="none"/>
        </w:rPr>
        <w:t>：</w:t>
      </w:r>
    </w:p>
    <w:p w14:paraId="19D4A0CB">
      <w:pPr>
        <w:spacing w:before="243" w:line="224" w:lineRule="auto"/>
        <w:ind w:left="3258"/>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分包人主要施工管理人员表</w:t>
      </w:r>
    </w:p>
    <w:p w14:paraId="6E1B27E1">
      <w:pPr>
        <w:spacing w:line="113" w:lineRule="exact"/>
        <w:rPr>
          <w:color w:val="auto"/>
          <w:highlight w:val="none"/>
        </w:rPr>
      </w:pPr>
    </w:p>
    <w:tbl>
      <w:tblPr>
        <w:tblStyle w:val="17"/>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181BD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02317EF7">
            <w:pPr>
              <w:pStyle w:val="18"/>
              <w:spacing w:before="177" w:line="223" w:lineRule="auto"/>
              <w:ind w:left="513"/>
              <w:rPr>
                <w:color w:val="auto"/>
                <w:highlight w:val="none"/>
              </w:rPr>
            </w:pPr>
            <w:r>
              <w:rPr>
                <w:color w:val="auto"/>
                <w:spacing w:val="-5"/>
                <w:highlight w:val="none"/>
              </w:rPr>
              <w:t>名</w:t>
            </w:r>
            <w:r>
              <w:rPr>
                <w:color w:val="auto"/>
                <w:spacing w:val="2"/>
                <w:highlight w:val="none"/>
              </w:rPr>
              <w:t xml:space="preserve">    </w:t>
            </w:r>
            <w:r>
              <w:rPr>
                <w:color w:val="auto"/>
                <w:spacing w:val="-5"/>
                <w:highlight w:val="none"/>
              </w:rPr>
              <w:t>称</w:t>
            </w:r>
          </w:p>
        </w:tc>
        <w:tc>
          <w:tcPr>
            <w:tcW w:w="1413" w:type="dxa"/>
            <w:tcBorders>
              <w:top w:val="single" w:color="000000" w:sz="10" w:space="0"/>
            </w:tcBorders>
            <w:vAlign w:val="top"/>
          </w:tcPr>
          <w:p w14:paraId="533EBD38">
            <w:pPr>
              <w:pStyle w:val="18"/>
              <w:spacing w:before="177" w:line="221" w:lineRule="auto"/>
              <w:ind w:left="497"/>
              <w:rPr>
                <w:color w:val="auto"/>
                <w:highlight w:val="none"/>
              </w:rPr>
            </w:pPr>
            <w:r>
              <w:rPr>
                <w:color w:val="auto"/>
                <w:spacing w:val="-2"/>
                <w:highlight w:val="none"/>
              </w:rPr>
              <w:t>姓名</w:t>
            </w:r>
          </w:p>
        </w:tc>
        <w:tc>
          <w:tcPr>
            <w:tcW w:w="1134" w:type="dxa"/>
            <w:tcBorders>
              <w:top w:val="single" w:color="000000" w:sz="10" w:space="0"/>
            </w:tcBorders>
            <w:vAlign w:val="top"/>
          </w:tcPr>
          <w:p w14:paraId="6C69A3FA">
            <w:pPr>
              <w:pStyle w:val="18"/>
              <w:spacing w:before="177" w:line="221" w:lineRule="auto"/>
              <w:ind w:left="357"/>
              <w:rPr>
                <w:color w:val="auto"/>
                <w:highlight w:val="none"/>
              </w:rPr>
            </w:pPr>
            <w:r>
              <w:rPr>
                <w:color w:val="auto"/>
                <w:spacing w:val="-2"/>
                <w:highlight w:val="none"/>
              </w:rPr>
              <w:t>职务</w:t>
            </w:r>
          </w:p>
        </w:tc>
        <w:tc>
          <w:tcPr>
            <w:tcW w:w="1130" w:type="dxa"/>
            <w:tcBorders>
              <w:top w:val="single" w:color="000000" w:sz="10" w:space="0"/>
            </w:tcBorders>
            <w:vAlign w:val="top"/>
          </w:tcPr>
          <w:p w14:paraId="518BD866">
            <w:pPr>
              <w:pStyle w:val="18"/>
              <w:spacing w:before="177" w:line="223" w:lineRule="auto"/>
              <w:ind w:left="361"/>
              <w:rPr>
                <w:color w:val="auto"/>
                <w:highlight w:val="none"/>
              </w:rPr>
            </w:pPr>
            <w:r>
              <w:rPr>
                <w:color w:val="auto"/>
                <w:spacing w:val="-2"/>
                <w:highlight w:val="none"/>
              </w:rPr>
              <w:t>职称</w:t>
            </w:r>
          </w:p>
        </w:tc>
        <w:tc>
          <w:tcPr>
            <w:tcW w:w="4261" w:type="dxa"/>
            <w:tcBorders>
              <w:top w:val="single" w:color="000000" w:sz="10" w:space="0"/>
              <w:right w:val="single" w:color="000000" w:sz="10" w:space="0"/>
            </w:tcBorders>
            <w:vAlign w:val="top"/>
          </w:tcPr>
          <w:p w14:paraId="24837049">
            <w:pPr>
              <w:pStyle w:val="18"/>
              <w:spacing w:before="177" w:line="221" w:lineRule="auto"/>
              <w:ind w:left="668"/>
              <w:rPr>
                <w:color w:val="auto"/>
                <w:highlight w:val="none"/>
              </w:rPr>
            </w:pPr>
            <w:r>
              <w:rPr>
                <w:color w:val="auto"/>
                <w:spacing w:val="-1"/>
                <w:highlight w:val="none"/>
              </w:rPr>
              <w:t>主要资历、经验及承担过的项目</w:t>
            </w:r>
          </w:p>
        </w:tc>
      </w:tr>
      <w:tr w14:paraId="1BC1A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44657ADE">
            <w:pPr>
              <w:pStyle w:val="18"/>
              <w:spacing w:before="200" w:line="221" w:lineRule="auto"/>
              <w:ind w:left="4279"/>
              <w:rPr>
                <w:color w:val="auto"/>
                <w:highlight w:val="none"/>
              </w:rPr>
            </w:pPr>
            <w:r>
              <w:rPr>
                <w:color w:val="auto"/>
                <w:spacing w:val="-3"/>
                <w:highlight w:val="none"/>
              </w:rPr>
              <w:t>一、总部人员</w:t>
            </w:r>
          </w:p>
        </w:tc>
      </w:tr>
      <w:tr w14:paraId="438D2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8F43970">
            <w:pPr>
              <w:pStyle w:val="18"/>
              <w:spacing w:before="173" w:line="221" w:lineRule="auto"/>
              <w:ind w:left="514"/>
              <w:rPr>
                <w:color w:val="auto"/>
                <w:highlight w:val="none"/>
              </w:rPr>
            </w:pPr>
            <w:r>
              <w:rPr>
                <w:color w:val="auto"/>
                <w:spacing w:val="-2"/>
                <w:highlight w:val="none"/>
              </w:rPr>
              <w:t>项目主管</w:t>
            </w:r>
          </w:p>
        </w:tc>
        <w:tc>
          <w:tcPr>
            <w:tcW w:w="1413" w:type="dxa"/>
            <w:vAlign w:val="top"/>
          </w:tcPr>
          <w:p w14:paraId="757DC71B">
            <w:pPr>
              <w:rPr>
                <w:rFonts w:ascii="Arial"/>
                <w:color w:val="auto"/>
                <w:sz w:val="21"/>
                <w:highlight w:val="none"/>
              </w:rPr>
            </w:pPr>
          </w:p>
        </w:tc>
        <w:tc>
          <w:tcPr>
            <w:tcW w:w="1134" w:type="dxa"/>
            <w:vAlign w:val="top"/>
          </w:tcPr>
          <w:p w14:paraId="42C4DA23">
            <w:pPr>
              <w:rPr>
                <w:rFonts w:ascii="Arial"/>
                <w:color w:val="auto"/>
                <w:sz w:val="21"/>
                <w:highlight w:val="none"/>
              </w:rPr>
            </w:pPr>
          </w:p>
        </w:tc>
        <w:tc>
          <w:tcPr>
            <w:tcW w:w="1130" w:type="dxa"/>
            <w:vAlign w:val="top"/>
          </w:tcPr>
          <w:p w14:paraId="420BD6DD">
            <w:pPr>
              <w:rPr>
                <w:rFonts w:ascii="Arial"/>
                <w:color w:val="auto"/>
                <w:sz w:val="21"/>
                <w:highlight w:val="none"/>
              </w:rPr>
            </w:pPr>
          </w:p>
        </w:tc>
        <w:tc>
          <w:tcPr>
            <w:tcW w:w="4261" w:type="dxa"/>
            <w:tcBorders>
              <w:right w:val="single" w:color="000000" w:sz="10" w:space="0"/>
            </w:tcBorders>
            <w:vAlign w:val="top"/>
          </w:tcPr>
          <w:p w14:paraId="04495B28">
            <w:pPr>
              <w:rPr>
                <w:rFonts w:ascii="Arial"/>
                <w:color w:val="auto"/>
                <w:sz w:val="21"/>
                <w:highlight w:val="none"/>
              </w:rPr>
            </w:pPr>
          </w:p>
        </w:tc>
      </w:tr>
      <w:tr w14:paraId="30D09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07B759B3">
            <w:pPr>
              <w:spacing w:line="280" w:lineRule="auto"/>
              <w:rPr>
                <w:rFonts w:ascii="Arial"/>
                <w:color w:val="auto"/>
                <w:sz w:val="21"/>
                <w:highlight w:val="none"/>
              </w:rPr>
            </w:pPr>
          </w:p>
          <w:p w14:paraId="1CC6B19B">
            <w:pPr>
              <w:spacing w:line="280" w:lineRule="auto"/>
              <w:rPr>
                <w:rFonts w:ascii="Arial"/>
                <w:color w:val="auto"/>
                <w:sz w:val="21"/>
                <w:highlight w:val="none"/>
              </w:rPr>
            </w:pPr>
          </w:p>
          <w:p w14:paraId="79687B5C">
            <w:pPr>
              <w:pStyle w:val="18"/>
              <w:spacing w:before="68" w:line="221" w:lineRule="auto"/>
              <w:ind w:left="512"/>
              <w:rPr>
                <w:color w:val="auto"/>
                <w:highlight w:val="none"/>
              </w:rPr>
            </w:pPr>
            <w:r>
              <w:rPr>
                <w:color w:val="auto"/>
                <w:spacing w:val="-1"/>
                <w:highlight w:val="none"/>
              </w:rPr>
              <w:t>其他人员</w:t>
            </w:r>
          </w:p>
        </w:tc>
        <w:tc>
          <w:tcPr>
            <w:tcW w:w="1413" w:type="dxa"/>
            <w:vAlign w:val="top"/>
          </w:tcPr>
          <w:p w14:paraId="4D6D7B02">
            <w:pPr>
              <w:rPr>
                <w:rFonts w:ascii="Arial"/>
                <w:color w:val="auto"/>
                <w:sz w:val="21"/>
                <w:highlight w:val="none"/>
              </w:rPr>
            </w:pPr>
          </w:p>
        </w:tc>
        <w:tc>
          <w:tcPr>
            <w:tcW w:w="1134" w:type="dxa"/>
            <w:vAlign w:val="top"/>
          </w:tcPr>
          <w:p w14:paraId="41D6DD79">
            <w:pPr>
              <w:rPr>
                <w:rFonts w:ascii="Arial"/>
                <w:color w:val="auto"/>
                <w:sz w:val="21"/>
                <w:highlight w:val="none"/>
              </w:rPr>
            </w:pPr>
          </w:p>
        </w:tc>
        <w:tc>
          <w:tcPr>
            <w:tcW w:w="1130" w:type="dxa"/>
            <w:vAlign w:val="top"/>
          </w:tcPr>
          <w:p w14:paraId="1A87BEE9">
            <w:pPr>
              <w:rPr>
                <w:rFonts w:ascii="Arial"/>
                <w:color w:val="auto"/>
                <w:sz w:val="21"/>
                <w:highlight w:val="none"/>
              </w:rPr>
            </w:pPr>
          </w:p>
        </w:tc>
        <w:tc>
          <w:tcPr>
            <w:tcW w:w="4261" w:type="dxa"/>
            <w:tcBorders>
              <w:right w:val="single" w:color="000000" w:sz="10" w:space="0"/>
            </w:tcBorders>
            <w:vAlign w:val="top"/>
          </w:tcPr>
          <w:p w14:paraId="1E7789A0">
            <w:pPr>
              <w:rPr>
                <w:rFonts w:ascii="Arial"/>
                <w:color w:val="auto"/>
                <w:sz w:val="21"/>
                <w:highlight w:val="none"/>
              </w:rPr>
            </w:pPr>
          </w:p>
        </w:tc>
      </w:tr>
      <w:tr w14:paraId="3DDA4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43BF9E01">
            <w:pPr>
              <w:rPr>
                <w:rFonts w:ascii="Arial"/>
                <w:color w:val="auto"/>
                <w:sz w:val="21"/>
                <w:highlight w:val="none"/>
              </w:rPr>
            </w:pPr>
          </w:p>
        </w:tc>
        <w:tc>
          <w:tcPr>
            <w:tcW w:w="1413" w:type="dxa"/>
            <w:vAlign w:val="top"/>
          </w:tcPr>
          <w:p w14:paraId="062D41B6">
            <w:pPr>
              <w:rPr>
                <w:rFonts w:ascii="Arial"/>
                <w:color w:val="auto"/>
                <w:sz w:val="21"/>
                <w:highlight w:val="none"/>
              </w:rPr>
            </w:pPr>
          </w:p>
        </w:tc>
        <w:tc>
          <w:tcPr>
            <w:tcW w:w="1134" w:type="dxa"/>
            <w:vAlign w:val="top"/>
          </w:tcPr>
          <w:p w14:paraId="1F9A55AF">
            <w:pPr>
              <w:rPr>
                <w:rFonts w:ascii="Arial"/>
                <w:color w:val="auto"/>
                <w:sz w:val="21"/>
                <w:highlight w:val="none"/>
              </w:rPr>
            </w:pPr>
          </w:p>
        </w:tc>
        <w:tc>
          <w:tcPr>
            <w:tcW w:w="1130" w:type="dxa"/>
            <w:vAlign w:val="top"/>
          </w:tcPr>
          <w:p w14:paraId="22C3D10D">
            <w:pPr>
              <w:rPr>
                <w:rFonts w:ascii="Arial"/>
                <w:color w:val="auto"/>
                <w:sz w:val="21"/>
                <w:highlight w:val="none"/>
              </w:rPr>
            </w:pPr>
          </w:p>
        </w:tc>
        <w:tc>
          <w:tcPr>
            <w:tcW w:w="4261" w:type="dxa"/>
            <w:tcBorders>
              <w:right w:val="single" w:color="000000" w:sz="10" w:space="0"/>
            </w:tcBorders>
            <w:vAlign w:val="top"/>
          </w:tcPr>
          <w:p w14:paraId="4F231125">
            <w:pPr>
              <w:rPr>
                <w:rFonts w:ascii="Arial"/>
                <w:color w:val="auto"/>
                <w:sz w:val="21"/>
                <w:highlight w:val="none"/>
              </w:rPr>
            </w:pPr>
          </w:p>
        </w:tc>
      </w:tr>
      <w:tr w14:paraId="6E6AE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5D5C79FC">
            <w:pPr>
              <w:rPr>
                <w:rFonts w:ascii="Arial"/>
                <w:color w:val="auto"/>
                <w:sz w:val="21"/>
                <w:highlight w:val="none"/>
              </w:rPr>
            </w:pPr>
          </w:p>
        </w:tc>
        <w:tc>
          <w:tcPr>
            <w:tcW w:w="1413" w:type="dxa"/>
            <w:vAlign w:val="top"/>
          </w:tcPr>
          <w:p w14:paraId="277682F6">
            <w:pPr>
              <w:rPr>
                <w:rFonts w:ascii="Arial"/>
                <w:color w:val="auto"/>
                <w:sz w:val="21"/>
                <w:highlight w:val="none"/>
              </w:rPr>
            </w:pPr>
          </w:p>
        </w:tc>
        <w:tc>
          <w:tcPr>
            <w:tcW w:w="1134" w:type="dxa"/>
            <w:vAlign w:val="top"/>
          </w:tcPr>
          <w:p w14:paraId="784509EB">
            <w:pPr>
              <w:rPr>
                <w:rFonts w:ascii="Arial"/>
                <w:color w:val="auto"/>
                <w:sz w:val="21"/>
                <w:highlight w:val="none"/>
              </w:rPr>
            </w:pPr>
          </w:p>
        </w:tc>
        <w:tc>
          <w:tcPr>
            <w:tcW w:w="1130" w:type="dxa"/>
            <w:vAlign w:val="top"/>
          </w:tcPr>
          <w:p w14:paraId="1419C9A8">
            <w:pPr>
              <w:rPr>
                <w:rFonts w:ascii="Arial"/>
                <w:color w:val="auto"/>
                <w:sz w:val="21"/>
                <w:highlight w:val="none"/>
              </w:rPr>
            </w:pPr>
          </w:p>
        </w:tc>
        <w:tc>
          <w:tcPr>
            <w:tcW w:w="4261" w:type="dxa"/>
            <w:tcBorders>
              <w:right w:val="single" w:color="000000" w:sz="10" w:space="0"/>
            </w:tcBorders>
            <w:vAlign w:val="top"/>
          </w:tcPr>
          <w:p w14:paraId="1051A9E1">
            <w:pPr>
              <w:rPr>
                <w:rFonts w:ascii="Arial"/>
                <w:color w:val="auto"/>
                <w:sz w:val="21"/>
                <w:highlight w:val="none"/>
              </w:rPr>
            </w:pPr>
          </w:p>
        </w:tc>
      </w:tr>
      <w:tr w14:paraId="3A15F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2C5E8EA4">
            <w:pPr>
              <w:pStyle w:val="18"/>
              <w:spacing w:before="178" w:line="221" w:lineRule="auto"/>
              <w:ind w:left="4279"/>
              <w:rPr>
                <w:color w:val="auto"/>
                <w:highlight w:val="none"/>
              </w:rPr>
            </w:pPr>
            <w:r>
              <w:rPr>
                <w:color w:val="auto"/>
                <w:spacing w:val="-1"/>
                <w:highlight w:val="none"/>
              </w:rPr>
              <w:t>二、现场人员</w:t>
            </w:r>
          </w:p>
        </w:tc>
      </w:tr>
      <w:tr w14:paraId="2E6D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1508244">
            <w:pPr>
              <w:pStyle w:val="18"/>
              <w:spacing w:before="179" w:line="221" w:lineRule="auto"/>
              <w:ind w:left="514"/>
              <w:rPr>
                <w:color w:val="auto"/>
                <w:highlight w:val="none"/>
              </w:rPr>
            </w:pPr>
            <w:r>
              <w:rPr>
                <w:color w:val="auto"/>
                <w:spacing w:val="-2"/>
                <w:highlight w:val="none"/>
              </w:rPr>
              <w:t>项目经理</w:t>
            </w:r>
          </w:p>
        </w:tc>
        <w:tc>
          <w:tcPr>
            <w:tcW w:w="1413" w:type="dxa"/>
            <w:vAlign w:val="top"/>
          </w:tcPr>
          <w:p w14:paraId="164687BB">
            <w:pPr>
              <w:rPr>
                <w:rFonts w:ascii="Arial"/>
                <w:color w:val="auto"/>
                <w:sz w:val="21"/>
                <w:highlight w:val="none"/>
              </w:rPr>
            </w:pPr>
          </w:p>
        </w:tc>
        <w:tc>
          <w:tcPr>
            <w:tcW w:w="1134" w:type="dxa"/>
            <w:vAlign w:val="top"/>
          </w:tcPr>
          <w:p w14:paraId="64B9BAFA">
            <w:pPr>
              <w:rPr>
                <w:rFonts w:ascii="Arial"/>
                <w:color w:val="auto"/>
                <w:sz w:val="21"/>
                <w:highlight w:val="none"/>
              </w:rPr>
            </w:pPr>
          </w:p>
        </w:tc>
        <w:tc>
          <w:tcPr>
            <w:tcW w:w="1130" w:type="dxa"/>
            <w:vAlign w:val="top"/>
          </w:tcPr>
          <w:p w14:paraId="460B770D">
            <w:pPr>
              <w:rPr>
                <w:rFonts w:ascii="Arial"/>
                <w:color w:val="auto"/>
                <w:sz w:val="21"/>
                <w:highlight w:val="none"/>
              </w:rPr>
            </w:pPr>
          </w:p>
        </w:tc>
        <w:tc>
          <w:tcPr>
            <w:tcW w:w="4261" w:type="dxa"/>
            <w:tcBorders>
              <w:right w:val="single" w:color="000000" w:sz="10" w:space="0"/>
            </w:tcBorders>
            <w:vAlign w:val="top"/>
          </w:tcPr>
          <w:p w14:paraId="7DFD64B1">
            <w:pPr>
              <w:rPr>
                <w:rFonts w:ascii="Arial"/>
                <w:color w:val="auto"/>
                <w:sz w:val="21"/>
                <w:highlight w:val="none"/>
              </w:rPr>
            </w:pPr>
          </w:p>
        </w:tc>
      </w:tr>
      <w:tr w14:paraId="51B13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B1112CE">
            <w:pPr>
              <w:pStyle w:val="18"/>
              <w:spacing w:before="180" w:line="221" w:lineRule="auto"/>
              <w:ind w:left="409"/>
              <w:rPr>
                <w:color w:val="auto"/>
                <w:highlight w:val="none"/>
              </w:rPr>
            </w:pPr>
            <w:r>
              <w:rPr>
                <w:color w:val="auto"/>
                <w:spacing w:val="-1"/>
                <w:highlight w:val="none"/>
              </w:rPr>
              <w:t>项目副经理</w:t>
            </w:r>
          </w:p>
        </w:tc>
        <w:tc>
          <w:tcPr>
            <w:tcW w:w="1413" w:type="dxa"/>
            <w:vAlign w:val="top"/>
          </w:tcPr>
          <w:p w14:paraId="2ABCCB6C">
            <w:pPr>
              <w:rPr>
                <w:rFonts w:ascii="Arial"/>
                <w:color w:val="auto"/>
                <w:sz w:val="21"/>
                <w:highlight w:val="none"/>
              </w:rPr>
            </w:pPr>
          </w:p>
        </w:tc>
        <w:tc>
          <w:tcPr>
            <w:tcW w:w="1134" w:type="dxa"/>
            <w:vAlign w:val="top"/>
          </w:tcPr>
          <w:p w14:paraId="25C65508">
            <w:pPr>
              <w:rPr>
                <w:rFonts w:ascii="Arial"/>
                <w:color w:val="auto"/>
                <w:sz w:val="21"/>
                <w:highlight w:val="none"/>
              </w:rPr>
            </w:pPr>
          </w:p>
        </w:tc>
        <w:tc>
          <w:tcPr>
            <w:tcW w:w="1130" w:type="dxa"/>
            <w:vAlign w:val="top"/>
          </w:tcPr>
          <w:p w14:paraId="3ECE4089">
            <w:pPr>
              <w:rPr>
                <w:rFonts w:ascii="Arial"/>
                <w:color w:val="auto"/>
                <w:sz w:val="21"/>
                <w:highlight w:val="none"/>
              </w:rPr>
            </w:pPr>
          </w:p>
        </w:tc>
        <w:tc>
          <w:tcPr>
            <w:tcW w:w="4261" w:type="dxa"/>
            <w:tcBorders>
              <w:right w:val="single" w:color="000000" w:sz="10" w:space="0"/>
            </w:tcBorders>
            <w:vAlign w:val="top"/>
          </w:tcPr>
          <w:p w14:paraId="39078223">
            <w:pPr>
              <w:rPr>
                <w:rFonts w:ascii="Arial"/>
                <w:color w:val="auto"/>
                <w:sz w:val="21"/>
                <w:highlight w:val="none"/>
              </w:rPr>
            </w:pPr>
          </w:p>
        </w:tc>
      </w:tr>
      <w:tr w14:paraId="2238A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D972890">
            <w:pPr>
              <w:pStyle w:val="18"/>
              <w:spacing w:before="181" w:line="221" w:lineRule="auto"/>
              <w:ind w:left="406"/>
              <w:rPr>
                <w:color w:val="auto"/>
                <w:highlight w:val="none"/>
              </w:rPr>
            </w:pPr>
            <w:r>
              <w:rPr>
                <w:color w:val="auto"/>
                <w:spacing w:val="-1"/>
                <w:highlight w:val="none"/>
              </w:rPr>
              <w:t>技术负责人</w:t>
            </w:r>
          </w:p>
        </w:tc>
        <w:tc>
          <w:tcPr>
            <w:tcW w:w="1413" w:type="dxa"/>
            <w:vAlign w:val="top"/>
          </w:tcPr>
          <w:p w14:paraId="37D916E4">
            <w:pPr>
              <w:rPr>
                <w:rFonts w:ascii="Arial"/>
                <w:color w:val="auto"/>
                <w:sz w:val="21"/>
                <w:highlight w:val="none"/>
              </w:rPr>
            </w:pPr>
          </w:p>
        </w:tc>
        <w:tc>
          <w:tcPr>
            <w:tcW w:w="1134" w:type="dxa"/>
            <w:vAlign w:val="top"/>
          </w:tcPr>
          <w:p w14:paraId="0B89C38C">
            <w:pPr>
              <w:rPr>
                <w:rFonts w:ascii="Arial"/>
                <w:color w:val="auto"/>
                <w:sz w:val="21"/>
                <w:highlight w:val="none"/>
              </w:rPr>
            </w:pPr>
          </w:p>
        </w:tc>
        <w:tc>
          <w:tcPr>
            <w:tcW w:w="1130" w:type="dxa"/>
            <w:vAlign w:val="top"/>
          </w:tcPr>
          <w:p w14:paraId="51A1DAAC">
            <w:pPr>
              <w:rPr>
                <w:rFonts w:ascii="Arial"/>
                <w:color w:val="auto"/>
                <w:sz w:val="21"/>
                <w:highlight w:val="none"/>
              </w:rPr>
            </w:pPr>
          </w:p>
        </w:tc>
        <w:tc>
          <w:tcPr>
            <w:tcW w:w="4261" w:type="dxa"/>
            <w:tcBorders>
              <w:right w:val="single" w:color="000000" w:sz="10" w:space="0"/>
            </w:tcBorders>
            <w:vAlign w:val="top"/>
          </w:tcPr>
          <w:p w14:paraId="0178F4B5">
            <w:pPr>
              <w:rPr>
                <w:rFonts w:ascii="Arial"/>
                <w:color w:val="auto"/>
                <w:sz w:val="21"/>
                <w:highlight w:val="none"/>
              </w:rPr>
            </w:pPr>
          </w:p>
        </w:tc>
      </w:tr>
      <w:tr w14:paraId="19B0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1C3D5A08">
            <w:pPr>
              <w:pStyle w:val="18"/>
              <w:spacing w:before="178" w:line="219" w:lineRule="auto"/>
              <w:ind w:left="510"/>
              <w:rPr>
                <w:color w:val="auto"/>
                <w:highlight w:val="none"/>
              </w:rPr>
            </w:pPr>
            <w:r>
              <w:rPr>
                <w:color w:val="auto"/>
                <w:spacing w:val="-1"/>
                <w:highlight w:val="none"/>
              </w:rPr>
              <w:t>造价管理</w:t>
            </w:r>
          </w:p>
        </w:tc>
        <w:tc>
          <w:tcPr>
            <w:tcW w:w="1413" w:type="dxa"/>
            <w:vAlign w:val="top"/>
          </w:tcPr>
          <w:p w14:paraId="417732BC">
            <w:pPr>
              <w:rPr>
                <w:rFonts w:ascii="Arial"/>
                <w:color w:val="auto"/>
                <w:sz w:val="21"/>
                <w:highlight w:val="none"/>
              </w:rPr>
            </w:pPr>
          </w:p>
        </w:tc>
        <w:tc>
          <w:tcPr>
            <w:tcW w:w="1134" w:type="dxa"/>
            <w:vAlign w:val="top"/>
          </w:tcPr>
          <w:p w14:paraId="2AAF1668">
            <w:pPr>
              <w:rPr>
                <w:rFonts w:ascii="Arial"/>
                <w:color w:val="auto"/>
                <w:sz w:val="21"/>
                <w:highlight w:val="none"/>
              </w:rPr>
            </w:pPr>
          </w:p>
        </w:tc>
        <w:tc>
          <w:tcPr>
            <w:tcW w:w="1130" w:type="dxa"/>
            <w:vAlign w:val="top"/>
          </w:tcPr>
          <w:p w14:paraId="30B8D680">
            <w:pPr>
              <w:rPr>
                <w:rFonts w:ascii="Arial"/>
                <w:color w:val="auto"/>
                <w:sz w:val="21"/>
                <w:highlight w:val="none"/>
              </w:rPr>
            </w:pPr>
          </w:p>
        </w:tc>
        <w:tc>
          <w:tcPr>
            <w:tcW w:w="4261" w:type="dxa"/>
            <w:tcBorders>
              <w:right w:val="single" w:color="000000" w:sz="10" w:space="0"/>
            </w:tcBorders>
            <w:vAlign w:val="top"/>
          </w:tcPr>
          <w:p w14:paraId="1E8159F0">
            <w:pPr>
              <w:rPr>
                <w:rFonts w:ascii="Arial"/>
                <w:color w:val="auto"/>
                <w:sz w:val="21"/>
                <w:highlight w:val="none"/>
              </w:rPr>
            </w:pPr>
          </w:p>
        </w:tc>
      </w:tr>
      <w:tr w14:paraId="04973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43BED26">
            <w:pPr>
              <w:pStyle w:val="18"/>
              <w:spacing w:before="184" w:line="220" w:lineRule="auto"/>
              <w:ind w:left="512"/>
              <w:rPr>
                <w:color w:val="auto"/>
                <w:highlight w:val="none"/>
              </w:rPr>
            </w:pPr>
            <w:r>
              <w:rPr>
                <w:color w:val="auto"/>
                <w:spacing w:val="-1"/>
                <w:highlight w:val="none"/>
              </w:rPr>
              <w:t>质量管理</w:t>
            </w:r>
          </w:p>
        </w:tc>
        <w:tc>
          <w:tcPr>
            <w:tcW w:w="1413" w:type="dxa"/>
            <w:vAlign w:val="top"/>
          </w:tcPr>
          <w:p w14:paraId="24465090">
            <w:pPr>
              <w:rPr>
                <w:rFonts w:ascii="Arial"/>
                <w:color w:val="auto"/>
                <w:sz w:val="21"/>
                <w:highlight w:val="none"/>
              </w:rPr>
            </w:pPr>
          </w:p>
        </w:tc>
        <w:tc>
          <w:tcPr>
            <w:tcW w:w="1134" w:type="dxa"/>
            <w:vAlign w:val="top"/>
          </w:tcPr>
          <w:p w14:paraId="552B9D81">
            <w:pPr>
              <w:rPr>
                <w:rFonts w:ascii="Arial"/>
                <w:color w:val="auto"/>
                <w:sz w:val="21"/>
                <w:highlight w:val="none"/>
              </w:rPr>
            </w:pPr>
          </w:p>
        </w:tc>
        <w:tc>
          <w:tcPr>
            <w:tcW w:w="1130" w:type="dxa"/>
            <w:vAlign w:val="top"/>
          </w:tcPr>
          <w:p w14:paraId="1417AFA9">
            <w:pPr>
              <w:rPr>
                <w:rFonts w:ascii="Arial"/>
                <w:color w:val="auto"/>
                <w:sz w:val="21"/>
                <w:highlight w:val="none"/>
              </w:rPr>
            </w:pPr>
          </w:p>
        </w:tc>
        <w:tc>
          <w:tcPr>
            <w:tcW w:w="4261" w:type="dxa"/>
            <w:tcBorders>
              <w:right w:val="single" w:color="000000" w:sz="10" w:space="0"/>
            </w:tcBorders>
            <w:vAlign w:val="top"/>
          </w:tcPr>
          <w:p w14:paraId="14F23E3A">
            <w:pPr>
              <w:rPr>
                <w:rFonts w:ascii="Arial"/>
                <w:color w:val="auto"/>
                <w:sz w:val="21"/>
                <w:highlight w:val="none"/>
              </w:rPr>
            </w:pPr>
          </w:p>
        </w:tc>
      </w:tr>
      <w:tr w14:paraId="15E82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460D1B5">
            <w:pPr>
              <w:pStyle w:val="18"/>
              <w:spacing w:before="185" w:line="219" w:lineRule="auto"/>
              <w:ind w:left="511"/>
              <w:rPr>
                <w:color w:val="auto"/>
                <w:highlight w:val="none"/>
              </w:rPr>
            </w:pPr>
            <w:r>
              <w:rPr>
                <w:color w:val="auto"/>
                <w:spacing w:val="-1"/>
                <w:highlight w:val="none"/>
              </w:rPr>
              <w:t>材料管理</w:t>
            </w:r>
          </w:p>
        </w:tc>
        <w:tc>
          <w:tcPr>
            <w:tcW w:w="1413" w:type="dxa"/>
            <w:vAlign w:val="top"/>
          </w:tcPr>
          <w:p w14:paraId="1E359A8B">
            <w:pPr>
              <w:rPr>
                <w:rFonts w:ascii="Arial"/>
                <w:color w:val="auto"/>
                <w:sz w:val="21"/>
                <w:highlight w:val="none"/>
              </w:rPr>
            </w:pPr>
          </w:p>
        </w:tc>
        <w:tc>
          <w:tcPr>
            <w:tcW w:w="1134" w:type="dxa"/>
            <w:vAlign w:val="top"/>
          </w:tcPr>
          <w:p w14:paraId="56417DA7">
            <w:pPr>
              <w:rPr>
                <w:rFonts w:ascii="Arial"/>
                <w:color w:val="auto"/>
                <w:sz w:val="21"/>
                <w:highlight w:val="none"/>
              </w:rPr>
            </w:pPr>
          </w:p>
        </w:tc>
        <w:tc>
          <w:tcPr>
            <w:tcW w:w="1130" w:type="dxa"/>
            <w:vAlign w:val="top"/>
          </w:tcPr>
          <w:p w14:paraId="13A3E53D">
            <w:pPr>
              <w:rPr>
                <w:rFonts w:ascii="Arial"/>
                <w:color w:val="auto"/>
                <w:sz w:val="21"/>
                <w:highlight w:val="none"/>
              </w:rPr>
            </w:pPr>
          </w:p>
        </w:tc>
        <w:tc>
          <w:tcPr>
            <w:tcW w:w="4261" w:type="dxa"/>
            <w:tcBorders>
              <w:right w:val="single" w:color="000000" w:sz="10" w:space="0"/>
            </w:tcBorders>
            <w:vAlign w:val="top"/>
          </w:tcPr>
          <w:p w14:paraId="054EC2D6">
            <w:pPr>
              <w:rPr>
                <w:rFonts w:ascii="Arial"/>
                <w:color w:val="auto"/>
                <w:sz w:val="21"/>
                <w:highlight w:val="none"/>
              </w:rPr>
            </w:pPr>
          </w:p>
        </w:tc>
      </w:tr>
      <w:tr w14:paraId="6A19E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B84D106">
            <w:pPr>
              <w:pStyle w:val="18"/>
              <w:spacing w:before="187" w:line="218" w:lineRule="auto"/>
              <w:ind w:left="511"/>
              <w:rPr>
                <w:color w:val="auto"/>
                <w:highlight w:val="none"/>
              </w:rPr>
            </w:pPr>
            <w:r>
              <w:rPr>
                <w:color w:val="auto"/>
                <w:spacing w:val="-1"/>
                <w:highlight w:val="none"/>
              </w:rPr>
              <w:t>计划管理</w:t>
            </w:r>
          </w:p>
        </w:tc>
        <w:tc>
          <w:tcPr>
            <w:tcW w:w="1413" w:type="dxa"/>
            <w:vAlign w:val="top"/>
          </w:tcPr>
          <w:p w14:paraId="61D3712B">
            <w:pPr>
              <w:rPr>
                <w:rFonts w:ascii="Arial"/>
                <w:color w:val="auto"/>
                <w:sz w:val="21"/>
                <w:highlight w:val="none"/>
              </w:rPr>
            </w:pPr>
          </w:p>
        </w:tc>
        <w:tc>
          <w:tcPr>
            <w:tcW w:w="1134" w:type="dxa"/>
            <w:vAlign w:val="top"/>
          </w:tcPr>
          <w:p w14:paraId="45F4EF01">
            <w:pPr>
              <w:rPr>
                <w:rFonts w:ascii="Arial"/>
                <w:color w:val="auto"/>
                <w:sz w:val="21"/>
                <w:highlight w:val="none"/>
              </w:rPr>
            </w:pPr>
          </w:p>
        </w:tc>
        <w:tc>
          <w:tcPr>
            <w:tcW w:w="1130" w:type="dxa"/>
            <w:vAlign w:val="top"/>
          </w:tcPr>
          <w:p w14:paraId="08E65F9F">
            <w:pPr>
              <w:rPr>
                <w:rFonts w:ascii="Arial"/>
                <w:color w:val="auto"/>
                <w:sz w:val="21"/>
                <w:highlight w:val="none"/>
              </w:rPr>
            </w:pPr>
          </w:p>
        </w:tc>
        <w:tc>
          <w:tcPr>
            <w:tcW w:w="4261" w:type="dxa"/>
            <w:tcBorders>
              <w:right w:val="single" w:color="000000" w:sz="10" w:space="0"/>
            </w:tcBorders>
            <w:vAlign w:val="top"/>
          </w:tcPr>
          <w:p w14:paraId="045A6A09">
            <w:pPr>
              <w:rPr>
                <w:rFonts w:ascii="Arial"/>
                <w:color w:val="auto"/>
                <w:sz w:val="21"/>
                <w:highlight w:val="none"/>
              </w:rPr>
            </w:pPr>
          </w:p>
        </w:tc>
      </w:tr>
      <w:tr w14:paraId="40DBB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38F93CF">
            <w:pPr>
              <w:pStyle w:val="18"/>
              <w:spacing w:before="188" w:line="217" w:lineRule="auto"/>
              <w:ind w:left="515"/>
              <w:rPr>
                <w:color w:val="auto"/>
                <w:highlight w:val="none"/>
              </w:rPr>
            </w:pPr>
            <w:r>
              <w:rPr>
                <w:color w:val="auto"/>
                <w:spacing w:val="-2"/>
                <w:highlight w:val="none"/>
              </w:rPr>
              <w:t>安全管理</w:t>
            </w:r>
          </w:p>
        </w:tc>
        <w:tc>
          <w:tcPr>
            <w:tcW w:w="1413" w:type="dxa"/>
            <w:vAlign w:val="top"/>
          </w:tcPr>
          <w:p w14:paraId="6FE0FDDA">
            <w:pPr>
              <w:rPr>
                <w:rFonts w:ascii="Arial"/>
                <w:color w:val="auto"/>
                <w:sz w:val="21"/>
                <w:highlight w:val="none"/>
              </w:rPr>
            </w:pPr>
          </w:p>
        </w:tc>
        <w:tc>
          <w:tcPr>
            <w:tcW w:w="1134" w:type="dxa"/>
            <w:vAlign w:val="top"/>
          </w:tcPr>
          <w:p w14:paraId="37C6027A">
            <w:pPr>
              <w:rPr>
                <w:rFonts w:ascii="Arial"/>
                <w:color w:val="auto"/>
                <w:sz w:val="21"/>
                <w:highlight w:val="none"/>
              </w:rPr>
            </w:pPr>
          </w:p>
        </w:tc>
        <w:tc>
          <w:tcPr>
            <w:tcW w:w="1130" w:type="dxa"/>
            <w:vAlign w:val="top"/>
          </w:tcPr>
          <w:p w14:paraId="52441093">
            <w:pPr>
              <w:rPr>
                <w:rFonts w:ascii="Arial"/>
                <w:color w:val="auto"/>
                <w:sz w:val="21"/>
                <w:highlight w:val="none"/>
              </w:rPr>
            </w:pPr>
          </w:p>
        </w:tc>
        <w:tc>
          <w:tcPr>
            <w:tcW w:w="4261" w:type="dxa"/>
            <w:tcBorders>
              <w:right w:val="single" w:color="000000" w:sz="10" w:space="0"/>
            </w:tcBorders>
            <w:vAlign w:val="top"/>
          </w:tcPr>
          <w:p w14:paraId="4D23D630">
            <w:pPr>
              <w:rPr>
                <w:rFonts w:ascii="Arial"/>
                <w:color w:val="auto"/>
                <w:sz w:val="21"/>
                <w:highlight w:val="none"/>
              </w:rPr>
            </w:pPr>
          </w:p>
        </w:tc>
      </w:tr>
      <w:tr w14:paraId="6202B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027C1734">
            <w:pPr>
              <w:spacing w:line="249" w:lineRule="auto"/>
              <w:rPr>
                <w:rFonts w:ascii="Arial"/>
                <w:color w:val="auto"/>
                <w:sz w:val="21"/>
                <w:highlight w:val="none"/>
              </w:rPr>
            </w:pPr>
          </w:p>
          <w:p w14:paraId="1B03F764">
            <w:pPr>
              <w:spacing w:line="249" w:lineRule="auto"/>
              <w:rPr>
                <w:rFonts w:ascii="Arial"/>
                <w:color w:val="auto"/>
                <w:sz w:val="21"/>
                <w:highlight w:val="none"/>
              </w:rPr>
            </w:pPr>
          </w:p>
          <w:p w14:paraId="18A158E3">
            <w:pPr>
              <w:spacing w:line="249" w:lineRule="auto"/>
              <w:rPr>
                <w:rFonts w:ascii="Arial"/>
                <w:color w:val="auto"/>
                <w:sz w:val="21"/>
                <w:highlight w:val="none"/>
              </w:rPr>
            </w:pPr>
          </w:p>
          <w:p w14:paraId="2DFB5B53">
            <w:pPr>
              <w:spacing w:line="249" w:lineRule="auto"/>
              <w:rPr>
                <w:rFonts w:ascii="Arial"/>
                <w:color w:val="auto"/>
                <w:sz w:val="21"/>
                <w:highlight w:val="none"/>
              </w:rPr>
            </w:pPr>
          </w:p>
          <w:p w14:paraId="69A3D2A8">
            <w:pPr>
              <w:spacing w:line="250" w:lineRule="auto"/>
              <w:rPr>
                <w:rFonts w:ascii="Arial"/>
                <w:color w:val="auto"/>
                <w:sz w:val="21"/>
                <w:highlight w:val="none"/>
              </w:rPr>
            </w:pPr>
          </w:p>
          <w:p w14:paraId="7CFA89E9">
            <w:pPr>
              <w:pStyle w:val="18"/>
              <w:spacing w:before="68" w:line="221" w:lineRule="auto"/>
              <w:ind w:left="512"/>
              <w:rPr>
                <w:color w:val="auto"/>
                <w:highlight w:val="none"/>
              </w:rPr>
            </w:pPr>
            <w:r>
              <w:rPr>
                <w:color w:val="auto"/>
                <w:spacing w:val="-1"/>
                <w:highlight w:val="none"/>
              </w:rPr>
              <w:t>其他人员</w:t>
            </w:r>
          </w:p>
        </w:tc>
        <w:tc>
          <w:tcPr>
            <w:tcW w:w="1413" w:type="dxa"/>
            <w:vAlign w:val="top"/>
          </w:tcPr>
          <w:p w14:paraId="43028219">
            <w:pPr>
              <w:rPr>
                <w:rFonts w:ascii="Arial"/>
                <w:color w:val="auto"/>
                <w:sz w:val="21"/>
                <w:highlight w:val="none"/>
              </w:rPr>
            </w:pPr>
          </w:p>
        </w:tc>
        <w:tc>
          <w:tcPr>
            <w:tcW w:w="1134" w:type="dxa"/>
            <w:vAlign w:val="top"/>
          </w:tcPr>
          <w:p w14:paraId="62A6099B">
            <w:pPr>
              <w:rPr>
                <w:rFonts w:ascii="Arial"/>
                <w:color w:val="auto"/>
                <w:sz w:val="21"/>
                <w:highlight w:val="none"/>
              </w:rPr>
            </w:pPr>
          </w:p>
        </w:tc>
        <w:tc>
          <w:tcPr>
            <w:tcW w:w="1130" w:type="dxa"/>
            <w:vAlign w:val="top"/>
          </w:tcPr>
          <w:p w14:paraId="6280B95F">
            <w:pPr>
              <w:rPr>
                <w:rFonts w:ascii="Arial"/>
                <w:color w:val="auto"/>
                <w:sz w:val="21"/>
                <w:highlight w:val="none"/>
              </w:rPr>
            </w:pPr>
          </w:p>
        </w:tc>
        <w:tc>
          <w:tcPr>
            <w:tcW w:w="4261" w:type="dxa"/>
            <w:tcBorders>
              <w:right w:val="single" w:color="000000" w:sz="10" w:space="0"/>
            </w:tcBorders>
            <w:vAlign w:val="top"/>
          </w:tcPr>
          <w:p w14:paraId="1B3E7135">
            <w:pPr>
              <w:rPr>
                <w:rFonts w:ascii="Arial"/>
                <w:color w:val="auto"/>
                <w:sz w:val="21"/>
                <w:highlight w:val="none"/>
              </w:rPr>
            </w:pPr>
          </w:p>
        </w:tc>
      </w:tr>
      <w:tr w14:paraId="6832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539DD94">
            <w:pPr>
              <w:rPr>
                <w:rFonts w:ascii="Arial"/>
                <w:color w:val="auto"/>
                <w:sz w:val="21"/>
                <w:highlight w:val="none"/>
              </w:rPr>
            </w:pPr>
          </w:p>
        </w:tc>
        <w:tc>
          <w:tcPr>
            <w:tcW w:w="1413" w:type="dxa"/>
            <w:vAlign w:val="top"/>
          </w:tcPr>
          <w:p w14:paraId="5651FEF6">
            <w:pPr>
              <w:rPr>
                <w:rFonts w:ascii="Arial"/>
                <w:color w:val="auto"/>
                <w:sz w:val="21"/>
                <w:highlight w:val="none"/>
              </w:rPr>
            </w:pPr>
          </w:p>
        </w:tc>
        <w:tc>
          <w:tcPr>
            <w:tcW w:w="1134" w:type="dxa"/>
            <w:vAlign w:val="top"/>
          </w:tcPr>
          <w:p w14:paraId="318AF9B2">
            <w:pPr>
              <w:rPr>
                <w:rFonts w:ascii="Arial"/>
                <w:color w:val="auto"/>
                <w:sz w:val="21"/>
                <w:highlight w:val="none"/>
              </w:rPr>
            </w:pPr>
          </w:p>
        </w:tc>
        <w:tc>
          <w:tcPr>
            <w:tcW w:w="1130" w:type="dxa"/>
            <w:vAlign w:val="top"/>
          </w:tcPr>
          <w:p w14:paraId="2E9BC24D">
            <w:pPr>
              <w:rPr>
                <w:rFonts w:ascii="Arial"/>
                <w:color w:val="auto"/>
                <w:sz w:val="21"/>
                <w:highlight w:val="none"/>
              </w:rPr>
            </w:pPr>
          </w:p>
        </w:tc>
        <w:tc>
          <w:tcPr>
            <w:tcW w:w="4261" w:type="dxa"/>
            <w:tcBorders>
              <w:right w:val="single" w:color="000000" w:sz="10" w:space="0"/>
            </w:tcBorders>
            <w:vAlign w:val="top"/>
          </w:tcPr>
          <w:p w14:paraId="0FF0E2C5">
            <w:pPr>
              <w:rPr>
                <w:rFonts w:ascii="Arial"/>
                <w:color w:val="auto"/>
                <w:sz w:val="21"/>
                <w:highlight w:val="none"/>
              </w:rPr>
            </w:pPr>
          </w:p>
        </w:tc>
      </w:tr>
      <w:tr w14:paraId="108EC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7BFB8F3">
            <w:pPr>
              <w:rPr>
                <w:rFonts w:ascii="Arial"/>
                <w:color w:val="auto"/>
                <w:sz w:val="21"/>
                <w:highlight w:val="none"/>
              </w:rPr>
            </w:pPr>
          </w:p>
        </w:tc>
        <w:tc>
          <w:tcPr>
            <w:tcW w:w="1413" w:type="dxa"/>
            <w:vAlign w:val="top"/>
          </w:tcPr>
          <w:p w14:paraId="45E038CC">
            <w:pPr>
              <w:rPr>
                <w:rFonts w:ascii="Arial"/>
                <w:color w:val="auto"/>
                <w:sz w:val="21"/>
                <w:highlight w:val="none"/>
              </w:rPr>
            </w:pPr>
          </w:p>
        </w:tc>
        <w:tc>
          <w:tcPr>
            <w:tcW w:w="1134" w:type="dxa"/>
            <w:vAlign w:val="top"/>
          </w:tcPr>
          <w:p w14:paraId="1295B050">
            <w:pPr>
              <w:rPr>
                <w:rFonts w:ascii="Arial"/>
                <w:color w:val="auto"/>
                <w:sz w:val="21"/>
                <w:highlight w:val="none"/>
              </w:rPr>
            </w:pPr>
          </w:p>
        </w:tc>
        <w:tc>
          <w:tcPr>
            <w:tcW w:w="1130" w:type="dxa"/>
            <w:vAlign w:val="top"/>
          </w:tcPr>
          <w:p w14:paraId="7F5FBDBD">
            <w:pPr>
              <w:rPr>
                <w:rFonts w:ascii="Arial"/>
                <w:color w:val="auto"/>
                <w:sz w:val="21"/>
                <w:highlight w:val="none"/>
              </w:rPr>
            </w:pPr>
          </w:p>
        </w:tc>
        <w:tc>
          <w:tcPr>
            <w:tcW w:w="4261" w:type="dxa"/>
            <w:tcBorders>
              <w:right w:val="single" w:color="000000" w:sz="10" w:space="0"/>
            </w:tcBorders>
            <w:vAlign w:val="top"/>
          </w:tcPr>
          <w:p w14:paraId="3B92E826">
            <w:pPr>
              <w:rPr>
                <w:rFonts w:ascii="Arial"/>
                <w:color w:val="auto"/>
                <w:sz w:val="21"/>
                <w:highlight w:val="none"/>
              </w:rPr>
            </w:pPr>
          </w:p>
        </w:tc>
      </w:tr>
      <w:tr w14:paraId="093F7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4891B4DD">
            <w:pPr>
              <w:rPr>
                <w:rFonts w:ascii="Arial"/>
                <w:color w:val="auto"/>
                <w:sz w:val="21"/>
                <w:highlight w:val="none"/>
              </w:rPr>
            </w:pPr>
          </w:p>
        </w:tc>
        <w:tc>
          <w:tcPr>
            <w:tcW w:w="1413" w:type="dxa"/>
            <w:vAlign w:val="top"/>
          </w:tcPr>
          <w:p w14:paraId="05AD2DE9">
            <w:pPr>
              <w:rPr>
                <w:rFonts w:ascii="Arial"/>
                <w:color w:val="auto"/>
                <w:sz w:val="21"/>
                <w:highlight w:val="none"/>
              </w:rPr>
            </w:pPr>
          </w:p>
        </w:tc>
        <w:tc>
          <w:tcPr>
            <w:tcW w:w="1134" w:type="dxa"/>
            <w:vAlign w:val="top"/>
          </w:tcPr>
          <w:p w14:paraId="14192D3B">
            <w:pPr>
              <w:rPr>
                <w:rFonts w:ascii="Arial"/>
                <w:color w:val="auto"/>
                <w:sz w:val="21"/>
                <w:highlight w:val="none"/>
              </w:rPr>
            </w:pPr>
          </w:p>
        </w:tc>
        <w:tc>
          <w:tcPr>
            <w:tcW w:w="1130" w:type="dxa"/>
            <w:vAlign w:val="top"/>
          </w:tcPr>
          <w:p w14:paraId="71C00A24">
            <w:pPr>
              <w:rPr>
                <w:rFonts w:ascii="Arial"/>
                <w:color w:val="auto"/>
                <w:sz w:val="21"/>
                <w:highlight w:val="none"/>
              </w:rPr>
            </w:pPr>
          </w:p>
        </w:tc>
        <w:tc>
          <w:tcPr>
            <w:tcW w:w="4261" w:type="dxa"/>
            <w:tcBorders>
              <w:right w:val="single" w:color="000000" w:sz="10" w:space="0"/>
            </w:tcBorders>
            <w:vAlign w:val="top"/>
          </w:tcPr>
          <w:p w14:paraId="360AAB46">
            <w:pPr>
              <w:rPr>
                <w:rFonts w:ascii="Arial"/>
                <w:color w:val="auto"/>
                <w:sz w:val="21"/>
                <w:highlight w:val="none"/>
              </w:rPr>
            </w:pPr>
          </w:p>
        </w:tc>
      </w:tr>
      <w:tr w14:paraId="2B1DA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CE71AD3">
            <w:pPr>
              <w:rPr>
                <w:rFonts w:ascii="Arial"/>
                <w:color w:val="auto"/>
                <w:sz w:val="21"/>
                <w:highlight w:val="none"/>
              </w:rPr>
            </w:pPr>
          </w:p>
        </w:tc>
        <w:tc>
          <w:tcPr>
            <w:tcW w:w="1413" w:type="dxa"/>
            <w:vAlign w:val="top"/>
          </w:tcPr>
          <w:p w14:paraId="72C26935">
            <w:pPr>
              <w:rPr>
                <w:rFonts w:ascii="Arial"/>
                <w:color w:val="auto"/>
                <w:sz w:val="21"/>
                <w:highlight w:val="none"/>
              </w:rPr>
            </w:pPr>
          </w:p>
        </w:tc>
        <w:tc>
          <w:tcPr>
            <w:tcW w:w="1134" w:type="dxa"/>
            <w:vAlign w:val="top"/>
          </w:tcPr>
          <w:p w14:paraId="68BCA4F6">
            <w:pPr>
              <w:rPr>
                <w:rFonts w:ascii="Arial"/>
                <w:color w:val="auto"/>
                <w:sz w:val="21"/>
                <w:highlight w:val="none"/>
              </w:rPr>
            </w:pPr>
          </w:p>
        </w:tc>
        <w:tc>
          <w:tcPr>
            <w:tcW w:w="1130" w:type="dxa"/>
            <w:vAlign w:val="top"/>
          </w:tcPr>
          <w:p w14:paraId="356A58A4">
            <w:pPr>
              <w:rPr>
                <w:rFonts w:ascii="Arial"/>
                <w:color w:val="auto"/>
                <w:sz w:val="21"/>
                <w:highlight w:val="none"/>
              </w:rPr>
            </w:pPr>
          </w:p>
        </w:tc>
        <w:tc>
          <w:tcPr>
            <w:tcW w:w="4261" w:type="dxa"/>
            <w:tcBorders>
              <w:right w:val="single" w:color="000000" w:sz="10" w:space="0"/>
            </w:tcBorders>
            <w:vAlign w:val="top"/>
          </w:tcPr>
          <w:p w14:paraId="2E8C6EC0">
            <w:pPr>
              <w:rPr>
                <w:rFonts w:ascii="Arial"/>
                <w:color w:val="auto"/>
                <w:sz w:val="21"/>
                <w:highlight w:val="none"/>
              </w:rPr>
            </w:pPr>
          </w:p>
        </w:tc>
      </w:tr>
      <w:tr w14:paraId="770B7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5C833540">
            <w:pPr>
              <w:rPr>
                <w:rFonts w:ascii="Arial"/>
                <w:color w:val="auto"/>
                <w:sz w:val="21"/>
                <w:highlight w:val="none"/>
              </w:rPr>
            </w:pPr>
          </w:p>
        </w:tc>
        <w:tc>
          <w:tcPr>
            <w:tcW w:w="1413" w:type="dxa"/>
            <w:tcBorders>
              <w:bottom w:val="single" w:color="000000" w:sz="10" w:space="0"/>
            </w:tcBorders>
            <w:vAlign w:val="top"/>
          </w:tcPr>
          <w:p w14:paraId="02F65C67">
            <w:pPr>
              <w:rPr>
                <w:rFonts w:ascii="Arial"/>
                <w:color w:val="auto"/>
                <w:sz w:val="21"/>
                <w:highlight w:val="none"/>
              </w:rPr>
            </w:pPr>
          </w:p>
        </w:tc>
        <w:tc>
          <w:tcPr>
            <w:tcW w:w="1134" w:type="dxa"/>
            <w:tcBorders>
              <w:bottom w:val="single" w:color="000000" w:sz="10" w:space="0"/>
            </w:tcBorders>
            <w:vAlign w:val="top"/>
          </w:tcPr>
          <w:p w14:paraId="03E04271">
            <w:pPr>
              <w:rPr>
                <w:rFonts w:ascii="Arial"/>
                <w:color w:val="auto"/>
                <w:sz w:val="21"/>
                <w:highlight w:val="none"/>
              </w:rPr>
            </w:pPr>
          </w:p>
        </w:tc>
        <w:tc>
          <w:tcPr>
            <w:tcW w:w="1130" w:type="dxa"/>
            <w:tcBorders>
              <w:bottom w:val="single" w:color="000000" w:sz="10" w:space="0"/>
            </w:tcBorders>
            <w:vAlign w:val="top"/>
          </w:tcPr>
          <w:p w14:paraId="686B8209">
            <w:pPr>
              <w:rPr>
                <w:rFonts w:ascii="Arial"/>
                <w:color w:val="auto"/>
                <w:sz w:val="21"/>
                <w:highlight w:val="none"/>
              </w:rPr>
            </w:pPr>
          </w:p>
        </w:tc>
        <w:tc>
          <w:tcPr>
            <w:tcW w:w="4261" w:type="dxa"/>
            <w:tcBorders>
              <w:bottom w:val="single" w:color="000000" w:sz="10" w:space="0"/>
              <w:right w:val="single" w:color="000000" w:sz="10" w:space="0"/>
            </w:tcBorders>
            <w:vAlign w:val="top"/>
          </w:tcPr>
          <w:p w14:paraId="03751770">
            <w:pPr>
              <w:rPr>
                <w:rFonts w:ascii="Arial"/>
                <w:color w:val="auto"/>
                <w:sz w:val="21"/>
                <w:highlight w:val="none"/>
              </w:rPr>
            </w:pPr>
          </w:p>
        </w:tc>
      </w:tr>
    </w:tbl>
    <w:p w14:paraId="37DA835B">
      <w:pPr>
        <w:pStyle w:val="5"/>
        <w:rPr>
          <w:color w:val="auto"/>
          <w:highlight w:val="none"/>
        </w:rPr>
      </w:pPr>
    </w:p>
    <w:p w14:paraId="71D6A729">
      <w:pPr>
        <w:rPr>
          <w:color w:val="auto"/>
          <w:highlight w:val="none"/>
        </w:rPr>
        <w:sectPr>
          <w:footerReference r:id="rId105" w:type="default"/>
          <w:pgSz w:w="11905" w:h="16839"/>
          <w:pgMar w:top="400" w:right="1027" w:bottom="1004" w:left="1032" w:header="0" w:footer="828" w:gutter="0"/>
          <w:pgNumType w:fmt="decimal"/>
          <w:cols w:space="720" w:num="1"/>
        </w:sectPr>
      </w:pPr>
    </w:p>
    <w:p w14:paraId="5707E793">
      <w:pPr>
        <w:pStyle w:val="5"/>
        <w:spacing w:line="276" w:lineRule="auto"/>
        <w:rPr>
          <w:color w:val="auto"/>
          <w:highlight w:val="none"/>
        </w:rPr>
      </w:pPr>
    </w:p>
    <w:p w14:paraId="09861F85">
      <w:pPr>
        <w:pStyle w:val="5"/>
        <w:spacing w:line="276" w:lineRule="auto"/>
        <w:rPr>
          <w:color w:val="auto"/>
          <w:highlight w:val="none"/>
        </w:rPr>
      </w:pPr>
    </w:p>
    <w:p w14:paraId="043B199D">
      <w:pPr>
        <w:pStyle w:val="5"/>
        <w:spacing w:line="276" w:lineRule="auto"/>
        <w:rPr>
          <w:color w:val="auto"/>
          <w:highlight w:val="none"/>
        </w:rPr>
      </w:pPr>
    </w:p>
    <w:p w14:paraId="690B2CCE">
      <w:pPr>
        <w:pStyle w:val="5"/>
        <w:spacing w:line="276" w:lineRule="auto"/>
        <w:rPr>
          <w:color w:val="auto"/>
          <w:highlight w:val="none"/>
        </w:rPr>
      </w:pPr>
    </w:p>
    <w:p w14:paraId="6CED38CD">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47"/>
          <w:sz w:val="24"/>
          <w:szCs w:val="24"/>
          <w:highlight w:val="none"/>
        </w:rPr>
        <w:t xml:space="preserve"> </w:t>
      </w:r>
      <w:r>
        <w:rPr>
          <w:rFonts w:ascii="Times New Roman" w:hAnsi="Times New Roman" w:eastAsia="Times New Roman" w:cs="Times New Roman"/>
          <w:color w:val="auto"/>
          <w:spacing w:val="-11"/>
          <w:sz w:val="24"/>
          <w:szCs w:val="24"/>
          <w:highlight w:val="none"/>
        </w:rPr>
        <w:t>8</w:t>
      </w:r>
      <w:r>
        <w:rPr>
          <w:rFonts w:ascii="宋体" w:hAnsi="宋体" w:eastAsia="宋体" w:cs="宋体"/>
          <w:color w:val="auto"/>
          <w:spacing w:val="-11"/>
          <w:sz w:val="24"/>
          <w:szCs w:val="24"/>
          <w:highlight w:val="none"/>
        </w:rPr>
        <w:t>：</w:t>
      </w:r>
    </w:p>
    <w:p w14:paraId="61D8C4C6">
      <w:pPr>
        <w:spacing w:before="243" w:line="225" w:lineRule="auto"/>
        <w:ind w:left="3338"/>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履约担保格式</w:t>
      </w:r>
    </w:p>
    <w:p w14:paraId="63922B21">
      <w:pPr>
        <w:spacing w:before="142" w:line="221" w:lineRule="auto"/>
        <w:ind w:left="655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14:paraId="52265A04">
      <w:pPr>
        <w:spacing w:before="157" w:line="412" w:lineRule="exact"/>
        <w:ind w:left="45"/>
        <w:rPr>
          <w:rFonts w:ascii="宋体" w:hAnsi="宋体" w:eastAsia="宋体" w:cs="宋体"/>
          <w:color w:val="auto"/>
          <w:sz w:val="21"/>
          <w:szCs w:val="21"/>
          <w:highlight w:val="none"/>
        </w:rPr>
      </w:pPr>
      <w:r>
        <w:rPr>
          <w:rFonts w:ascii="宋体" w:hAnsi="宋体" w:eastAsia="宋体" w:cs="宋体"/>
          <w:color w:val="auto"/>
          <w:spacing w:val="-15"/>
          <w:position w:val="15"/>
          <w:sz w:val="21"/>
          <w:szCs w:val="21"/>
          <w:highlight w:val="none"/>
        </w:rPr>
        <w:t>申请人：</w:t>
      </w:r>
    </w:p>
    <w:p w14:paraId="0A76EEC7">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3DD41F3A">
      <w:pPr>
        <w:spacing w:before="146" w:line="223"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受益人：</w:t>
      </w:r>
    </w:p>
    <w:p w14:paraId="1E33C94A">
      <w:pPr>
        <w:spacing w:before="155" w:line="23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5547196C">
      <w:pPr>
        <w:spacing w:before="146" w:line="222" w:lineRule="auto"/>
        <w:ind w:left="1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开立人：</w:t>
      </w:r>
    </w:p>
    <w:p w14:paraId="1B9866F0">
      <w:pPr>
        <w:spacing w:before="156" w:line="23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0B98F0FD">
      <w:pPr>
        <w:pStyle w:val="5"/>
        <w:spacing w:line="241" w:lineRule="auto"/>
        <w:rPr>
          <w:color w:val="auto"/>
          <w:highlight w:val="none"/>
        </w:rPr>
      </w:pPr>
    </w:p>
    <w:p w14:paraId="66CAB080">
      <w:pPr>
        <w:pStyle w:val="5"/>
        <w:spacing w:line="241" w:lineRule="auto"/>
        <w:rPr>
          <w:color w:val="auto"/>
          <w:highlight w:val="none"/>
        </w:rPr>
      </w:pPr>
    </w:p>
    <w:p w14:paraId="06EDEB90">
      <w:pPr>
        <w:tabs>
          <w:tab w:val="left" w:pos="1483"/>
        </w:tabs>
        <w:spacing w:before="69" w:line="223"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3"/>
          <w:sz w:val="21"/>
          <w:szCs w:val="21"/>
          <w:highlight w:val="none"/>
        </w:rPr>
        <w:t>（受益人名称</w:t>
      </w:r>
      <w:r>
        <w:rPr>
          <w:rFonts w:ascii="宋体" w:hAnsi="宋体" w:eastAsia="宋体" w:cs="宋体"/>
          <w:color w:val="auto"/>
          <w:spacing w:val="-20"/>
          <w:sz w:val="21"/>
          <w:szCs w:val="21"/>
          <w:highlight w:val="none"/>
        </w:rPr>
        <w:t>）：</w:t>
      </w:r>
    </w:p>
    <w:p w14:paraId="275F4349">
      <w:pPr>
        <w:spacing w:before="153" w:line="360" w:lineRule="auto"/>
        <w:ind w:left="17" w:right="1" w:firstLine="42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鉴于</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1"/>
          <w:sz w:val="21"/>
          <w:szCs w:val="21"/>
          <w:highlight w:val="none"/>
        </w:rPr>
        <w:t xml:space="preserve"> </w:t>
      </w:r>
      <w:r>
        <w:rPr>
          <w:rFonts w:ascii="宋体" w:hAnsi="宋体" w:eastAsia="宋体" w:cs="宋体"/>
          <w:color w:val="auto"/>
          <w:spacing w:val="-5"/>
          <w:sz w:val="21"/>
          <w:szCs w:val="21"/>
          <w:highlight w:val="none"/>
        </w:rPr>
        <w:t>工程（以下简称“本工程”）的《中标通知书》及</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（以下简</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称“受益人”）与</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（以下简称“</w:t>
      </w:r>
      <w:r>
        <w:rPr>
          <w:rFonts w:ascii="宋体" w:hAnsi="宋体" w:eastAsia="宋体" w:cs="宋体"/>
          <w:color w:val="auto"/>
          <w:spacing w:val="-75"/>
          <w:sz w:val="21"/>
          <w:szCs w:val="21"/>
          <w:highlight w:val="none"/>
        </w:rPr>
        <w:t xml:space="preserve"> </w:t>
      </w:r>
      <w:r>
        <w:rPr>
          <w:rFonts w:ascii="宋体" w:hAnsi="宋体" w:eastAsia="宋体" w:cs="宋体"/>
          <w:color w:val="auto"/>
          <w:spacing w:val="-3"/>
          <w:sz w:val="21"/>
          <w:szCs w:val="21"/>
          <w:highlight w:val="none"/>
        </w:rPr>
        <w:t>申请人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3"/>
          <w:sz w:val="21"/>
          <w:szCs w:val="21"/>
          <w:highlight w:val="none"/>
        </w:rPr>
        <w:t>”）关于本工程签订/拟签订的</w:t>
      </w:r>
      <w:r>
        <w:rPr>
          <w:rFonts w:ascii="宋体" w:hAnsi="宋体" w:eastAsia="宋体" w:cs="宋体"/>
          <w:color w:val="auto"/>
          <w:spacing w:val="-4"/>
          <w:sz w:val="21"/>
          <w:szCs w:val="21"/>
          <w:highlight w:val="none"/>
        </w:rPr>
        <w:t>合同（以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下均简称“基础合同”）和有关事项，我方（即“</w:t>
      </w:r>
      <w:r>
        <w:rPr>
          <w:rFonts w:ascii="宋体" w:hAnsi="宋体" w:eastAsia="宋体" w:cs="宋体"/>
          <w:color w:val="auto"/>
          <w:spacing w:val="-3"/>
          <w:sz w:val="21"/>
          <w:szCs w:val="21"/>
          <w:highlight w:val="none"/>
        </w:rPr>
        <w:t>开立人”）根据基础合同了解到申请人为</w:t>
      </w:r>
      <w:r>
        <w:rPr>
          <w:rFonts w:ascii="宋体" w:hAnsi="宋体" w:eastAsia="宋体" w:cs="宋体"/>
          <w:color w:val="auto"/>
          <w:sz w:val="21"/>
          <w:szCs w:val="21"/>
          <w:highlight w:val="none"/>
        </w:rPr>
        <w:t xml:space="preserve"> 基础合同项下之承包人，受益人为基础合同项下之发包人， 基于申请人的请求，我方同意</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就申请人履行与贵方签订的基础合同项下的义务，向贵方提供不可撤销、不可转让的见索</w:t>
      </w:r>
    </w:p>
    <w:p w14:paraId="1C7C3F6A">
      <w:pPr>
        <w:spacing w:before="1" w:line="219" w:lineRule="auto"/>
        <w:ind w:left="33"/>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即付独立保函（以下简称“本保函”）。</w:t>
      </w:r>
    </w:p>
    <w:p w14:paraId="5C98D949">
      <w:pPr>
        <w:spacing w:before="158" w:line="408"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一、本保函担保范围： 承包人未按照基础合同的约定履行义务， 应当向贵方承担的违</w:t>
      </w:r>
    </w:p>
    <w:p w14:paraId="0F788EA7">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约责任和赔偿因此造成的损失、利息、律师费、诉讼费用等实现债权的费用。</w:t>
      </w:r>
    </w:p>
    <w:p w14:paraId="23FFEDA9">
      <w:pPr>
        <w:spacing w:before="157"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二、本保函担保金额最高不超过人民币（大写）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
          <w:sz w:val="21"/>
          <w:szCs w:val="21"/>
          <w:highlight w:val="none"/>
        </w:rPr>
        <w:t>元(¥</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1"/>
          <w:sz w:val="21"/>
          <w:szCs w:val="21"/>
          <w:highlight w:val="none"/>
        </w:rPr>
        <w:t>)。</w:t>
      </w:r>
    </w:p>
    <w:p w14:paraId="4E9550D0">
      <w:pPr>
        <w:spacing w:before="158" w:line="359"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三、本保函有效期自开立之日起至基础合同约定的缺陷责</w:t>
      </w:r>
      <w:r>
        <w:rPr>
          <w:rFonts w:ascii="宋体" w:hAnsi="宋体" w:eastAsia="宋体" w:cs="宋体"/>
          <w:color w:val="auto"/>
          <w:spacing w:val="-2"/>
          <w:sz w:val="21"/>
          <w:szCs w:val="21"/>
          <w:highlight w:val="none"/>
        </w:rPr>
        <w:t>任期后</w:t>
      </w:r>
      <w:r>
        <w:rPr>
          <w:rFonts w:ascii="宋体" w:hAnsi="宋体" w:eastAsia="宋体" w:cs="宋体"/>
          <w:color w:val="auto"/>
          <w:spacing w:val="-105"/>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2"/>
          <w:sz w:val="21"/>
          <w:szCs w:val="21"/>
          <w:highlight w:val="none"/>
        </w:rPr>
        <w:t>日止，最迟不超过</w:t>
      </w:r>
    </w:p>
    <w:p w14:paraId="6D224A0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6"/>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6"/>
          <w:sz w:val="21"/>
          <w:szCs w:val="21"/>
          <w:highlight w:val="none"/>
        </w:rPr>
        <w:t>日。</w:t>
      </w:r>
    </w:p>
    <w:p w14:paraId="4D709EB0">
      <w:pPr>
        <w:spacing w:before="157" w:line="363" w:lineRule="auto"/>
        <w:ind w:right="3"/>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四、我方承诺，在收到受益人发来的书面付款通知后的</w:t>
      </w:r>
      <w:r>
        <w:rPr>
          <w:rFonts w:ascii="宋体" w:hAnsi="宋体" w:eastAsia="宋体" w:cs="宋体"/>
          <w:color w:val="auto"/>
          <w:spacing w:val="-100"/>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2"/>
          <w:sz w:val="21"/>
          <w:szCs w:val="21"/>
          <w:highlight w:val="none"/>
        </w:rPr>
        <w:t>日内无条件支付，前述书</w:t>
      </w:r>
    </w:p>
    <w:p w14:paraId="020E8C7E">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面付款通知即为付款要求之单据，且应满足以下要求：</w:t>
      </w:r>
    </w:p>
    <w:p w14:paraId="08E9F2E2">
      <w:pPr>
        <w:spacing w:before="158"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（1）付款通知到达的日期在本保函的有效期内；</w:t>
      </w:r>
    </w:p>
    <w:p w14:paraId="1C0C4FE4">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（2）载明要求支付的金额；</w:t>
      </w:r>
    </w:p>
    <w:p w14:paraId="6B77D84D">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（3）载明申请人违反合同义务的条款和内</w:t>
      </w:r>
      <w:r>
        <w:rPr>
          <w:rFonts w:ascii="宋体" w:hAnsi="宋体" w:eastAsia="宋体" w:cs="宋体"/>
          <w:color w:val="auto"/>
          <w:spacing w:val="-3"/>
          <w:sz w:val="21"/>
          <w:szCs w:val="21"/>
          <w:highlight w:val="none"/>
        </w:rPr>
        <w:t>容；</w:t>
      </w:r>
    </w:p>
    <w:p w14:paraId="6B517B4B">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（4）声明不存在合同文件约定或我国法律规定免除申请人或开立人支付责任的情形；</w:t>
      </w:r>
    </w:p>
    <w:p w14:paraId="3844E12A">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（5）付款通知应在本保函有效期内到达的地</w:t>
      </w:r>
      <w:r>
        <w:rPr>
          <w:rFonts w:ascii="宋体" w:hAnsi="宋体" w:eastAsia="宋体" w:cs="宋体"/>
          <w:color w:val="auto"/>
          <w:spacing w:val="-3"/>
          <w:sz w:val="21"/>
          <w:szCs w:val="21"/>
          <w:highlight w:val="none"/>
        </w:rPr>
        <w:t>址是：</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2ED73223">
      <w:pPr>
        <w:spacing w:before="158"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受益人发出的书面付款通知应由其为鉴明受益人法定代表人（负责人）或授权代</w:t>
      </w:r>
      <w:r>
        <w:rPr>
          <w:rFonts w:ascii="宋体" w:hAnsi="宋体" w:eastAsia="宋体" w:cs="宋体"/>
          <w:color w:val="auto"/>
          <w:spacing w:val="2"/>
          <w:position w:val="15"/>
          <w:sz w:val="21"/>
          <w:szCs w:val="21"/>
          <w:highlight w:val="none"/>
        </w:rPr>
        <w:t>理人</w:t>
      </w:r>
    </w:p>
    <w:p w14:paraId="6368D6E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签字并加盖公章。</w:t>
      </w:r>
    </w:p>
    <w:p w14:paraId="59D8CA38">
      <w:pPr>
        <w:spacing w:before="158" w:line="413" w:lineRule="exact"/>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五、</w:t>
      </w:r>
      <w:r>
        <w:rPr>
          <w:rFonts w:ascii="宋体" w:hAnsi="宋体" w:eastAsia="宋体" w:cs="宋体"/>
          <w:color w:val="auto"/>
          <w:spacing w:val="-16"/>
          <w:position w:val="15"/>
          <w:sz w:val="21"/>
          <w:szCs w:val="21"/>
          <w:highlight w:val="none"/>
        </w:rPr>
        <w:t xml:space="preserve"> </w:t>
      </w:r>
      <w:r>
        <w:rPr>
          <w:rFonts w:ascii="宋体" w:hAnsi="宋体" w:eastAsia="宋体" w:cs="宋体"/>
          <w:color w:val="auto"/>
          <w:spacing w:val="-3"/>
          <w:position w:val="15"/>
          <w:sz w:val="21"/>
          <w:szCs w:val="21"/>
          <w:highlight w:val="none"/>
        </w:rPr>
        <w:t>本保函项下的权利不得转让，不得设定担保。贵方未经我方书面同意转</w:t>
      </w:r>
      <w:r>
        <w:rPr>
          <w:rFonts w:ascii="宋体" w:hAnsi="宋体" w:eastAsia="宋体" w:cs="宋体"/>
          <w:color w:val="auto"/>
          <w:spacing w:val="33"/>
          <w:position w:val="15"/>
          <w:sz w:val="21"/>
          <w:szCs w:val="21"/>
          <w:highlight w:val="none"/>
        </w:rPr>
        <w:t xml:space="preserve"> </w:t>
      </w:r>
      <w:r>
        <w:rPr>
          <w:rFonts w:ascii="宋体" w:hAnsi="宋体" w:eastAsia="宋体" w:cs="宋体"/>
          <w:color w:val="auto"/>
          <w:spacing w:val="-3"/>
          <w:position w:val="15"/>
          <w:sz w:val="21"/>
          <w:szCs w:val="21"/>
          <w:highlight w:val="none"/>
        </w:rPr>
        <w:t>让本保函</w:t>
      </w:r>
    </w:p>
    <w:p w14:paraId="3B3F3FB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或其项下任何权利， 对我方不发生法律效力。</w:t>
      </w:r>
    </w:p>
    <w:p w14:paraId="3E64802B">
      <w:pPr>
        <w:spacing w:line="220" w:lineRule="auto"/>
        <w:rPr>
          <w:rFonts w:ascii="宋体" w:hAnsi="宋体" w:eastAsia="宋体" w:cs="宋体"/>
          <w:color w:val="auto"/>
          <w:sz w:val="21"/>
          <w:szCs w:val="21"/>
          <w:highlight w:val="none"/>
        </w:rPr>
        <w:sectPr>
          <w:footerReference r:id="rId106" w:type="default"/>
          <w:pgSz w:w="11905" w:h="16839"/>
          <w:pgMar w:top="400" w:right="1785" w:bottom="1004" w:left="1785" w:header="0" w:footer="828" w:gutter="0"/>
          <w:pgNumType w:fmt="decimal"/>
          <w:cols w:space="720" w:num="1"/>
        </w:sectPr>
      </w:pPr>
    </w:p>
    <w:p w14:paraId="64A1FCCA">
      <w:pPr>
        <w:pStyle w:val="5"/>
        <w:spacing w:line="248" w:lineRule="auto"/>
        <w:rPr>
          <w:color w:val="auto"/>
          <w:highlight w:val="none"/>
        </w:rPr>
      </w:pPr>
    </w:p>
    <w:p w14:paraId="766D2FBE">
      <w:pPr>
        <w:pStyle w:val="5"/>
        <w:spacing w:line="249" w:lineRule="auto"/>
        <w:rPr>
          <w:color w:val="auto"/>
          <w:highlight w:val="none"/>
        </w:rPr>
      </w:pPr>
    </w:p>
    <w:p w14:paraId="794D4F21">
      <w:pPr>
        <w:pStyle w:val="5"/>
        <w:spacing w:line="249" w:lineRule="auto"/>
        <w:rPr>
          <w:color w:val="auto"/>
          <w:highlight w:val="none"/>
        </w:rPr>
      </w:pPr>
    </w:p>
    <w:p w14:paraId="733F50B2">
      <w:pPr>
        <w:pStyle w:val="5"/>
        <w:spacing w:line="249" w:lineRule="auto"/>
        <w:rPr>
          <w:color w:val="auto"/>
          <w:highlight w:val="none"/>
        </w:rPr>
      </w:pPr>
    </w:p>
    <w:p w14:paraId="1B9A04EF">
      <w:pPr>
        <w:spacing w:before="69" w:line="408"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六、与本保函有关的基础合同不成立、不生效、无效、被撤销、被解除，不影响本保</w:t>
      </w:r>
    </w:p>
    <w:p w14:paraId="5704748B">
      <w:pPr>
        <w:spacing w:line="221" w:lineRule="auto"/>
        <w:ind w:left="3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函的独立有效。</w:t>
      </w:r>
    </w:p>
    <w:p w14:paraId="31F2AA70">
      <w:pPr>
        <w:spacing w:before="156" w:line="359" w:lineRule="auto"/>
        <w:ind w:left="20" w:right="5"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贵方应在本保函到期后的七日内将本保函正本退回我方注销，但是不论贵方是否</w:t>
      </w:r>
      <w:r>
        <w:rPr>
          <w:rFonts w:ascii="宋体" w:hAnsi="宋体" w:eastAsia="宋体" w:cs="宋体"/>
          <w:color w:val="auto"/>
          <w:sz w:val="21"/>
          <w:szCs w:val="21"/>
          <w:highlight w:val="none"/>
        </w:rPr>
        <w:t xml:space="preserve"> 按此要求将本保函正本退回我方， 我方在本保函项下的义务和责任均在保函有效期到期后</w:t>
      </w:r>
    </w:p>
    <w:p w14:paraId="2FCB6600">
      <w:pPr>
        <w:spacing w:line="221" w:lineRule="auto"/>
        <w:ind w:left="5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自动消灭。</w:t>
      </w:r>
    </w:p>
    <w:p w14:paraId="1B7E1EED">
      <w:pPr>
        <w:spacing w:before="161"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6"/>
          <w:position w:val="15"/>
          <w:sz w:val="21"/>
          <w:szCs w:val="21"/>
          <w:highlight w:val="none"/>
        </w:rPr>
        <w:t>八、 本保函适用的法律为中华人民共和国法律，</w:t>
      </w:r>
      <w:r>
        <w:rPr>
          <w:rFonts w:ascii="宋体" w:hAnsi="宋体" w:eastAsia="宋体" w:cs="宋体"/>
          <w:color w:val="auto"/>
          <w:spacing w:val="98"/>
          <w:position w:val="15"/>
          <w:sz w:val="21"/>
          <w:szCs w:val="21"/>
          <w:highlight w:val="none"/>
        </w:rPr>
        <w:t xml:space="preserve"> </w:t>
      </w:r>
      <w:r>
        <w:rPr>
          <w:rFonts w:ascii="宋体" w:hAnsi="宋体" w:eastAsia="宋体" w:cs="宋体"/>
          <w:color w:val="auto"/>
          <w:spacing w:val="6"/>
          <w:position w:val="15"/>
          <w:sz w:val="21"/>
          <w:szCs w:val="21"/>
          <w:highlight w:val="none"/>
        </w:rPr>
        <w:t>争议裁判管辖地为中华人民共和</w:t>
      </w:r>
    </w:p>
    <w:p w14:paraId="7DE52B90">
      <w:pPr>
        <w:spacing w:line="223" w:lineRule="auto"/>
        <w:ind w:left="39"/>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国</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p>
    <w:p w14:paraId="2EC4F5DB">
      <w:pPr>
        <w:spacing w:before="154" w:line="220"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九、</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本保函自我方法定代表人或授权代表签字并加</w:t>
      </w:r>
      <w:r>
        <w:rPr>
          <w:rFonts w:ascii="宋体" w:hAnsi="宋体" w:eastAsia="宋体" w:cs="宋体"/>
          <w:color w:val="auto"/>
          <w:spacing w:val="-4"/>
          <w:sz w:val="21"/>
          <w:szCs w:val="21"/>
          <w:highlight w:val="none"/>
        </w:rPr>
        <w:t>盖公章之日起生效。</w:t>
      </w:r>
    </w:p>
    <w:p w14:paraId="74BF1FD6">
      <w:pPr>
        <w:spacing w:before="157"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开 立</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人</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公章）</w:t>
      </w:r>
    </w:p>
    <w:p w14:paraId="096A553C">
      <w:pPr>
        <w:spacing w:before="157" w:line="221"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法定代表人（或授权代表</w:t>
      </w:r>
      <w:r>
        <w:rPr>
          <w:rFonts w:ascii="宋体" w:hAnsi="宋体" w:eastAsia="宋体" w:cs="宋体"/>
          <w:color w:val="auto"/>
          <w:spacing w:val="-19"/>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9"/>
          <w:sz w:val="21"/>
          <w:szCs w:val="21"/>
          <w:highlight w:val="none"/>
        </w:rPr>
        <w:t>（</w:t>
      </w:r>
      <w:r>
        <w:rPr>
          <w:rFonts w:ascii="宋体" w:hAnsi="宋体" w:eastAsia="宋体" w:cs="宋体"/>
          <w:color w:val="auto"/>
          <w:spacing w:val="-5"/>
          <w:sz w:val="21"/>
          <w:szCs w:val="21"/>
          <w:highlight w:val="none"/>
        </w:rPr>
        <w:t>签字）</w:t>
      </w:r>
    </w:p>
    <w:p w14:paraId="39391A5F">
      <w:pPr>
        <w:spacing w:before="157" w:line="408" w:lineRule="exact"/>
        <w:ind w:left="441"/>
        <w:rPr>
          <w:rFonts w:ascii="宋体" w:hAnsi="宋体" w:eastAsia="宋体" w:cs="宋体"/>
          <w:color w:val="auto"/>
          <w:sz w:val="21"/>
          <w:szCs w:val="21"/>
          <w:highlight w:val="none"/>
        </w:rPr>
      </w:pPr>
      <w:r>
        <w:rPr>
          <w:rFonts w:ascii="宋体" w:hAnsi="宋体" w:eastAsia="宋体" w:cs="宋体"/>
          <w:color w:val="auto"/>
          <w:spacing w:val="-12"/>
          <w:position w:val="14"/>
          <w:sz w:val="21"/>
          <w:szCs w:val="21"/>
          <w:highlight w:val="none"/>
        </w:rPr>
        <w:t>地</w:t>
      </w:r>
      <w:r>
        <w:rPr>
          <w:rFonts w:ascii="宋体" w:hAnsi="宋体" w:eastAsia="宋体" w:cs="宋体"/>
          <w:color w:val="auto"/>
          <w:spacing w:val="2"/>
          <w:position w:val="14"/>
          <w:sz w:val="21"/>
          <w:szCs w:val="21"/>
          <w:highlight w:val="none"/>
        </w:rPr>
        <w:t xml:space="preserve">    </w:t>
      </w:r>
      <w:r>
        <w:rPr>
          <w:rFonts w:ascii="宋体" w:hAnsi="宋体" w:eastAsia="宋体" w:cs="宋体"/>
          <w:color w:val="auto"/>
          <w:spacing w:val="-12"/>
          <w:position w:val="14"/>
          <w:sz w:val="21"/>
          <w:szCs w:val="21"/>
          <w:highlight w:val="none"/>
        </w:rPr>
        <w:t>址：</w:t>
      </w:r>
    </w:p>
    <w:p w14:paraId="3E0A8547">
      <w:pPr>
        <w:spacing w:before="1" w:line="220" w:lineRule="auto"/>
        <w:ind w:left="45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邮政编码：</w:t>
      </w:r>
    </w:p>
    <w:p w14:paraId="2D49F3CC">
      <w:pPr>
        <w:spacing w:before="157" w:line="223"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20"/>
          <w:sz w:val="21"/>
          <w:szCs w:val="21"/>
          <w:highlight w:val="none"/>
        </w:rPr>
        <w:t>话：</w:t>
      </w:r>
    </w:p>
    <w:p w14:paraId="1FCCA0D3">
      <w:pPr>
        <w:spacing w:before="155"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真：</w:t>
      </w:r>
    </w:p>
    <w:p w14:paraId="5EEBB07D">
      <w:pPr>
        <w:spacing w:before="162" w:line="221" w:lineRule="auto"/>
        <w:ind w:left="442"/>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开立时间：</w:t>
      </w:r>
      <w:r>
        <w:rPr>
          <w:rFonts w:ascii="宋体" w:hAnsi="宋体" w:eastAsia="宋体" w:cs="宋体"/>
          <w:color w:val="auto"/>
          <w:spacing w:val="8"/>
          <w:sz w:val="21"/>
          <w:szCs w:val="21"/>
          <w:highlight w:val="none"/>
        </w:rPr>
        <w:t xml:space="preserve">       </w:t>
      </w:r>
      <w:r>
        <w:rPr>
          <w:rFonts w:ascii="宋体" w:hAnsi="宋体" w:eastAsia="宋体" w:cs="宋体"/>
          <w:color w:val="auto"/>
          <w:spacing w:val="-16"/>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6"/>
          <w:sz w:val="21"/>
          <w:szCs w:val="21"/>
          <w:highlight w:val="none"/>
        </w:rPr>
        <w:t>月       日</w:t>
      </w:r>
    </w:p>
    <w:p w14:paraId="1714ED78">
      <w:pPr>
        <w:spacing w:line="221" w:lineRule="auto"/>
        <w:rPr>
          <w:rFonts w:ascii="宋体" w:hAnsi="宋体" w:eastAsia="宋体" w:cs="宋体"/>
          <w:color w:val="auto"/>
          <w:sz w:val="21"/>
          <w:szCs w:val="21"/>
          <w:highlight w:val="none"/>
        </w:rPr>
        <w:sectPr>
          <w:footerReference r:id="rId107" w:type="default"/>
          <w:pgSz w:w="11905" w:h="16839"/>
          <w:pgMar w:top="400" w:right="1785" w:bottom="1004" w:left="1785" w:header="0" w:footer="828" w:gutter="0"/>
          <w:pgNumType w:fmt="decimal"/>
          <w:cols w:space="720" w:num="1"/>
        </w:sectPr>
      </w:pPr>
    </w:p>
    <w:p w14:paraId="7ADB7084">
      <w:pPr>
        <w:pStyle w:val="5"/>
        <w:spacing w:line="248" w:lineRule="auto"/>
        <w:rPr>
          <w:color w:val="auto"/>
          <w:highlight w:val="none"/>
        </w:rPr>
      </w:pPr>
    </w:p>
    <w:p w14:paraId="1A88BE68">
      <w:pPr>
        <w:pStyle w:val="5"/>
        <w:spacing w:line="248" w:lineRule="auto"/>
        <w:rPr>
          <w:color w:val="auto"/>
          <w:highlight w:val="none"/>
        </w:rPr>
      </w:pPr>
    </w:p>
    <w:p w14:paraId="492123E6">
      <w:pPr>
        <w:pStyle w:val="5"/>
        <w:spacing w:line="248" w:lineRule="auto"/>
        <w:rPr>
          <w:color w:val="auto"/>
          <w:highlight w:val="none"/>
        </w:rPr>
      </w:pPr>
    </w:p>
    <w:p w14:paraId="68B9BC7A">
      <w:pPr>
        <w:pStyle w:val="5"/>
        <w:spacing w:line="248" w:lineRule="auto"/>
        <w:rPr>
          <w:color w:val="auto"/>
          <w:highlight w:val="none"/>
        </w:rPr>
      </w:pPr>
    </w:p>
    <w:p w14:paraId="28184C85">
      <w:pPr>
        <w:pStyle w:val="5"/>
        <w:spacing w:line="248" w:lineRule="auto"/>
        <w:rPr>
          <w:color w:val="auto"/>
          <w:highlight w:val="none"/>
        </w:rPr>
      </w:pPr>
    </w:p>
    <w:p w14:paraId="6280B5B9">
      <w:pPr>
        <w:pStyle w:val="5"/>
        <w:spacing w:line="249" w:lineRule="auto"/>
        <w:rPr>
          <w:color w:val="auto"/>
          <w:highlight w:val="none"/>
        </w:rPr>
      </w:pPr>
    </w:p>
    <w:p w14:paraId="64C2406E">
      <w:pPr>
        <w:pStyle w:val="5"/>
        <w:spacing w:line="249" w:lineRule="auto"/>
        <w:rPr>
          <w:color w:val="auto"/>
          <w:highlight w:val="none"/>
        </w:rPr>
      </w:pPr>
    </w:p>
    <w:p w14:paraId="2E9CC456">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附件</w:t>
      </w:r>
      <w:r>
        <w:rPr>
          <w:rFonts w:ascii="宋体" w:hAnsi="宋体" w:eastAsia="宋体" w:cs="宋体"/>
          <w:color w:val="auto"/>
          <w:spacing w:val="-53"/>
          <w:sz w:val="24"/>
          <w:szCs w:val="24"/>
          <w:highlight w:val="none"/>
        </w:rPr>
        <w:t xml:space="preserve"> </w:t>
      </w:r>
      <w:r>
        <w:rPr>
          <w:rFonts w:ascii="Times New Roman" w:hAnsi="Times New Roman" w:eastAsia="Times New Roman" w:cs="Times New Roman"/>
          <w:color w:val="auto"/>
          <w:spacing w:val="-7"/>
          <w:sz w:val="24"/>
          <w:szCs w:val="24"/>
          <w:highlight w:val="none"/>
        </w:rPr>
        <w:t xml:space="preserve">9 </w:t>
      </w:r>
      <w:r>
        <w:rPr>
          <w:rFonts w:ascii="宋体" w:hAnsi="宋体" w:eastAsia="宋体" w:cs="宋体"/>
          <w:color w:val="auto"/>
          <w:spacing w:val="-7"/>
          <w:sz w:val="24"/>
          <w:szCs w:val="24"/>
          <w:highlight w:val="none"/>
        </w:rPr>
        <w:t>：</w:t>
      </w:r>
    </w:p>
    <w:p w14:paraId="43DD72B9">
      <w:pPr>
        <w:spacing w:before="239" w:line="225" w:lineRule="auto"/>
        <w:ind w:left="3204"/>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预付款担保格式</w:t>
      </w:r>
    </w:p>
    <w:p w14:paraId="64CED878">
      <w:pPr>
        <w:spacing w:before="146" w:line="221" w:lineRule="auto"/>
        <w:ind w:left="655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14:paraId="4CAEFBC8">
      <w:pPr>
        <w:pStyle w:val="5"/>
        <w:spacing w:line="246" w:lineRule="auto"/>
        <w:rPr>
          <w:color w:val="auto"/>
          <w:highlight w:val="none"/>
        </w:rPr>
      </w:pPr>
    </w:p>
    <w:p w14:paraId="3149F33B">
      <w:pPr>
        <w:pStyle w:val="5"/>
        <w:spacing w:line="247" w:lineRule="auto"/>
        <w:rPr>
          <w:color w:val="auto"/>
          <w:highlight w:val="none"/>
        </w:rPr>
      </w:pPr>
    </w:p>
    <w:p w14:paraId="1A6A9BB5">
      <w:pPr>
        <w:spacing w:before="69" w:line="408" w:lineRule="exact"/>
        <w:ind w:left="45"/>
        <w:rPr>
          <w:rFonts w:ascii="宋体" w:hAnsi="宋体" w:eastAsia="宋体" w:cs="宋体"/>
          <w:color w:val="auto"/>
          <w:sz w:val="21"/>
          <w:szCs w:val="21"/>
          <w:highlight w:val="none"/>
        </w:rPr>
      </w:pPr>
      <w:r>
        <w:rPr>
          <w:rFonts w:ascii="宋体" w:hAnsi="宋体" w:eastAsia="宋体" w:cs="宋体"/>
          <w:color w:val="auto"/>
          <w:spacing w:val="-15"/>
          <w:position w:val="15"/>
          <w:sz w:val="21"/>
          <w:szCs w:val="21"/>
          <w:highlight w:val="none"/>
        </w:rPr>
        <w:t>申请人：</w:t>
      </w:r>
    </w:p>
    <w:p w14:paraId="26E95AB0">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7C344E53">
      <w:pPr>
        <w:spacing w:before="151" w:line="408" w:lineRule="exact"/>
        <w:ind w:left="22"/>
        <w:rPr>
          <w:rFonts w:ascii="宋体" w:hAnsi="宋体" w:eastAsia="宋体" w:cs="宋体"/>
          <w:color w:val="auto"/>
          <w:sz w:val="21"/>
          <w:szCs w:val="21"/>
          <w:highlight w:val="none"/>
        </w:rPr>
      </w:pPr>
      <w:r>
        <w:rPr>
          <w:rFonts w:ascii="宋体" w:hAnsi="宋体" w:eastAsia="宋体" w:cs="宋体"/>
          <w:color w:val="auto"/>
          <w:spacing w:val="-11"/>
          <w:position w:val="14"/>
          <w:sz w:val="21"/>
          <w:szCs w:val="21"/>
          <w:highlight w:val="none"/>
        </w:rPr>
        <w:t>受益人：</w:t>
      </w:r>
    </w:p>
    <w:p w14:paraId="01B644FC">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4E6B0260">
      <w:pPr>
        <w:spacing w:before="146" w:line="409" w:lineRule="exact"/>
        <w:ind w:left="19"/>
        <w:rPr>
          <w:rFonts w:ascii="宋体" w:hAnsi="宋体" w:eastAsia="宋体" w:cs="宋体"/>
          <w:color w:val="auto"/>
          <w:sz w:val="21"/>
          <w:szCs w:val="21"/>
          <w:highlight w:val="none"/>
        </w:rPr>
      </w:pPr>
      <w:r>
        <w:rPr>
          <w:rFonts w:ascii="宋体" w:hAnsi="宋体" w:eastAsia="宋体" w:cs="宋体"/>
          <w:color w:val="auto"/>
          <w:spacing w:val="-11"/>
          <w:position w:val="15"/>
          <w:sz w:val="21"/>
          <w:szCs w:val="21"/>
          <w:highlight w:val="none"/>
        </w:rPr>
        <w:t>开立人：</w:t>
      </w:r>
    </w:p>
    <w:p w14:paraId="3880178C">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20F253C9">
      <w:pPr>
        <w:pStyle w:val="5"/>
        <w:spacing w:line="241" w:lineRule="auto"/>
        <w:rPr>
          <w:color w:val="auto"/>
          <w:highlight w:val="none"/>
        </w:rPr>
      </w:pPr>
    </w:p>
    <w:p w14:paraId="74272E81">
      <w:pPr>
        <w:pStyle w:val="5"/>
        <w:spacing w:line="241" w:lineRule="auto"/>
        <w:rPr>
          <w:color w:val="auto"/>
          <w:highlight w:val="none"/>
        </w:rPr>
      </w:pPr>
    </w:p>
    <w:p w14:paraId="2D500480">
      <w:pPr>
        <w:tabs>
          <w:tab w:val="left" w:pos="1483"/>
        </w:tabs>
        <w:spacing w:before="69" w:line="223"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48"/>
          <w:sz w:val="21"/>
          <w:szCs w:val="21"/>
          <w:highlight w:val="none"/>
        </w:rPr>
        <w:t xml:space="preserve"> </w:t>
      </w:r>
      <w:r>
        <w:rPr>
          <w:rFonts w:ascii="宋体" w:hAnsi="宋体" w:eastAsia="宋体" w:cs="宋体"/>
          <w:color w:val="auto"/>
          <w:spacing w:val="-26"/>
          <w:sz w:val="21"/>
          <w:szCs w:val="21"/>
          <w:highlight w:val="none"/>
        </w:rPr>
        <w:t>（受益人名称</w:t>
      </w:r>
      <w:r>
        <w:rPr>
          <w:rFonts w:ascii="宋体" w:hAnsi="宋体" w:eastAsia="宋体" w:cs="宋体"/>
          <w:color w:val="auto"/>
          <w:spacing w:val="-9"/>
          <w:sz w:val="21"/>
          <w:szCs w:val="21"/>
          <w:highlight w:val="none"/>
        </w:rPr>
        <w:t>）：</w:t>
      </w:r>
    </w:p>
    <w:p w14:paraId="7525C3F6">
      <w:pPr>
        <w:tabs>
          <w:tab w:val="left" w:pos="123"/>
        </w:tabs>
        <w:spacing w:before="153" w:line="360" w:lineRule="auto"/>
        <w:ind w:left="10" w:right="3" w:firstLine="433"/>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鉴于</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14"/>
          <w:sz w:val="21"/>
          <w:szCs w:val="21"/>
          <w:highlight w:val="none"/>
        </w:rPr>
        <w:t xml:space="preserve"> （以下简称“受益人”）与</w:t>
      </w:r>
      <w:r>
        <w:rPr>
          <w:rFonts w:ascii="宋体" w:hAnsi="宋体" w:eastAsia="宋体" w:cs="宋体"/>
          <w:color w:val="auto"/>
          <w:spacing w:val="-8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4"/>
          <w:sz w:val="21"/>
          <w:szCs w:val="21"/>
          <w:highlight w:val="none"/>
        </w:rPr>
        <w:t xml:space="preserve"> （以下简称“申请人”）于</w:t>
      </w:r>
      <w:r>
        <w:rPr>
          <w:rFonts w:ascii="宋体" w:hAnsi="宋体" w:eastAsia="宋体" w:cs="宋体"/>
          <w:color w:val="auto"/>
          <w:spacing w:val="-91"/>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月</w:t>
      </w:r>
      <w:r>
        <w:rPr>
          <w:rFonts w:ascii="宋体" w:hAnsi="宋体" w:eastAsia="宋体" w:cs="宋体"/>
          <w:color w:val="auto"/>
          <w:spacing w:val="-100"/>
          <w:sz w:val="21"/>
          <w:szCs w:val="21"/>
          <w:highlight w:val="none"/>
        </w:rPr>
        <w:t xml:space="preserve"> </w:t>
      </w:r>
      <w:r>
        <w:rPr>
          <w:rFonts w:ascii="宋体" w:hAnsi="宋体" w:eastAsia="宋体" w:cs="宋体"/>
          <w:color w:val="auto"/>
          <w:spacing w:val="32"/>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3"/>
          <w:sz w:val="21"/>
          <w:szCs w:val="21"/>
          <w:highlight w:val="none"/>
        </w:rPr>
        <w:t>日就</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3"/>
          <w:sz w:val="21"/>
          <w:szCs w:val="21"/>
          <w:highlight w:val="none"/>
        </w:rPr>
        <w:t>工程（以下简称“本工程”）施工和有关事项协商一致共同签订</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pacing w:val="-10"/>
          <w:sz w:val="21"/>
          <w:szCs w:val="21"/>
          <w:highlight w:val="none"/>
          <w:u w:val="single" w:color="auto"/>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0"/>
          <w:sz w:val="21"/>
          <w:szCs w:val="21"/>
          <w:highlight w:val="none"/>
          <w:u w:val="single" w:color="auto"/>
        </w:rPr>
        <w:t>》</w:t>
      </w:r>
      <w:r>
        <w:rPr>
          <w:rFonts w:ascii="宋体" w:hAnsi="宋体" w:eastAsia="宋体" w:cs="宋体"/>
          <w:color w:val="auto"/>
          <w:spacing w:val="-10"/>
          <w:sz w:val="21"/>
          <w:szCs w:val="21"/>
          <w:highlight w:val="none"/>
        </w:rPr>
        <w:t>（以下简称“基础合同”</w:t>
      </w:r>
      <w:r>
        <w:rPr>
          <w:rFonts w:ascii="宋体" w:hAnsi="宋体" w:eastAsia="宋体" w:cs="宋体"/>
          <w:color w:val="auto"/>
          <w:spacing w:val="-39"/>
          <w:w w:val="71"/>
          <w:sz w:val="21"/>
          <w:szCs w:val="21"/>
          <w:highlight w:val="none"/>
        </w:rPr>
        <w:t>），</w:t>
      </w:r>
      <w:r>
        <w:rPr>
          <w:rFonts w:ascii="宋体" w:hAnsi="宋体" w:eastAsia="宋体" w:cs="宋体"/>
          <w:color w:val="auto"/>
          <w:spacing w:val="-10"/>
          <w:sz w:val="21"/>
          <w:szCs w:val="21"/>
          <w:highlight w:val="none"/>
        </w:rPr>
        <w:t>我方（即“开立人”）根据主合同了解到申请人为</w:t>
      </w:r>
      <w:r>
        <w:rPr>
          <w:rFonts w:ascii="宋体" w:hAnsi="宋体" w:eastAsia="宋体" w:cs="宋体"/>
          <w:color w:val="auto"/>
          <w:spacing w:val="2"/>
          <w:sz w:val="21"/>
          <w:szCs w:val="21"/>
          <w:highlight w:val="none"/>
        </w:rPr>
        <w:t xml:space="preserve"> </w:t>
      </w:r>
      <w:r>
        <w:rPr>
          <w:rFonts w:ascii="宋体" w:hAnsi="宋体" w:eastAsia="宋体" w:cs="宋体"/>
          <w:color w:val="auto"/>
          <w:spacing w:val="-5"/>
          <w:sz w:val="21"/>
          <w:szCs w:val="21"/>
          <w:highlight w:val="none"/>
        </w:rPr>
        <w:t>主合同项下之承包人， 受益人为主合同项下之发包人，</w:t>
      </w:r>
      <w:r>
        <w:rPr>
          <w:rFonts w:ascii="宋体" w:hAnsi="宋体" w:eastAsia="宋体" w:cs="宋体"/>
          <w:color w:val="auto"/>
          <w:spacing w:val="25"/>
          <w:sz w:val="21"/>
          <w:szCs w:val="21"/>
          <w:highlight w:val="none"/>
        </w:rPr>
        <w:t xml:space="preserve"> </w:t>
      </w:r>
      <w:r>
        <w:rPr>
          <w:rFonts w:ascii="宋体" w:hAnsi="宋体" w:eastAsia="宋体" w:cs="宋体"/>
          <w:color w:val="auto"/>
          <w:spacing w:val="-5"/>
          <w:sz w:val="21"/>
          <w:szCs w:val="21"/>
          <w:highlight w:val="none"/>
        </w:rPr>
        <w:t>基</w:t>
      </w:r>
      <w:r>
        <w:rPr>
          <w:rFonts w:ascii="宋体" w:hAnsi="宋体" w:eastAsia="宋体" w:cs="宋体"/>
          <w:color w:val="auto"/>
          <w:spacing w:val="-6"/>
          <w:sz w:val="21"/>
          <w:szCs w:val="21"/>
          <w:highlight w:val="none"/>
        </w:rPr>
        <w:t>于申请人的请求， 我方同意就申</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请人按照合同约定正确和合理地为合同目的使用预付款，向贵方提供不可撤销、不可转让</w:t>
      </w:r>
    </w:p>
    <w:p w14:paraId="0A412652">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的见索即付独立保函（以下简称“本保函”）。</w:t>
      </w:r>
    </w:p>
    <w:p w14:paraId="4433F37F">
      <w:pPr>
        <w:spacing w:before="157" w:line="359" w:lineRule="auto"/>
        <w:ind w:left="18" w:right="11"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一、本保函担保范围：</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申请人未按照合同约定正确和合理地为合同目的使用</w:t>
      </w:r>
      <w:r>
        <w:rPr>
          <w:rFonts w:ascii="宋体" w:hAnsi="宋体" w:eastAsia="宋体" w:cs="宋体"/>
          <w:color w:val="auto"/>
          <w:spacing w:val="-2"/>
          <w:sz w:val="21"/>
          <w:szCs w:val="21"/>
          <w:highlight w:val="none"/>
        </w:rPr>
        <w:t>预付款，</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应当向贵方承担的违约责任和赔偿因此造成的损失、利息、律师费、诉讼费</w:t>
      </w:r>
      <w:r>
        <w:rPr>
          <w:rFonts w:ascii="宋体" w:hAnsi="宋体" w:eastAsia="宋体" w:cs="宋体"/>
          <w:color w:val="auto"/>
          <w:spacing w:val="2"/>
          <w:sz w:val="21"/>
          <w:szCs w:val="21"/>
          <w:highlight w:val="none"/>
        </w:rPr>
        <w:t>用等实现债权</w:t>
      </w:r>
    </w:p>
    <w:p w14:paraId="6691C2B8">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的费用。</w:t>
      </w:r>
    </w:p>
    <w:p w14:paraId="61BA5165">
      <w:pPr>
        <w:spacing w:before="157"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二、本保函担保金额最高不超过人民币（大写）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
          <w:sz w:val="21"/>
          <w:szCs w:val="21"/>
          <w:highlight w:val="none"/>
        </w:rPr>
        <w:t>元(¥</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1"/>
          <w:sz w:val="21"/>
          <w:szCs w:val="21"/>
          <w:highlight w:val="none"/>
        </w:rPr>
        <w:t>)。</w:t>
      </w:r>
    </w:p>
    <w:p w14:paraId="7A592248">
      <w:pPr>
        <w:spacing w:before="158" w:line="359" w:lineRule="auto"/>
        <w:ind w:right="3"/>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三、本保函有效期自开立之日起至发包人全额扣回预付款后</w:t>
      </w:r>
      <w:r>
        <w:rPr>
          <w:rFonts w:ascii="宋体" w:hAnsi="宋体" w:eastAsia="宋体" w:cs="宋体"/>
          <w:color w:val="auto"/>
          <w:spacing w:val="-92"/>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6"/>
          <w:sz w:val="21"/>
          <w:szCs w:val="21"/>
          <w:highlight w:val="none"/>
        </w:rPr>
        <w:t>日止，最迟不超过</w:t>
      </w:r>
    </w:p>
    <w:p w14:paraId="73E8EE1F">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年</w:t>
      </w:r>
      <w:r>
        <w:rPr>
          <w:rFonts w:ascii="宋体" w:hAnsi="宋体" w:eastAsia="宋体" w:cs="宋体"/>
          <w:color w:val="auto"/>
          <w:spacing w:val="-10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5"/>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5"/>
          <w:sz w:val="21"/>
          <w:szCs w:val="21"/>
          <w:highlight w:val="none"/>
        </w:rPr>
        <w:t>日。</w:t>
      </w:r>
    </w:p>
    <w:p w14:paraId="790FF3D4">
      <w:pPr>
        <w:spacing w:before="157" w:line="363" w:lineRule="auto"/>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四、我方承诺，在收到受益人发来的书面付</w:t>
      </w:r>
      <w:r>
        <w:rPr>
          <w:rFonts w:ascii="宋体" w:hAnsi="宋体" w:eastAsia="宋体" w:cs="宋体"/>
          <w:color w:val="auto"/>
          <w:spacing w:val="-7"/>
          <w:sz w:val="21"/>
          <w:szCs w:val="21"/>
          <w:highlight w:val="none"/>
        </w:rPr>
        <w:t>款通知后的</w:t>
      </w:r>
      <w:r>
        <w:rPr>
          <w:rFonts w:ascii="宋体" w:hAnsi="宋体" w:eastAsia="宋体" w:cs="宋体"/>
          <w:color w:val="auto"/>
          <w:spacing w:val="-102"/>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日内无条件支付，</w:t>
      </w:r>
      <w:r>
        <w:rPr>
          <w:rFonts w:ascii="宋体" w:hAnsi="宋体" w:eastAsia="宋体" w:cs="宋体"/>
          <w:color w:val="auto"/>
          <w:spacing w:val="54"/>
          <w:sz w:val="21"/>
          <w:szCs w:val="21"/>
          <w:highlight w:val="none"/>
        </w:rPr>
        <w:t xml:space="preserve"> </w:t>
      </w:r>
      <w:r>
        <w:rPr>
          <w:rFonts w:ascii="宋体" w:hAnsi="宋体" w:eastAsia="宋体" w:cs="宋体"/>
          <w:color w:val="auto"/>
          <w:spacing w:val="-7"/>
          <w:sz w:val="21"/>
          <w:szCs w:val="21"/>
          <w:highlight w:val="none"/>
        </w:rPr>
        <w:t>前述书</w:t>
      </w:r>
    </w:p>
    <w:p w14:paraId="61C30DA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面付款通知即为付款要求之单据，且应满足以下要求：</w:t>
      </w:r>
    </w:p>
    <w:p w14:paraId="1015FAE9">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（1）付款通知到达的日期在本保函的有效期内；</w:t>
      </w:r>
    </w:p>
    <w:p w14:paraId="4A768E7B">
      <w:pPr>
        <w:spacing w:before="15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（2）载明要求支付的金额；</w:t>
      </w:r>
    </w:p>
    <w:p w14:paraId="4DB255AA">
      <w:pPr>
        <w:spacing w:before="156"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（3）载明申请人违反合同义务的条款和内</w:t>
      </w:r>
      <w:r>
        <w:rPr>
          <w:rFonts w:ascii="宋体" w:hAnsi="宋体" w:eastAsia="宋体" w:cs="宋体"/>
          <w:color w:val="auto"/>
          <w:spacing w:val="-3"/>
          <w:sz w:val="21"/>
          <w:szCs w:val="21"/>
          <w:highlight w:val="none"/>
        </w:rPr>
        <w:t>容；</w:t>
      </w:r>
    </w:p>
    <w:p w14:paraId="643191ED">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（4）声明不存在合同文件约定或我国法律规定免除申请人或开立人支付责任的情形；</w:t>
      </w:r>
    </w:p>
    <w:p w14:paraId="19FAE966">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（5）付款通知应在本保函有效期内到达的地</w:t>
      </w:r>
      <w:r>
        <w:rPr>
          <w:rFonts w:ascii="宋体" w:hAnsi="宋体" w:eastAsia="宋体" w:cs="宋体"/>
          <w:color w:val="auto"/>
          <w:spacing w:val="-3"/>
          <w:sz w:val="21"/>
          <w:szCs w:val="21"/>
          <w:highlight w:val="none"/>
        </w:rPr>
        <w:t>址是：</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7F75F27C">
      <w:pPr>
        <w:spacing w:before="15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受益人发出的书面付款通知应由其为鉴明受益人法定代表人（负责人）或授权代</w:t>
      </w:r>
      <w:r>
        <w:rPr>
          <w:rFonts w:ascii="宋体" w:hAnsi="宋体" w:eastAsia="宋体" w:cs="宋体"/>
          <w:color w:val="auto"/>
          <w:spacing w:val="2"/>
          <w:sz w:val="21"/>
          <w:szCs w:val="21"/>
          <w:highlight w:val="none"/>
        </w:rPr>
        <w:t>理人</w:t>
      </w:r>
    </w:p>
    <w:p w14:paraId="6399E8C3">
      <w:pPr>
        <w:spacing w:line="220" w:lineRule="auto"/>
        <w:rPr>
          <w:rFonts w:ascii="宋体" w:hAnsi="宋体" w:eastAsia="宋体" w:cs="宋体"/>
          <w:color w:val="auto"/>
          <w:sz w:val="21"/>
          <w:szCs w:val="21"/>
          <w:highlight w:val="none"/>
        </w:rPr>
        <w:sectPr>
          <w:footerReference r:id="rId108" w:type="default"/>
          <w:pgSz w:w="11905" w:h="16839"/>
          <w:pgMar w:top="400" w:right="1785" w:bottom="1004" w:left="1785" w:header="0" w:footer="828" w:gutter="0"/>
          <w:pgNumType w:fmt="decimal"/>
          <w:cols w:space="720" w:num="1"/>
        </w:sectPr>
      </w:pPr>
    </w:p>
    <w:p w14:paraId="73FB1EE2">
      <w:pPr>
        <w:pStyle w:val="5"/>
        <w:spacing w:line="248" w:lineRule="auto"/>
        <w:rPr>
          <w:color w:val="auto"/>
          <w:highlight w:val="none"/>
        </w:rPr>
      </w:pPr>
    </w:p>
    <w:p w14:paraId="5E3DD1EF">
      <w:pPr>
        <w:pStyle w:val="5"/>
        <w:spacing w:line="249" w:lineRule="auto"/>
        <w:rPr>
          <w:color w:val="auto"/>
          <w:highlight w:val="none"/>
        </w:rPr>
      </w:pPr>
    </w:p>
    <w:p w14:paraId="0744E058">
      <w:pPr>
        <w:pStyle w:val="5"/>
        <w:spacing w:line="249" w:lineRule="auto"/>
        <w:rPr>
          <w:color w:val="auto"/>
          <w:highlight w:val="none"/>
        </w:rPr>
      </w:pPr>
    </w:p>
    <w:p w14:paraId="020E7FF3">
      <w:pPr>
        <w:pStyle w:val="5"/>
        <w:spacing w:line="249" w:lineRule="auto"/>
        <w:rPr>
          <w:color w:val="auto"/>
          <w:highlight w:val="none"/>
        </w:rPr>
      </w:pPr>
    </w:p>
    <w:p w14:paraId="15CF720B">
      <w:pPr>
        <w:spacing w:before="68"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签字并加盖公章。</w:t>
      </w:r>
    </w:p>
    <w:p w14:paraId="33C86A60">
      <w:pPr>
        <w:spacing w:before="157" w:line="40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五、本保函项下的权利不得转让，不得设定担保。贵方未经我方书面同意转</w:t>
      </w:r>
      <w:r>
        <w:rPr>
          <w:rFonts w:ascii="宋体" w:hAnsi="宋体" w:eastAsia="宋体" w:cs="宋体"/>
          <w:color w:val="auto"/>
          <w:spacing w:val="48"/>
          <w:position w:val="15"/>
          <w:sz w:val="21"/>
          <w:szCs w:val="21"/>
          <w:highlight w:val="none"/>
        </w:rPr>
        <w:t xml:space="preserve"> </w:t>
      </w:r>
      <w:r>
        <w:rPr>
          <w:rFonts w:ascii="宋体" w:hAnsi="宋体" w:eastAsia="宋体" w:cs="宋体"/>
          <w:color w:val="auto"/>
          <w:spacing w:val="-1"/>
          <w:position w:val="15"/>
          <w:sz w:val="21"/>
          <w:szCs w:val="21"/>
          <w:highlight w:val="none"/>
        </w:rPr>
        <w:t>让本保函</w:t>
      </w:r>
    </w:p>
    <w:p w14:paraId="370B866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或其项下任何权利， 对我方不发生法律效力。</w:t>
      </w:r>
    </w:p>
    <w:p w14:paraId="103D3888">
      <w:pPr>
        <w:spacing w:before="158"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六、与本保函有关的基础合同不成立、不生效、无效、被撤销、被解除，不影响本保</w:t>
      </w:r>
    </w:p>
    <w:p w14:paraId="38821684">
      <w:pPr>
        <w:spacing w:line="221" w:lineRule="auto"/>
        <w:ind w:left="3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函的独立有效。</w:t>
      </w:r>
    </w:p>
    <w:p w14:paraId="1B46B745">
      <w:pPr>
        <w:spacing w:before="161" w:line="359" w:lineRule="auto"/>
        <w:ind w:left="20" w:right="6" w:firstLine="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七、贵方应在本保函到期后的七日内将本保函正本退回我方注销，但是不论贵方是否 </w:t>
      </w:r>
      <w:r>
        <w:rPr>
          <w:rFonts w:ascii="宋体" w:hAnsi="宋体" w:eastAsia="宋体" w:cs="宋体"/>
          <w:color w:val="auto"/>
          <w:sz w:val="21"/>
          <w:szCs w:val="21"/>
          <w:highlight w:val="none"/>
        </w:rPr>
        <w:t>按此要求将本保函正本退回我方， 我方在本保函项下的义务和责任均在保函有效期到期后</w:t>
      </w:r>
    </w:p>
    <w:p w14:paraId="1FDDEE1E">
      <w:pPr>
        <w:spacing w:line="221" w:lineRule="auto"/>
        <w:ind w:left="5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自动消灭。</w:t>
      </w:r>
    </w:p>
    <w:p w14:paraId="0C39A5EF">
      <w:pPr>
        <w:spacing w:before="156"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10"/>
          <w:position w:val="15"/>
          <w:sz w:val="21"/>
          <w:szCs w:val="21"/>
          <w:highlight w:val="none"/>
        </w:rPr>
        <w:t>八、本保函适用的法律为中华人民共和国法律，</w:t>
      </w:r>
      <w:r>
        <w:rPr>
          <w:rFonts w:ascii="宋体" w:hAnsi="宋体" w:eastAsia="宋体" w:cs="宋体"/>
          <w:color w:val="auto"/>
          <w:spacing w:val="79"/>
          <w:position w:val="15"/>
          <w:sz w:val="21"/>
          <w:szCs w:val="21"/>
          <w:highlight w:val="none"/>
        </w:rPr>
        <w:t xml:space="preserve"> </w:t>
      </w:r>
      <w:r>
        <w:rPr>
          <w:rFonts w:ascii="宋体" w:hAnsi="宋体" w:eastAsia="宋体" w:cs="宋体"/>
          <w:color w:val="auto"/>
          <w:spacing w:val="10"/>
          <w:position w:val="15"/>
          <w:sz w:val="21"/>
          <w:szCs w:val="21"/>
          <w:highlight w:val="none"/>
        </w:rPr>
        <w:t>争议裁</w:t>
      </w:r>
      <w:r>
        <w:rPr>
          <w:rFonts w:ascii="宋体" w:hAnsi="宋体" w:eastAsia="宋体" w:cs="宋体"/>
          <w:color w:val="auto"/>
          <w:spacing w:val="9"/>
          <w:position w:val="15"/>
          <w:sz w:val="21"/>
          <w:szCs w:val="21"/>
          <w:highlight w:val="none"/>
        </w:rPr>
        <w:t>判管辖地为中华人民共和</w:t>
      </w:r>
    </w:p>
    <w:p w14:paraId="2AA51A5C">
      <w:pPr>
        <w:spacing w:before="1" w:line="223" w:lineRule="auto"/>
        <w:ind w:left="39"/>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国</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p>
    <w:p w14:paraId="088A3643">
      <w:pPr>
        <w:spacing w:before="154"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九、本保函自我方法定代表人或授权代表签字并加盖公章之日起生效。</w:t>
      </w:r>
    </w:p>
    <w:p w14:paraId="0672DE68">
      <w:pPr>
        <w:pStyle w:val="5"/>
        <w:spacing w:line="262" w:lineRule="auto"/>
        <w:rPr>
          <w:color w:val="auto"/>
          <w:highlight w:val="none"/>
        </w:rPr>
      </w:pPr>
    </w:p>
    <w:p w14:paraId="0288C67E">
      <w:pPr>
        <w:pStyle w:val="5"/>
        <w:spacing w:line="262" w:lineRule="auto"/>
        <w:rPr>
          <w:color w:val="auto"/>
          <w:highlight w:val="none"/>
        </w:rPr>
      </w:pPr>
    </w:p>
    <w:p w14:paraId="0E097EB7">
      <w:pPr>
        <w:pStyle w:val="5"/>
        <w:spacing w:line="262" w:lineRule="auto"/>
        <w:rPr>
          <w:color w:val="auto"/>
          <w:highlight w:val="none"/>
        </w:rPr>
      </w:pPr>
    </w:p>
    <w:p w14:paraId="5722E0E1">
      <w:pPr>
        <w:pStyle w:val="5"/>
        <w:spacing w:line="262" w:lineRule="auto"/>
        <w:rPr>
          <w:color w:val="auto"/>
          <w:highlight w:val="none"/>
        </w:rPr>
      </w:pPr>
    </w:p>
    <w:p w14:paraId="7A0788D4">
      <w:pPr>
        <w:pStyle w:val="5"/>
        <w:spacing w:line="262" w:lineRule="auto"/>
        <w:rPr>
          <w:color w:val="auto"/>
          <w:highlight w:val="none"/>
        </w:rPr>
      </w:pPr>
    </w:p>
    <w:p w14:paraId="6E6E27A2">
      <w:pPr>
        <w:spacing w:before="69" w:line="408" w:lineRule="exact"/>
        <w:ind w:left="442"/>
        <w:rPr>
          <w:rFonts w:ascii="宋体" w:hAnsi="宋体" w:eastAsia="宋体" w:cs="宋体"/>
          <w:color w:val="auto"/>
          <w:sz w:val="21"/>
          <w:szCs w:val="21"/>
          <w:highlight w:val="none"/>
        </w:rPr>
      </w:pPr>
      <w:r>
        <w:rPr>
          <w:color w:val="auto"/>
          <w:highlight w:val="none"/>
        </w:rPr>
        <w:pict>
          <v:shape id="_x0000_s2071" o:spid="_x0000_s2071" o:spt="202" type="#_x0000_t202" style="position:absolute;left:0pt;margin-left:21.1pt;margin-top:-18.15pt;height:14.65pt;width:51.9pt;z-index:251682816;mso-width-relative:page;mso-height-relative:page;" filled="f" stroked="f" coordsize="21600,21600">
            <v:path/>
            <v:fill on="f" focussize="0,0"/>
            <v:stroke on="f"/>
            <v:imagedata o:title=""/>
            <o:lock v:ext="edit" aspectratio="f"/>
            <v:textbox inset="0mm,0mm,0mm,0mm">
              <w:txbxContent>
                <w:p w14:paraId="1033BAEF">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rPr>
          <w:color w:val="auto"/>
          <w:highlight w:val="none"/>
        </w:rPr>
        <w:pict>
          <v:shape id="_x0000_s2072" o:spid="_x0000_s2072" o:spt="202" type="#_x0000_t202" style="position:absolute;left:0pt;margin-left:231.65pt;margin-top:-18.15pt;height:35.2pt;width:42.35pt;z-index:251681792;mso-width-relative:page;mso-height-relative:page;" filled="f" stroked="f" coordsize="21600,21600">
            <v:path/>
            <v:fill on="f" focussize="0,0"/>
            <v:stroke on="f"/>
            <v:imagedata o:title=""/>
            <o:lock v:ext="edit" aspectratio="f"/>
            <v:textbox inset="0mm,0mm,0mm,0mm">
              <w:txbxContent>
                <w:p w14:paraId="1841962B">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14:paraId="46C60C4B">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宋体" w:hAnsi="宋体" w:eastAsia="宋体" w:cs="宋体"/>
          <w:color w:val="auto"/>
          <w:spacing w:val="-8"/>
          <w:position w:val="14"/>
          <w:sz w:val="21"/>
          <w:szCs w:val="21"/>
          <w:highlight w:val="none"/>
        </w:rPr>
        <w:t>法定代表人（或授权代表</w:t>
      </w:r>
      <w:r>
        <w:rPr>
          <w:rFonts w:ascii="宋体" w:hAnsi="宋体" w:eastAsia="宋体" w:cs="宋体"/>
          <w:color w:val="auto"/>
          <w:spacing w:val="-19"/>
          <w:position w:val="14"/>
          <w:sz w:val="21"/>
          <w:szCs w:val="21"/>
          <w:highlight w:val="none"/>
        </w:rPr>
        <w:t>）：</w:t>
      </w:r>
    </w:p>
    <w:p w14:paraId="39CF8616">
      <w:pPr>
        <w:spacing w:before="1" w:line="229" w:lineRule="auto"/>
        <w:ind w:left="44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w:t>
      </w:r>
      <w:r>
        <w:rPr>
          <w:rFonts w:ascii="宋体" w:hAnsi="宋体" w:eastAsia="宋体" w:cs="宋体"/>
          <w:color w:val="auto"/>
          <w:spacing w:val="2"/>
          <w:sz w:val="21"/>
          <w:szCs w:val="21"/>
          <w:highlight w:val="none"/>
        </w:rPr>
        <w:t xml:space="preserve">    </w:t>
      </w:r>
      <w:r>
        <w:rPr>
          <w:rFonts w:ascii="宋体" w:hAnsi="宋体" w:eastAsia="宋体" w:cs="宋体"/>
          <w:color w:val="auto"/>
          <w:spacing w:val="-12"/>
          <w:sz w:val="21"/>
          <w:szCs w:val="21"/>
          <w:highlight w:val="none"/>
        </w:rPr>
        <w:t>址：</w:t>
      </w:r>
    </w:p>
    <w:p w14:paraId="35FFDA53">
      <w:pPr>
        <w:spacing w:before="147" w:line="408" w:lineRule="exact"/>
        <w:ind w:left="456"/>
        <w:rPr>
          <w:rFonts w:ascii="宋体" w:hAnsi="宋体" w:eastAsia="宋体" w:cs="宋体"/>
          <w:color w:val="auto"/>
          <w:sz w:val="21"/>
          <w:szCs w:val="21"/>
          <w:highlight w:val="none"/>
        </w:rPr>
      </w:pPr>
      <w:r>
        <w:rPr>
          <w:rFonts w:ascii="宋体" w:hAnsi="宋体" w:eastAsia="宋体" w:cs="宋体"/>
          <w:color w:val="auto"/>
          <w:spacing w:val="-11"/>
          <w:position w:val="14"/>
          <w:sz w:val="21"/>
          <w:szCs w:val="21"/>
          <w:highlight w:val="none"/>
        </w:rPr>
        <w:t>邮政编码：</w:t>
      </w:r>
    </w:p>
    <w:p w14:paraId="16FAD7BF">
      <w:pPr>
        <w:spacing w:before="1" w:line="222"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20"/>
          <w:sz w:val="21"/>
          <w:szCs w:val="21"/>
          <w:highlight w:val="none"/>
        </w:rPr>
        <w:t>话：</w:t>
      </w:r>
    </w:p>
    <w:p w14:paraId="196C7D1E">
      <w:pPr>
        <w:spacing w:before="154"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真：</w:t>
      </w:r>
    </w:p>
    <w:p w14:paraId="5D1E34A5">
      <w:pPr>
        <w:spacing w:before="157" w:line="221" w:lineRule="auto"/>
        <w:ind w:left="4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开立时间：</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5"/>
          <w:sz w:val="21"/>
          <w:szCs w:val="21"/>
          <w:highlight w:val="none"/>
        </w:rPr>
        <w:t xml:space="preserve">        </w:t>
      </w:r>
      <w:r>
        <w:rPr>
          <w:rFonts w:ascii="宋体" w:hAnsi="宋体" w:eastAsia="宋体" w:cs="宋体"/>
          <w:color w:val="auto"/>
          <w:spacing w:val="-13"/>
          <w:sz w:val="21"/>
          <w:szCs w:val="21"/>
          <w:highlight w:val="none"/>
        </w:rPr>
        <w:t>日</w:t>
      </w:r>
    </w:p>
    <w:p w14:paraId="38686E7F">
      <w:pPr>
        <w:spacing w:line="221" w:lineRule="auto"/>
        <w:rPr>
          <w:rFonts w:ascii="宋体" w:hAnsi="宋体" w:eastAsia="宋体" w:cs="宋体"/>
          <w:color w:val="auto"/>
          <w:sz w:val="21"/>
          <w:szCs w:val="21"/>
          <w:highlight w:val="none"/>
        </w:rPr>
        <w:sectPr>
          <w:footerReference r:id="rId109" w:type="default"/>
          <w:pgSz w:w="11905" w:h="16839"/>
          <w:pgMar w:top="400" w:right="1785" w:bottom="1004" w:left="1785" w:header="0" w:footer="828" w:gutter="0"/>
          <w:pgNumType w:fmt="decimal"/>
          <w:cols w:space="720" w:num="1"/>
        </w:sectPr>
      </w:pPr>
    </w:p>
    <w:p w14:paraId="3AF5F383">
      <w:pPr>
        <w:pStyle w:val="5"/>
        <w:spacing w:line="276" w:lineRule="auto"/>
        <w:rPr>
          <w:color w:val="auto"/>
          <w:highlight w:val="none"/>
        </w:rPr>
      </w:pPr>
    </w:p>
    <w:p w14:paraId="4FEF853F">
      <w:pPr>
        <w:pStyle w:val="5"/>
        <w:spacing w:line="276" w:lineRule="auto"/>
        <w:rPr>
          <w:color w:val="auto"/>
          <w:highlight w:val="none"/>
        </w:rPr>
      </w:pPr>
    </w:p>
    <w:p w14:paraId="22790F59">
      <w:pPr>
        <w:pStyle w:val="5"/>
        <w:spacing w:line="276" w:lineRule="auto"/>
        <w:rPr>
          <w:color w:val="auto"/>
          <w:highlight w:val="none"/>
        </w:rPr>
      </w:pPr>
    </w:p>
    <w:p w14:paraId="1B583837">
      <w:pPr>
        <w:pStyle w:val="5"/>
        <w:spacing w:line="276" w:lineRule="auto"/>
        <w:rPr>
          <w:color w:val="auto"/>
          <w:highlight w:val="none"/>
        </w:rPr>
      </w:pPr>
    </w:p>
    <w:p w14:paraId="375827C2">
      <w:pPr>
        <w:spacing w:before="78" w:line="219" w:lineRule="auto"/>
        <w:ind w:left="38"/>
        <w:rPr>
          <w:rFonts w:ascii="Times New Roman" w:hAnsi="Times New Roman" w:eastAsia="Times New Roman" w:cs="Times New Roman"/>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30"/>
          <w:sz w:val="24"/>
          <w:szCs w:val="24"/>
          <w:highlight w:val="none"/>
        </w:rPr>
        <w:t xml:space="preserve"> </w:t>
      </w:r>
      <w:r>
        <w:rPr>
          <w:rFonts w:ascii="Times New Roman" w:hAnsi="Times New Roman" w:eastAsia="Times New Roman" w:cs="Times New Roman"/>
          <w:color w:val="auto"/>
          <w:spacing w:val="-11"/>
          <w:sz w:val="24"/>
          <w:szCs w:val="24"/>
          <w:highlight w:val="none"/>
        </w:rPr>
        <w:t>10:</w:t>
      </w:r>
    </w:p>
    <w:p w14:paraId="7933E426">
      <w:pPr>
        <w:spacing w:before="243" w:line="227" w:lineRule="auto"/>
        <w:ind w:left="3626"/>
        <w:rPr>
          <w:rFonts w:ascii="黑体" w:hAnsi="黑体" w:eastAsia="黑体" w:cs="黑体"/>
          <w:color w:val="auto"/>
          <w:sz w:val="27"/>
          <w:szCs w:val="27"/>
          <w:highlight w:val="none"/>
        </w:rPr>
      </w:pPr>
      <w:r>
        <w:rPr>
          <w:rFonts w:ascii="黑体" w:hAnsi="黑体" w:eastAsia="黑体" w:cs="黑体"/>
          <w:color w:val="auto"/>
          <w:spacing w:val="3"/>
          <w:sz w:val="27"/>
          <w:szCs w:val="27"/>
          <w:highlight w:val="none"/>
        </w:rPr>
        <w:t>支付担保</w:t>
      </w:r>
    </w:p>
    <w:p w14:paraId="1B600C02">
      <w:pPr>
        <w:tabs>
          <w:tab w:val="left" w:pos="1378"/>
        </w:tabs>
        <w:spacing w:before="283"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6"/>
          <w:w w:val="95"/>
          <w:sz w:val="21"/>
          <w:szCs w:val="21"/>
          <w:highlight w:val="none"/>
        </w:rPr>
        <w:t>（承包人</w:t>
      </w:r>
      <w:r>
        <w:rPr>
          <w:rFonts w:ascii="宋体" w:hAnsi="宋体" w:eastAsia="宋体" w:cs="宋体"/>
          <w:color w:val="auto"/>
          <w:spacing w:val="-26"/>
          <w:sz w:val="21"/>
          <w:szCs w:val="21"/>
          <w:highlight w:val="none"/>
        </w:rPr>
        <w:t>）：</w:t>
      </w:r>
    </w:p>
    <w:p w14:paraId="304F5AF3">
      <w:pPr>
        <w:pStyle w:val="5"/>
        <w:spacing w:line="416" w:lineRule="auto"/>
        <w:rPr>
          <w:color w:val="auto"/>
          <w:highlight w:val="none"/>
        </w:rPr>
      </w:pPr>
    </w:p>
    <w:p w14:paraId="25E5CDC8">
      <w:pPr>
        <w:spacing w:before="69" w:line="359" w:lineRule="auto"/>
        <w:ind w:left="21" w:right="5" w:firstLine="42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鉴于你方作为承包人已经与</w:t>
      </w:r>
      <w:r>
        <w:rPr>
          <w:rFonts w:ascii="宋体" w:hAnsi="宋体" w:eastAsia="宋体" w:cs="宋体"/>
          <w:color w:val="auto"/>
          <w:spacing w:val="-103"/>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 xml:space="preserve"> （发包人名称</w:t>
      </w:r>
      <w:r>
        <w:rPr>
          <w:rFonts w:ascii="宋体" w:hAnsi="宋体" w:eastAsia="宋体" w:cs="宋体"/>
          <w:color w:val="auto"/>
          <w:spacing w:val="-61"/>
          <w:sz w:val="21"/>
          <w:szCs w:val="21"/>
          <w:highlight w:val="none"/>
        </w:rPr>
        <w:t>）（</w:t>
      </w:r>
      <w:r>
        <w:rPr>
          <w:rFonts w:ascii="宋体" w:hAnsi="宋体" w:eastAsia="宋体" w:cs="宋体"/>
          <w:color w:val="auto"/>
          <w:spacing w:val="-7"/>
          <w:sz w:val="21"/>
          <w:szCs w:val="21"/>
          <w:highlight w:val="none"/>
        </w:rPr>
        <w:t>以下称“发包人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7"/>
          <w:sz w:val="21"/>
          <w:szCs w:val="21"/>
          <w:highlight w:val="none"/>
        </w:rPr>
        <w:t>”）于</w:t>
      </w:r>
      <w:r>
        <w:rPr>
          <w:rFonts w:ascii="宋体" w:hAnsi="宋体" w:eastAsia="宋体" w:cs="宋体"/>
          <w:color w:val="auto"/>
          <w:spacing w:val="-9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9"/>
          <w:sz w:val="21"/>
          <w:szCs w:val="21"/>
          <w:highlight w:val="none"/>
        </w:rPr>
        <w:t>月</w:t>
      </w:r>
      <w:r>
        <w:rPr>
          <w:rFonts w:ascii="宋体" w:hAnsi="宋体" w:eastAsia="宋体" w:cs="宋体"/>
          <w:color w:val="auto"/>
          <w:spacing w:val="-10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9"/>
          <w:sz w:val="21"/>
          <w:szCs w:val="21"/>
          <w:highlight w:val="none"/>
        </w:rPr>
        <w:t>日签订了</w:t>
      </w:r>
      <w:r>
        <w:rPr>
          <w:rFonts w:ascii="宋体" w:hAnsi="宋体" w:eastAsia="宋体" w:cs="宋体"/>
          <w:color w:val="auto"/>
          <w:spacing w:val="-105"/>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
          <w:sz w:val="21"/>
          <w:szCs w:val="21"/>
          <w:highlight w:val="none"/>
        </w:rPr>
        <w:t xml:space="preserve"> （工程名称）《建设工程施工合同》（以下称“主合同</w:t>
      </w:r>
      <w:r>
        <w:rPr>
          <w:rFonts w:ascii="宋体" w:hAnsi="宋体" w:eastAsia="宋体" w:cs="宋体"/>
          <w:color w:val="auto"/>
          <w:spacing w:val="-81"/>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pacing w:val="-37"/>
          <w:w w:val="68"/>
          <w:sz w:val="21"/>
          <w:szCs w:val="21"/>
          <w:highlight w:val="none"/>
        </w:rPr>
        <w:t>），</w:t>
      </w:r>
      <w:r>
        <w:rPr>
          <w:rFonts w:ascii="宋体" w:hAnsi="宋体" w:eastAsia="宋体" w:cs="宋体"/>
          <w:color w:val="auto"/>
          <w:spacing w:val="-9"/>
          <w:sz w:val="21"/>
          <w:szCs w:val="21"/>
          <w:highlight w:val="none"/>
        </w:rPr>
        <w:t>应</w:t>
      </w:r>
      <w:r>
        <w:rPr>
          <w:rFonts w:ascii="宋体" w:hAnsi="宋体" w:eastAsia="宋体" w:cs="宋体"/>
          <w:color w:val="auto"/>
          <w:sz w:val="21"/>
          <w:szCs w:val="21"/>
          <w:highlight w:val="none"/>
        </w:rPr>
        <w:t xml:space="preserve"> 发包人的申请，我方愿就发包人履行主合同约定的工程款支付义务</w:t>
      </w:r>
      <w:r>
        <w:rPr>
          <w:rFonts w:ascii="宋体" w:hAnsi="宋体" w:eastAsia="宋体" w:cs="宋体"/>
          <w:color w:val="auto"/>
          <w:spacing w:val="-1"/>
          <w:sz w:val="21"/>
          <w:szCs w:val="21"/>
          <w:highlight w:val="none"/>
        </w:rPr>
        <w:t>以保证的方式向你方提</w:t>
      </w:r>
    </w:p>
    <w:p w14:paraId="163B1CC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供如下担保：</w:t>
      </w:r>
    </w:p>
    <w:p w14:paraId="4AE1DC6C">
      <w:pPr>
        <w:spacing w:before="157" w:line="220" w:lineRule="auto"/>
        <w:ind w:left="444"/>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一、保证的范围及保证金额</w:t>
      </w:r>
    </w:p>
    <w:p w14:paraId="2B67BFC9">
      <w:pPr>
        <w:spacing w:before="9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 </w:t>
      </w:r>
      <w:r>
        <w:rPr>
          <w:rFonts w:ascii="宋体" w:hAnsi="宋体" w:eastAsia="宋体" w:cs="宋体"/>
          <w:color w:val="auto"/>
          <w:spacing w:val="-2"/>
          <w:sz w:val="21"/>
          <w:szCs w:val="21"/>
          <w:highlight w:val="none"/>
        </w:rPr>
        <w:t>我方的保证范围是主合同约定的工程款。</w:t>
      </w:r>
    </w:p>
    <w:p w14:paraId="5F78C958">
      <w:pPr>
        <w:spacing w:before="157" w:line="408"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2. </w:t>
      </w:r>
      <w:r>
        <w:rPr>
          <w:rFonts w:ascii="宋体" w:hAnsi="宋体" w:eastAsia="宋体" w:cs="宋体"/>
          <w:color w:val="auto"/>
          <w:position w:val="15"/>
          <w:sz w:val="21"/>
          <w:szCs w:val="21"/>
          <w:highlight w:val="none"/>
        </w:rPr>
        <w:t>本保函所称主合同约定的工程款是指主合同约定的除工程质量保证金以外的合</w:t>
      </w:r>
      <w:r>
        <w:rPr>
          <w:rFonts w:ascii="宋体" w:hAnsi="宋体" w:eastAsia="宋体" w:cs="宋体"/>
          <w:color w:val="auto"/>
          <w:spacing w:val="-1"/>
          <w:position w:val="15"/>
          <w:sz w:val="21"/>
          <w:szCs w:val="21"/>
          <w:highlight w:val="none"/>
        </w:rPr>
        <w:t>同价</w:t>
      </w:r>
    </w:p>
    <w:p w14:paraId="6A26B1B7">
      <w:pPr>
        <w:spacing w:line="222"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款。</w:t>
      </w:r>
    </w:p>
    <w:p w14:paraId="2F6D68ED">
      <w:pPr>
        <w:spacing w:before="160" w:line="35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我方保证的金额是主合同约定的工程款的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1"/>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，数额最高不超过人民币元（大</w:t>
      </w:r>
    </w:p>
    <w:p w14:paraId="40731C17">
      <w:pPr>
        <w:spacing w:before="1" w:line="222" w:lineRule="auto"/>
        <w:ind w:left="24"/>
        <w:rPr>
          <w:rFonts w:ascii="宋体" w:hAnsi="宋体" w:eastAsia="宋体" w:cs="宋体"/>
          <w:color w:val="auto"/>
          <w:sz w:val="21"/>
          <w:szCs w:val="21"/>
          <w:highlight w:val="none"/>
        </w:rPr>
      </w:pPr>
      <w:r>
        <w:rPr>
          <w:rFonts w:ascii="宋体" w:hAnsi="宋体" w:eastAsia="宋体" w:cs="宋体"/>
          <w:color w:val="auto"/>
          <w:spacing w:val="-42"/>
          <w:sz w:val="21"/>
          <w:szCs w:val="21"/>
          <w:highlight w:val="none"/>
        </w:rPr>
        <w:t>写</w:t>
      </w:r>
      <w:r>
        <w:rPr>
          <w:rFonts w:ascii="宋体" w:hAnsi="宋体" w:eastAsia="宋体" w:cs="宋体"/>
          <w:color w:val="auto"/>
          <w:spacing w:val="-26"/>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6"/>
          <w:sz w:val="21"/>
          <w:szCs w:val="21"/>
          <w:highlight w:val="none"/>
        </w:rPr>
        <w:t>）</w:t>
      </w:r>
      <w:r>
        <w:rPr>
          <w:rFonts w:ascii="宋体" w:hAnsi="宋体" w:eastAsia="宋体" w:cs="宋体"/>
          <w:color w:val="auto"/>
          <w:spacing w:val="-42"/>
          <w:sz w:val="21"/>
          <w:szCs w:val="21"/>
          <w:highlight w:val="none"/>
        </w:rPr>
        <w:t>。</w:t>
      </w:r>
    </w:p>
    <w:p w14:paraId="092B2650">
      <w:pPr>
        <w:spacing w:before="155" w:line="219" w:lineRule="auto"/>
        <w:ind w:left="444"/>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二、</w:t>
      </w:r>
      <w:r>
        <w:rPr>
          <w:rFonts w:ascii="黑体" w:hAnsi="黑体" w:eastAsia="黑体" w:cs="黑体"/>
          <w:color w:val="auto"/>
          <w:spacing w:val="-29"/>
          <w:sz w:val="21"/>
          <w:szCs w:val="21"/>
          <w:highlight w:val="none"/>
        </w:rPr>
        <w:t xml:space="preserve"> </w:t>
      </w:r>
      <w:r>
        <w:rPr>
          <w:rFonts w:ascii="黑体" w:hAnsi="黑体" w:eastAsia="黑体" w:cs="黑体"/>
          <w:color w:val="auto"/>
          <w:spacing w:val="-7"/>
          <w:sz w:val="21"/>
          <w:szCs w:val="21"/>
          <w:highlight w:val="none"/>
        </w:rPr>
        <w:t>保证的方式及保证期间</w:t>
      </w:r>
    </w:p>
    <w:p w14:paraId="5A55F900">
      <w:pPr>
        <w:spacing w:before="9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 </w:t>
      </w:r>
      <w:r>
        <w:rPr>
          <w:rFonts w:ascii="宋体" w:hAnsi="宋体" w:eastAsia="宋体" w:cs="宋体"/>
          <w:color w:val="auto"/>
          <w:spacing w:val="-3"/>
          <w:sz w:val="21"/>
          <w:szCs w:val="21"/>
          <w:highlight w:val="none"/>
        </w:rPr>
        <w:t>我方保证的方式为：连带责任保证。</w:t>
      </w:r>
    </w:p>
    <w:p w14:paraId="3129DA19">
      <w:pPr>
        <w:spacing w:before="157" w:line="35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我方保证的期间为：自本合同生效之日起至主合同约定的工程款支付</w:t>
      </w:r>
      <w:r>
        <w:rPr>
          <w:rFonts w:ascii="宋体" w:hAnsi="宋体" w:eastAsia="宋体" w:cs="宋体"/>
          <w:color w:val="auto"/>
          <w:spacing w:val="-1"/>
          <w:sz w:val="21"/>
          <w:szCs w:val="21"/>
          <w:highlight w:val="none"/>
        </w:rPr>
        <w:t>完毕之日后</w:t>
      </w:r>
      <w:r>
        <w:rPr>
          <w:rFonts w:ascii="宋体" w:hAnsi="宋体" w:eastAsia="宋体" w:cs="宋体"/>
          <w:color w:val="auto"/>
          <w:spacing w:val="-1"/>
          <w:sz w:val="21"/>
          <w:szCs w:val="21"/>
          <w:highlight w:val="none"/>
          <w:u w:val="single" w:color="auto"/>
        </w:rPr>
        <w:t xml:space="preserve">  </w:t>
      </w:r>
    </w:p>
    <w:p w14:paraId="5EA2159B">
      <w:pPr>
        <w:spacing w:line="220" w:lineRule="auto"/>
        <w:ind w:left="54"/>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日内。</w:t>
      </w:r>
    </w:p>
    <w:p w14:paraId="1F6FEFEB">
      <w:pPr>
        <w:spacing w:before="157" w:line="40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宋体" w:hAnsi="宋体" w:eastAsia="宋体" w:cs="宋体"/>
          <w:color w:val="auto"/>
          <w:position w:val="15"/>
          <w:sz w:val="21"/>
          <w:szCs w:val="21"/>
          <w:highlight w:val="none"/>
        </w:rPr>
        <w:t>你方与发包人协议变更工程款支付日期的，经我方书面同意后，保证</w:t>
      </w:r>
      <w:r>
        <w:rPr>
          <w:rFonts w:ascii="宋体" w:hAnsi="宋体" w:eastAsia="宋体" w:cs="宋体"/>
          <w:color w:val="auto"/>
          <w:spacing w:val="-1"/>
          <w:position w:val="15"/>
          <w:sz w:val="21"/>
          <w:szCs w:val="21"/>
          <w:highlight w:val="none"/>
        </w:rPr>
        <w:t>期间按照变更</w:t>
      </w:r>
    </w:p>
    <w:p w14:paraId="718B973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后的支付日期做相应调整。</w:t>
      </w:r>
    </w:p>
    <w:p w14:paraId="6B8CA6E8">
      <w:pPr>
        <w:spacing w:before="158" w:line="219" w:lineRule="auto"/>
        <w:ind w:left="445"/>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三、</w:t>
      </w:r>
      <w:r>
        <w:rPr>
          <w:rFonts w:ascii="黑体" w:hAnsi="黑体" w:eastAsia="黑体" w:cs="黑体"/>
          <w:color w:val="auto"/>
          <w:spacing w:val="-36"/>
          <w:sz w:val="21"/>
          <w:szCs w:val="21"/>
          <w:highlight w:val="none"/>
        </w:rPr>
        <w:t xml:space="preserve"> </w:t>
      </w:r>
      <w:r>
        <w:rPr>
          <w:rFonts w:ascii="黑体" w:hAnsi="黑体" w:eastAsia="黑体" w:cs="黑体"/>
          <w:color w:val="auto"/>
          <w:spacing w:val="-7"/>
          <w:sz w:val="21"/>
          <w:szCs w:val="21"/>
          <w:highlight w:val="none"/>
        </w:rPr>
        <w:t>承担保证责任的形式</w:t>
      </w:r>
    </w:p>
    <w:p w14:paraId="70C94720">
      <w:pPr>
        <w:spacing w:before="96" w:line="413" w:lineRule="exact"/>
        <w:ind w:left="442"/>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我方承担保证责任的形式是代为支付。发包人未按主合同约定向你方</w:t>
      </w:r>
      <w:r>
        <w:rPr>
          <w:rFonts w:ascii="宋体" w:hAnsi="宋体" w:eastAsia="宋体" w:cs="宋体"/>
          <w:color w:val="auto"/>
          <w:spacing w:val="-1"/>
          <w:position w:val="15"/>
          <w:sz w:val="21"/>
          <w:szCs w:val="21"/>
          <w:highlight w:val="none"/>
        </w:rPr>
        <w:t>支付工程款的，</w:t>
      </w:r>
    </w:p>
    <w:p w14:paraId="193C0675">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由我方在保证金额内代为支付。</w:t>
      </w:r>
    </w:p>
    <w:p w14:paraId="34F82A5D">
      <w:pPr>
        <w:spacing w:before="156" w:line="221" w:lineRule="auto"/>
        <w:ind w:left="453"/>
        <w:rPr>
          <w:rFonts w:ascii="黑体" w:hAnsi="黑体" w:eastAsia="黑体" w:cs="黑体"/>
          <w:color w:val="auto"/>
          <w:sz w:val="21"/>
          <w:szCs w:val="21"/>
          <w:highlight w:val="none"/>
        </w:rPr>
      </w:pPr>
      <w:r>
        <w:rPr>
          <w:rFonts w:ascii="黑体" w:hAnsi="黑体" w:eastAsia="黑体" w:cs="黑体"/>
          <w:color w:val="auto"/>
          <w:spacing w:val="-12"/>
          <w:sz w:val="21"/>
          <w:szCs w:val="21"/>
          <w:highlight w:val="none"/>
        </w:rPr>
        <w:t>四、</w:t>
      </w:r>
      <w:r>
        <w:rPr>
          <w:rFonts w:ascii="黑体" w:hAnsi="黑体" w:eastAsia="黑体" w:cs="黑体"/>
          <w:color w:val="auto"/>
          <w:spacing w:val="-38"/>
          <w:sz w:val="21"/>
          <w:szCs w:val="21"/>
          <w:highlight w:val="none"/>
        </w:rPr>
        <w:t xml:space="preserve"> </w:t>
      </w:r>
      <w:r>
        <w:rPr>
          <w:rFonts w:ascii="黑体" w:hAnsi="黑体" w:eastAsia="黑体" w:cs="黑体"/>
          <w:color w:val="auto"/>
          <w:spacing w:val="-12"/>
          <w:sz w:val="21"/>
          <w:szCs w:val="21"/>
          <w:highlight w:val="none"/>
        </w:rPr>
        <w:t>代偿的安排</w:t>
      </w:r>
    </w:p>
    <w:p w14:paraId="3F6D6019">
      <w:pPr>
        <w:spacing w:before="95" w:line="40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宋体" w:hAnsi="宋体" w:eastAsia="宋体" w:cs="宋体"/>
          <w:color w:val="auto"/>
          <w:spacing w:val="-1"/>
          <w:position w:val="15"/>
          <w:sz w:val="21"/>
          <w:szCs w:val="21"/>
          <w:highlight w:val="none"/>
        </w:rPr>
        <w:t>你方要求我方承担保证责任的，应向我方发出书面索赔通知及发包人未支付主合同</w:t>
      </w:r>
    </w:p>
    <w:p w14:paraId="0949C302">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约定工程款的证明材料。索赔通知应写明要求索赔的金额，支</w:t>
      </w:r>
      <w:r>
        <w:rPr>
          <w:rFonts w:ascii="宋体" w:hAnsi="宋体" w:eastAsia="宋体" w:cs="宋体"/>
          <w:color w:val="auto"/>
          <w:spacing w:val="-1"/>
          <w:sz w:val="21"/>
          <w:szCs w:val="21"/>
          <w:highlight w:val="none"/>
        </w:rPr>
        <w:t>付款项应到达的账号。</w:t>
      </w:r>
    </w:p>
    <w:p w14:paraId="0CB7EAB5">
      <w:pPr>
        <w:spacing w:before="15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在出现你方与发包人因工程质量发生争议，发包人拒绝向你方支付工程款的</w:t>
      </w:r>
      <w:r>
        <w:rPr>
          <w:rFonts w:ascii="宋体" w:hAnsi="宋体" w:eastAsia="宋体" w:cs="宋体"/>
          <w:color w:val="auto"/>
          <w:spacing w:val="-1"/>
          <w:sz w:val="21"/>
          <w:szCs w:val="21"/>
          <w:highlight w:val="none"/>
        </w:rPr>
        <w:t>情形</w:t>
      </w:r>
    </w:p>
    <w:p w14:paraId="2BB77D31">
      <w:pPr>
        <w:spacing w:before="157" w:line="408" w:lineRule="exact"/>
        <w:ind w:left="28"/>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时，你方要求我方履行保证责任代为支付的，需提供</w:t>
      </w:r>
      <w:r>
        <w:rPr>
          <w:rFonts w:ascii="宋体" w:hAnsi="宋体" w:eastAsia="宋体" w:cs="宋体"/>
          <w:color w:val="auto"/>
          <w:spacing w:val="-1"/>
          <w:position w:val="14"/>
          <w:sz w:val="21"/>
          <w:szCs w:val="21"/>
          <w:highlight w:val="none"/>
        </w:rPr>
        <w:t>符合相应条件要求的工程质量检测机</w:t>
      </w:r>
    </w:p>
    <w:p w14:paraId="1B2A30B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构出具的质量说明材料。</w:t>
      </w:r>
    </w:p>
    <w:p w14:paraId="607D1410">
      <w:pPr>
        <w:spacing w:before="158"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我方收到你方的书面索赔通知及相应的证明材料后7天内无条件支付。</w:t>
      </w:r>
    </w:p>
    <w:p w14:paraId="470BFA5C">
      <w:pPr>
        <w:spacing w:before="158" w:line="219" w:lineRule="auto"/>
        <w:ind w:left="446"/>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五、保证责任的解除</w:t>
      </w:r>
    </w:p>
    <w:p w14:paraId="0FEA0F26">
      <w:pPr>
        <w:spacing w:before="101" w:line="40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宋体" w:hAnsi="宋体" w:eastAsia="宋体" w:cs="宋体"/>
          <w:color w:val="auto"/>
          <w:spacing w:val="-1"/>
          <w:position w:val="15"/>
          <w:sz w:val="21"/>
          <w:szCs w:val="21"/>
          <w:highlight w:val="none"/>
        </w:rPr>
        <w:t>在本保函承诺的保证期间内，你方未书面向我方主张保证责任的，自保证期间届满</w:t>
      </w:r>
    </w:p>
    <w:p w14:paraId="26253889">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次日起，我方保证责任解除。</w:t>
      </w:r>
    </w:p>
    <w:p w14:paraId="1C32BBD6">
      <w:pPr>
        <w:spacing w:before="157"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发包人按主合同约定履行了工程款的全部支付义务的，自本保函承诺的保证期</w:t>
      </w:r>
      <w:r>
        <w:rPr>
          <w:rFonts w:ascii="宋体" w:hAnsi="宋体" w:eastAsia="宋体" w:cs="宋体"/>
          <w:color w:val="auto"/>
          <w:spacing w:val="-1"/>
          <w:sz w:val="21"/>
          <w:szCs w:val="21"/>
          <w:highlight w:val="none"/>
        </w:rPr>
        <w:t>间届</w:t>
      </w:r>
    </w:p>
    <w:p w14:paraId="324BD342">
      <w:pPr>
        <w:spacing w:line="220" w:lineRule="auto"/>
        <w:rPr>
          <w:rFonts w:ascii="宋体" w:hAnsi="宋体" w:eastAsia="宋体" w:cs="宋体"/>
          <w:color w:val="auto"/>
          <w:sz w:val="21"/>
          <w:szCs w:val="21"/>
          <w:highlight w:val="none"/>
        </w:rPr>
        <w:sectPr>
          <w:footerReference r:id="rId110" w:type="default"/>
          <w:pgSz w:w="11905" w:h="16839"/>
          <w:pgMar w:top="400" w:right="1785" w:bottom="1004" w:left="1785" w:header="0" w:footer="828" w:gutter="0"/>
          <w:pgNumType w:fmt="decimal"/>
          <w:cols w:space="720" w:num="1"/>
        </w:sectPr>
      </w:pPr>
    </w:p>
    <w:p w14:paraId="35CBCEAD">
      <w:pPr>
        <w:pStyle w:val="5"/>
        <w:spacing w:line="248" w:lineRule="auto"/>
        <w:rPr>
          <w:color w:val="auto"/>
          <w:highlight w:val="none"/>
        </w:rPr>
      </w:pPr>
    </w:p>
    <w:p w14:paraId="68495599">
      <w:pPr>
        <w:pStyle w:val="5"/>
        <w:spacing w:line="249" w:lineRule="auto"/>
        <w:rPr>
          <w:color w:val="auto"/>
          <w:highlight w:val="none"/>
        </w:rPr>
      </w:pPr>
    </w:p>
    <w:p w14:paraId="32FE5D96">
      <w:pPr>
        <w:pStyle w:val="5"/>
        <w:spacing w:line="249" w:lineRule="auto"/>
        <w:rPr>
          <w:color w:val="auto"/>
          <w:highlight w:val="none"/>
        </w:rPr>
      </w:pPr>
    </w:p>
    <w:p w14:paraId="492B99A4">
      <w:pPr>
        <w:pStyle w:val="5"/>
        <w:spacing w:line="249" w:lineRule="auto"/>
        <w:rPr>
          <w:color w:val="auto"/>
          <w:highlight w:val="none"/>
        </w:rPr>
      </w:pPr>
    </w:p>
    <w:p w14:paraId="2790E9EC">
      <w:pPr>
        <w:spacing w:before="68" w:line="221"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满次日起，</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我方保证责任解除。</w:t>
      </w:r>
    </w:p>
    <w:p w14:paraId="31204135">
      <w:pPr>
        <w:spacing w:before="157" w:line="40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宋体" w:hAnsi="宋体" w:eastAsia="宋体" w:cs="宋体"/>
          <w:color w:val="auto"/>
          <w:position w:val="15"/>
          <w:sz w:val="21"/>
          <w:szCs w:val="21"/>
          <w:highlight w:val="none"/>
        </w:rPr>
        <w:t>我方按照本保函向你方履行保证责任所支付金额达到本保函保</w:t>
      </w:r>
      <w:r>
        <w:rPr>
          <w:rFonts w:ascii="宋体" w:hAnsi="宋体" w:eastAsia="宋体" w:cs="宋体"/>
          <w:color w:val="auto"/>
          <w:spacing w:val="-1"/>
          <w:position w:val="15"/>
          <w:sz w:val="21"/>
          <w:szCs w:val="21"/>
          <w:highlight w:val="none"/>
        </w:rPr>
        <w:t>证金额时，自我方向</w:t>
      </w:r>
    </w:p>
    <w:p w14:paraId="1F96757E">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你方支付（支付款项从我方账户划出） 之日起， 保证责任即解除。</w:t>
      </w:r>
    </w:p>
    <w:p w14:paraId="017E5340">
      <w:pPr>
        <w:spacing w:before="157" w:line="408" w:lineRule="exact"/>
        <w:ind w:left="436"/>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4. </w:t>
      </w:r>
      <w:r>
        <w:rPr>
          <w:rFonts w:ascii="宋体" w:hAnsi="宋体" w:eastAsia="宋体" w:cs="宋体"/>
          <w:color w:val="auto"/>
          <w:position w:val="15"/>
          <w:sz w:val="21"/>
          <w:szCs w:val="21"/>
          <w:highlight w:val="none"/>
        </w:rPr>
        <w:t>按照法律法规的规定或出现应解除我方保证责任的其他情形的，我方在本保函项下</w:t>
      </w:r>
    </w:p>
    <w:p w14:paraId="1C5AC8ED">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的保证责任亦解除。</w:t>
      </w:r>
    </w:p>
    <w:p w14:paraId="3D6035A1">
      <w:pPr>
        <w:pStyle w:val="5"/>
        <w:spacing w:line="450" w:lineRule="auto"/>
        <w:rPr>
          <w:color w:val="auto"/>
          <w:highlight w:val="none"/>
        </w:rPr>
      </w:pPr>
    </w:p>
    <w:p w14:paraId="5642A014">
      <w:pPr>
        <w:spacing w:before="69" w:line="409" w:lineRule="exact"/>
        <w:ind w:right="21"/>
        <w:jc w:val="right"/>
        <w:rPr>
          <w:color w:val="auto"/>
          <w:sz w:val="21"/>
          <w:szCs w:val="21"/>
          <w:highlight w:val="none"/>
        </w:rPr>
      </w:pPr>
      <w:r>
        <w:rPr>
          <w:rFonts w:ascii="Times New Roman" w:hAnsi="Times New Roman" w:eastAsia="Times New Roman" w:cs="Times New Roman"/>
          <w:color w:val="auto"/>
          <w:spacing w:val="-3"/>
          <w:position w:val="15"/>
          <w:sz w:val="21"/>
          <w:szCs w:val="21"/>
          <w:highlight w:val="none"/>
        </w:rPr>
        <w:t xml:space="preserve">5. </w:t>
      </w:r>
      <w:r>
        <w:rPr>
          <w:rFonts w:ascii="宋体" w:hAnsi="宋体" w:eastAsia="宋体" w:cs="宋体"/>
          <w:color w:val="auto"/>
          <w:spacing w:val="-3"/>
          <w:position w:val="15"/>
          <w:sz w:val="21"/>
          <w:szCs w:val="21"/>
          <w:highlight w:val="none"/>
        </w:rPr>
        <w:t>我方解除保证责任后，你方应自我方保证责任解除之日起 个工作日内， 将本保函原</w:t>
      </w:r>
      <w:r>
        <w:rPr>
          <w:color w:val="auto"/>
          <w:position w:val="12"/>
          <w:sz w:val="21"/>
          <w:szCs w:val="21"/>
          <w:highlight w:val="none"/>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7"/>
                    <a:stretch>
                      <a:fillRect/>
                    </a:stretch>
                  </pic:blipFill>
                  <pic:spPr>
                    <a:xfrm>
                      <a:off x="0" y="0"/>
                      <a:ext cx="0" cy="6095"/>
                    </a:xfrm>
                    <a:prstGeom prst="rect">
                      <a:avLst/>
                    </a:prstGeom>
                  </pic:spPr>
                </pic:pic>
              </a:graphicData>
            </a:graphic>
          </wp:inline>
        </w:drawing>
      </w:r>
    </w:p>
    <w:p w14:paraId="7C783353">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件返还我方。</w:t>
      </w:r>
    </w:p>
    <w:p w14:paraId="48CA274D">
      <w:pPr>
        <w:spacing w:before="158" w:line="219" w:lineRule="auto"/>
        <w:ind w:left="447"/>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六、</w:t>
      </w:r>
      <w:r>
        <w:rPr>
          <w:rFonts w:ascii="黑体" w:hAnsi="黑体" w:eastAsia="黑体" w:cs="黑体"/>
          <w:color w:val="auto"/>
          <w:spacing w:val="-33"/>
          <w:sz w:val="21"/>
          <w:szCs w:val="21"/>
          <w:highlight w:val="none"/>
        </w:rPr>
        <w:t xml:space="preserve"> </w:t>
      </w:r>
      <w:r>
        <w:rPr>
          <w:rFonts w:ascii="黑体" w:hAnsi="黑体" w:eastAsia="黑体" w:cs="黑体"/>
          <w:color w:val="auto"/>
          <w:spacing w:val="-14"/>
          <w:sz w:val="21"/>
          <w:szCs w:val="21"/>
          <w:highlight w:val="none"/>
        </w:rPr>
        <w:t>免责条款</w:t>
      </w:r>
    </w:p>
    <w:p w14:paraId="201C6E3E">
      <w:pPr>
        <w:spacing w:before="95"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Times New Roman" w:hAnsi="Times New Roman" w:eastAsia="Times New Roman" w:cs="Times New Roman"/>
          <w:color w:val="auto"/>
          <w:spacing w:val="38"/>
          <w:w w:val="101"/>
          <w:sz w:val="21"/>
          <w:szCs w:val="21"/>
          <w:highlight w:val="none"/>
        </w:rPr>
        <w:t xml:space="preserve"> </w:t>
      </w:r>
      <w:r>
        <w:rPr>
          <w:rFonts w:ascii="宋体" w:hAnsi="宋体" w:eastAsia="宋体" w:cs="宋体"/>
          <w:color w:val="auto"/>
          <w:spacing w:val="-2"/>
          <w:sz w:val="21"/>
          <w:szCs w:val="21"/>
          <w:highlight w:val="none"/>
        </w:rPr>
        <w:t>因你方违约致使发包人不能履行义务的，我方不承担保证责任。</w:t>
      </w:r>
    </w:p>
    <w:p w14:paraId="1BAD7C65">
      <w:pPr>
        <w:spacing w:before="158" w:line="412"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 xml:space="preserve">2. </w:t>
      </w:r>
      <w:r>
        <w:rPr>
          <w:rFonts w:ascii="宋体" w:hAnsi="宋体" w:eastAsia="宋体" w:cs="宋体"/>
          <w:color w:val="auto"/>
          <w:spacing w:val="-2"/>
          <w:position w:val="15"/>
          <w:sz w:val="21"/>
          <w:szCs w:val="21"/>
          <w:highlight w:val="none"/>
        </w:rPr>
        <w:t>依照法律法规的规定或你方与发包人的另行约定，</w:t>
      </w:r>
      <w:r>
        <w:rPr>
          <w:rFonts w:ascii="宋体" w:hAnsi="宋体" w:eastAsia="宋体" w:cs="宋体"/>
          <w:color w:val="auto"/>
          <w:spacing w:val="-22"/>
          <w:position w:val="15"/>
          <w:sz w:val="21"/>
          <w:szCs w:val="21"/>
          <w:highlight w:val="none"/>
        </w:rPr>
        <w:t xml:space="preserve"> </w:t>
      </w:r>
      <w:r>
        <w:rPr>
          <w:rFonts w:ascii="宋体" w:hAnsi="宋体" w:eastAsia="宋体" w:cs="宋体"/>
          <w:color w:val="auto"/>
          <w:spacing w:val="-2"/>
          <w:position w:val="15"/>
          <w:sz w:val="21"/>
          <w:szCs w:val="21"/>
          <w:highlight w:val="none"/>
        </w:rPr>
        <w:t>免除发包人部分</w:t>
      </w:r>
      <w:r>
        <w:rPr>
          <w:rFonts w:ascii="宋体" w:hAnsi="宋体" w:eastAsia="宋体" w:cs="宋体"/>
          <w:color w:val="auto"/>
          <w:spacing w:val="-3"/>
          <w:position w:val="15"/>
          <w:sz w:val="21"/>
          <w:szCs w:val="21"/>
          <w:highlight w:val="none"/>
        </w:rPr>
        <w:t>或全部义务的，</w:t>
      </w:r>
    </w:p>
    <w:p w14:paraId="06F762D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我方亦免除其相应的保证责任。</w:t>
      </w:r>
    </w:p>
    <w:p w14:paraId="03A61A53">
      <w:pPr>
        <w:spacing w:before="157" w:line="359" w:lineRule="auto"/>
        <w:ind w:left="20" w:right="29"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 </w:t>
      </w:r>
      <w:r>
        <w:rPr>
          <w:rFonts w:ascii="宋体" w:hAnsi="宋体" w:eastAsia="宋体" w:cs="宋体"/>
          <w:color w:val="auto"/>
          <w:spacing w:val="-4"/>
          <w:sz w:val="21"/>
          <w:szCs w:val="21"/>
          <w:highlight w:val="none"/>
        </w:rPr>
        <w:t>你方与发包人协议变更主合同的，如加重发包人责任致使我方保证责任加重的，</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需</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征得我方书面同意， 否则我方不再承担因此</w:t>
      </w:r>
      <w:r>
        <w:rPr>
          <w:rFonts w:ascii="宋体" w:hAnsi="宋体" w:eastAsia="宋体" w:cs="宋体"/>
          <w:color w:val="auto"/>
          <w:spacing w:val="-4"/>
          <w:sz w:val="21"/>
          <w:szCs w:val="21"/>
          <w:highlight w:val="none"/>
        </w:rPr>
        <w:t>而加重部分的保证责任，但主合同第</w:t>
      </w:r>
      <w:r>
        <w:rPr>
          <w:rFonts w:ascii="宋体" w:hAnsi="宋体" w:eastAsia="宋体" w:cs="宋体"/>
          <w:color w:val="auto"/>
          <w:spacing w:val="-2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10 </w:t>
      </w:r>
      <w:r>
        <w:rPr>
          <w:rFonts w:ascii="宋体" w:hAnsi="宋体" w:eastAsia="宋体" w:cs="宋体"/>
          <w:color w:val="auto"/>
          <w:spacing w:val="-4"/>
          <w:sz w:val="21"/>
          <w:szCs w:val="21"/>
          <w:highlight w:val="none"/>
        </w:rPr>
        <w:t>条〔变</w:t>
      </w:r>
    </w:p>
    <w:p w14:paraId="5528DA0F">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更〕约定的变更不受本款限制。</w:t>
      </w:r>
    </w:p>
    <w:p w14:paraId="6ACEE29C">
      <w:pPr>
        <w:spacing w:before="15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4.</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1"/>
          <w:sz w:val="21"/>
          <w:szCs w:val="21"/>
          <w:highlight w:val="none"/>
        </w:rPr>
        <w:t>因不可抗力造成发包人不能履行义务的，我方不承担保证责任。</w:t>
      </w:r>
    </w:p>
    <w:p w14:paraId="3444C2A9">
      <w:pPr>
        <w:spacing w:before="158" w:line="220" w:lineRule="auto"/>
        <w:ind w:left="440"/>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七、</w:t>
      </w:r>
      <w:r>
        <w:rPr>
          <w:rFonts w:ascii="黑体" w:hAnsi="黑体" w:eastAsia="黑体" w:cs="黑体"/>
          <w:color w:val="auto"/>
          <w:spacing w:val="-26"/>
          <w:sz w:val="21"/>
          <w:szCs w:val="21"/>
          <w:highlight w:val="none"/>
        </w:rPr>
        <w:t xml:space="preserve"> </w:t>
      </w:r>
      <w:r>
        <w:rPr>
          <w:rFonts w:ascii="黑体" w:hAnsi="黑体" w:eastAsia="黑体" w:cs="黑体"/>
          <w:color w:val="auto"/>
          <w:spacing w:val="-14"/>
          <w:sz w:val="21"/>
          <w:szCs w:val="21"/>
          <w:highlight w:val="none"/>
        </w:rPr>
        <w:t>争议解决</w:t>
      </w:r>
    </w:p>
    <w:p w14:paraId="282733F4">
      <w:pPr>
        <w:spacing w:before="95"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因本保函或本保函相关事项发生的纠纷， 可由双方协商解决，协商不成的， 按下列第</w:t>
      </w:r>
    </w:p>
    <w:p w14:paraId="241314F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种方式解决：</w:t>
      </w:r>
    </w:p>
    <w:p w14:paraId="6C7EC3FB">
      <w:pPr>
        <w:spacing w:before="277" w:line="359"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）向</w:t>
      </w:r>
      <w:r>
        <w:rPr>
          <w:rFonts w:ascii="宋体" w:hAnsi="宋体" w:eastAsia="宋体" w:cs="宋体"/>
          <w:color w:val="auto"/>
          <w:spacing w:val="-7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8"/>
          <w:sz w:val="21"/>
          <w:szCs w:val="21"/>
          <w:highlight w:val="none"/>
        </w:rPr>
        <w:t xml:space="preserve"> </w:t>
      </w:r>
      <w:r>
        <w:rPr>
          <w:rFonts w:ascii="宋体" w:hAnsi="宋体" w:eastAsia="宋体" w:cs="宋体"/>
          <w:color w:val="auto"/>
          <w:spacing w:val="-5"/>
          <w:sz w:val="21"/>
          <w:szCs w:val="21"/>
          <w:highlight w:val="none"/>
        </w:rPr>
        <w:t>仲裁委员会申请仲裁；</w:t>
      </w:r>
    </w:p>
    <w:p w14:paraId="264B22FD">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）向</w:t>
      </w:r>
      <w:r>
        <w:rPr>
          <w:rFonts w:ascii="宋体" w:hAnsi="宋体" w:eastAsia="宋体" w:cs="宋体"/>
          <w:color w:val="auto"/>
          <w:spacing w:val="-78"/>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人民法院起诉。</w:t>
      </w:r>
    </w:p>
    <w:p w14:paraId="7CCD5278">
      <w:pPr>
        <w:spacing w:before="162" w:line="219" w:lineRule="auto"/>
        <w:ind w:left="441"/>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八、保函的生效</w:t>
      </w:r>
    </w:p>
    <w:p w14:paraId="337BFC06">
      <w:pPr>
        <w:spacing w:before="96"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本保函自我方法定代表人（或其授权代理人）签字并加盖公章</w:t>
      </w:r>
      <w:r>
        <w:rPr>
          <w:rFonts w:ascii="宋体" w:hAnsi="宋体" w:eastAsia="宋体" w:cs="宋体"/>
          <w:color w:val="auto"/>
          <w:spacing w:val="-1"/>
          <w:sz w:val="21"/>
          <w:szCs w:val="21"/>
          <w:highlight w:val="none"/>
        </w:rPr>
        <w:t>之日起生效。</w:t>
      </w:r>
    </w:p>
    <w:p w14:paraId="42621688">
      <w:pPr>
        <w:pStyle w:val="5"/>
        <w:spacing w:line="284" w:lineRule="auto"/>
        <w:rPr>
          <w:color w:val="auto"/>
          <w:highlight w:val="none"/>
        </w:rPr>
      </w:pPr>
    </w:p>
    <w:p w14:paraId="5034273D">
      <w:pPr>
        <w:pStyle w:val="5"/>
        <w:spacing w:line="284" w:lineRule="auto"/>
        <w:rPr>
          <w:color w:val="auto"/>
          <w:highlight w:val="none"/>
        </w:rPr>
      </w:pPr>
    </w:p>
    <w:p w14:paraId="7F5C42F3">
      <w:pPr>
        <w:pStyle w:val="5"/>
        <w:spacing w:line="284" w:lineRule="auto"/>
        <w:rPr>
          <w:color w:val="auto"/>
          <w:highlight w:val="none"/>
        </w:rPr>
      </w:pPr>
    </w:p>
    <w:p w14:paraId="1BD1E352">
      <w:pPr>
        <w:spacing w:before="69" w:line="220" w:lineRule="auto"/>
        <w:ind w:left="2646"/>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担保人</w:t>
      </w:r>
      <w:r>
        <w:rPr>
          <w:rFonts w:ascii="宋体" w:hAnsi="宋体" w:eastAsia="宋体" w:cs="宋体"/>
          <w:color w:val="auto"/>
          <w:spacing w:val="-13"/>
          <w:sz w:val="21"/>
          <w:szCs w:val="21"/>
          <w:highlight w:val="none"/>
        </w:rPr>
        <w:t>：</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6"/>
          <w:sz w:val="21"/>
          <w:szCs w:val="21"/>
          <w:highlight w:val="none"/>
        </w:rPr>
        <w:t>盖章）</w:t>
      </w:r>
    </w:p>
    <w:p w14:paraId="53569430">
      <w:pPr>
        <w:spacing w:before="157" w:line="221" w:lineRule="auto"/>
        <w:ind w:left="2646"/>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法定代表人或委托代理人</w:t>
      </w:r>
      <w:r>
        <w:rPr>
          <w:rFonts w:ascii="宋体" w:hAnsi="宋体" w:eastAsia="宋体" w:cs="宋体"/>
          <w:color w:val="auto"/>
          <w:spacing w:val="4"/>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13"/>
          <w:sz w:val="21"/>
          <w:szCs w:val="21"/>
          <w:highlight w:val="none"/>
        </w:rPr>
        <w:t>签字）</w:t>
      </w:r>
    </w:p>
    <w:p w14:paraId="33E530DD">
      <w:pPr>
        <w:spacing w:before="162" w:line="230" w:lineRule="auto"/>
        <w:ind w:left="2645"/>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2731CAE4">
      <w:pPr>
        <w:spacing w:before="146" w:line="221" w:lineRule="auto"/>
        <w:ind w:left="2661"/>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u w:val="single" w:color="auto"/>
        </w:rPr>
        <w:t xml:space="preserve">                                        </w:t>
      </w:r>
    </w:p>
    <w:p w14:paraId="73D0E184">
      <w:pPr>
        <w:spacing w:before="157" w:line="220" w:lineRule="auto"/>
        <w:ind w:left="2643"/>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0EDAF90">
      <w:pPr>
        <w:pStyle w:val="5"/>
        <w:spacing w:line="247" w:lineRule="auto"/>
        <w:rPr>
          <w:color w:val="auto"/>
          <w:highlight w:val="none"/>
        </w:rPr>
      </w:pPr>
    </w:p>
    <w:p w14:paraId="3B6F35B0">
      <w:pPr>
        <w:pStyle w:val="5"/>
        <w:spacing w:line="247" w:lineRule="auto"/>
        <w:rPr>
          <w:color w:val="auto"/>
          <w:highlight w:val="none"/>
        </w:rPr>
      </w:pPr>
    </w:p>
    <w:p w14:paraId="03C5B7E4">
      <w:pPr>
        <w:tabs>
          <w:tab w:val="left" w:pos="5580"/>
        </w:tabs>
        <w:spacing w:before="69" w:line="221" w:lineRule="auto"/>
        <w:ind w:left="40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7"/>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57"/>
          <w:sz w:val="21"/>
          <w:szCs w:val="21"/>
          <w:highlight w:val="none"/>
        </w:rPr>
        <w:t xml:space="preserve"> </w:t>
      </w:r>
      <w:r>
        <w:rPr>
          <w:rFonts w:ascii="宋体" w:hAnsi="宋体" w:eastAsia="宋体" w:cs="宋体"/>
          <w:color w:val="auto"/>
          <w:spacing w:val="-7"/>
          <w:sz w:val="21"/>
          <w:szCs w:val="21"/>
          <w:highlight w:val="none"/>
        </w:rPr>
        <w:t>日</w:t>
      </w:r>
    </w:p>
    <w:p w14:paraId="445D8AF9">
      <w:pPr>
        <w:spacing w:line="221" w:lineRule="auto"/>
        <w:rPr>
          <w:rFonts w:ascii="宋体" w:hAnsi="宋体" w:eastAsia="宋体" w:cs="宋体"/>
          <w:color w:val="auto"/>
          <w:sz w:val="21"/>
          <w:szCs w:val="21"/>
          <w:highlight w:val="none"/>
        </w:rPr>
        <w:sectPr>
          <w:footerReference r:id="rId111" w:type="default"/>
          <w:pgSz w:w="11905" w:h="16839"/>
          <w:pgMar w:top="400" w:right="1785" w:bottom="1004" w:left="1785" w:header="0" w:footer="828" w:gutter="0"/>
          <w:pgNumType w:fmt="decimal"/>
          <w:cols w:space="720" w:num="1"/>
        </w:sectPr>
      </w:pPr>
    </w:p>
    <w:p w14:paraId="36C1CEDB">
      <w:pPr>
        <w:pStyle w:val="5"/>
        <w:spacing w:line="276" w:lineRule="auto"/>
        <w:rPr>
          <w:color w:val="auto"/>
          <w:highlight w:val="none"/>
        </w:rPr>
      </w:pPr>
    </w:p>
    <w:p w14:paraId="62D77E4E">
      <w:pPr>
        <w:pStyle w:val="5"/>
        <w:spacing w:line="276" w:lineRule="auto"/>
        <w:rPr>
          <w:color w:val="auto"/>
          <w:highlight w:val="none"/>
        </w:rPr>
      </w:pPr>
    </w:p>
    <w:p w14:paraId="69463B2A">
      <w:pPr>
        <w:pStyle w:val="5"/>
        <w:spacing w:line="276" w:lineRule="auto"/>
        <w:rPr>
          <w:color w:val="auto"/>
          <w:highlight w:val="none"/>
        </w:rPr>
      </w:pPr>
    </w:p>
    <w:p w14:paraId="26F40750">
      <w:pPr>
        <w:pStyle w:val="5"/>
        <w:spacing w:line="276" w:lineRule="auto"/>
        <w:rPr>
          <w:color w:val="auto"/>
          <w:highlight w:val="none"/>
        </w:rPr>
      </w:pPr>
    </w:p>
    <w:p w14:paraId="0BED0902">
      <w:pPr>
        <w:spacing w:before="78" w:line="219" w:lineRule="auto"/>
        <w:ind w:left="143"/>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附件</w:t>
      </w:r>
      <w:r>
        <w:rPr>
          <w:rFonts w:ascii="宋体" w:hAnsi="宋体" w:eastAsia="宋体" w:cs="宋体"/>
          <w:color w:val="auto"/>
          <w:spacing w:val="-31"/>
          <w:sz w:val="24"/>
          <w:szCs w:val="24"/>
          <w:highlight w:val="none"/>
        </w:rPr>
        <w:t xml:space="preserve"> </w:t>
      </w:r>
      <w:r>
        <w:rPr>
          <w:rFonts w:ascii="Times New Roman" w:hAnsi="Times New Roman" w:eastAsia="Times New Roman" w:cs="Times New Roman"/>
          <w:color w:val="auto"/>
          <w:spacing w:val="-14"/>
          <w:sz w:val="24"/>
          <w:szCs w:val="24"/>
          <w:highlight w:val="none"/>
        </w:rPr>
        <w:t>11</w:t>
      </w:r>
      <w:r>
        <w:rPr>
          <w:rFonts w:ascii="宋体" w:hAnsi="宋体" w:eastAsia="宋体" w:cs="宋体"/>
          <w:color w:val="auto"/>
          <w:spacing w:val="-14"/>
          <w:sz w:val="24"/>
          <w:szCs w:val="24"/>
          <w:highlight w:val="none"/>
        </w:rPr>
        <w:t>：</w:t>
      </w:r>
    </w:p>
    <w:p w14:paraId="4098D095">
      <w:pPr>
        <w:spacing w:before="243" w:line="225" w:lineRule="auto"/>
        <w:ind w:left="3072"/>
        <w:rPr>
          <w:rFonts w:ascii="黑体" w:hAnsi="黑体"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11-</w:t>
      </w:r>
      <w:r>
        <w:rPr>
          <w:rFonts w:ascii="Times New Roman" w:hAnsi="Times New Roman" w:eastAsia="Times New Roman" w:cs="Times New Roman"/>
          <w:color w:val="auto"/>
          <w:spacing w:val="-29"/>
          <w:sz w:val="27"/>
          <w:szCs w:val="27"/>
          <w:highlight w:val="none"/>
        </w:rPr>
        <w:t xml:space="preserve"> </w:t>
      </w:r>
      <w:r>
        <w:rPr>
          <w:rFonts w:ascii="Times New Roman" w:hAnsi="Times New Roman" w:eastAsia="Times New Roman" w:cs="Times New Roman"/>
          <w:color w:val="auto"/>
          <w:spacing w:val="-1"/>
          <w:sz w:val="27"/>
          <w:szCs w:val="27"/>
          <w:highlight w:val="none"/>
        </w:rPr>
        <w:t>1</w:t>
      </w:r>
      <w:r>
        <w:rPr>
          <w:rFonts w:ascii="黑体" w:hAnsi="黑体" w:eastAsia="黑体" w:cs="黑体"/>
          <w:color w:val="auto"/>
          <w:spacing w:val="-1"/>
          <w:sz w:val="27"/>
          <w:szCs w:val="27"/>
          <w:highlight w:val="none"/>
        </w:rPr>
        <w:t>：材料暂估价表</w:t>
      </w:r>
    </w:p>
    <w:p w14:paraId="7C3C15C5">
      <w:pPr>
        <w:spacing w:line="112" w:lineRule="exact"/>
        <w:rPr>
          <w:color w:val="auto"/>
          <w:highlight w:val="none"/>
        </w:rPr>
      </w:pPr>
    </w:p>
    <w:tbl>
      <w:tblPr>
        <w:tblStyle w:val="17"/>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2C955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15B0873C">
            <w:pPr>
              <w:pStyle w:val="18"/>
              <w:spacing w:before="178" w:line="222" w:lineRule="auto"/>
              <w:ind w:left="290"/>
              <w:rPr>
                <w:color w:val="auto"/>
                <w:highlight w:val="none"/>
              </w:rPr>
            </w:pPr>
            <w:r>
              <w:rPr>
                <w:color w:val="auto"/>
                <w:spacing w:val="-2"/>
                <w:highlight w:val="none"/>
              </w:rPr>
              <w:t>序号</w:t>
            </w:r>
          </w:p>
        </w:tc>
        <w:tc>
          <w:tcPr>
            <w:tcW w:w="1983" w:type="dxa"/>
            <w:tcBorders>
              <w:top w:val="single" w:color="000000" w:sz="10" w:space="0"/>
            </w:tcBorders>
            <w:vAlign w:val="top"/>
          </w:tcPr>
          <w:p w14:paraId="553FB04C">
            <w:pPr>
              <w:pStyle w:val="18"/>
              <w:spacing w:before="177" w:line="223" w:lineRule="auto"/>
              <w:ind w:left="781"/>
              <w:rPr>
                <w:color w:val="auto"/>
                <w:highlight w:val="none"/>
              </w:rPr>
            </w:pPr>
            <w:r>
              <w:rPr>
                <w:color w:val="auto"/>
                <w:spacing w:val="-3"/>
                <w:highlight w:val="none"/>
              </w:rPr>
              <w:t>名称</w:t>
            </w:r>
          </w:p>
        </w:tc>
        <w:tc>
          <w:tcPr>
            <w:tcW w:w="847" w:type="dxa"/>
            <w:tcBorders>
              <w:top w:val="single" w:color="000000" w:sz="10" w:space="0"/>
            </w:tcBorders>
            <w:vAlign w:val="top"/>
          </w:tcPr>
          <w:p w14:paraId="79BC949E">
            <w:pPr>
              <w:pStyle w:val="18"/>
              <w:spacing w:before="178" w:line="221" w:lineRule="auto"/>
              <w:ind w:left="219"/>
              <w:rPr>
                <w:color w:val="auto"/>
                <w:highlight w:val="none"/>
              </w:rPr>
            </w:pPr>
            <w:r>
              <w:rPr>
                <w:color w:val="auto"/>
                <w:spacing w:val="-2"/>
                <w:highlight w:val="none"/>
              </w:rPr>
              <w:t>单位</w:t>
            </w:r>
          </w:p>
        </w:tc>
        <w:tc>
          <w:tcPr>
            <w:tcW w:w="771" w:type="dxa"/>
            <w:tcBorders>
              <w:top w:val="single" w:color="000000" w:sz="10" w:space="0"/>
            </w:tcBorders>
            <w:vAlign w:val="top"/>
          </w:tcPr>
          <w:p w14:paraId="4B51680E">
            <w:pPr>
              <w:pStyle w:val="18"/>
              <w:spacing w:before="177" w:line="221" w:lineRule="auto"/>
              <w:ind w:left="183"/>
              <w:rPr>
                <w:color w:val="auto"/>
                <w:highlight w:val="none"/>
              </w:rPr>
            </w:pPr>
            <w:r>
              <w:rPr>
                <w:color w:val="auto"/>
                <w:spacing w:val="-2"/>
                <w:highlight w:val="none"/>
              </w:rPr>
              <w:t>数量</w:t>
            </w:r>
          </w:p>
        </w:tc>
        <w:tc>
          <w:tcPr>
            <w:tcW w:w="1350" w:type="dxa"/>
            <w:tcBorders>
              <w:top w:val="single" w:color="000000" w:sz="10" w:space="0"/>
            </w:tcBorders>
            <w:vAlign w:val="top"/>
          </w:tcPr>
          <w:p w14:paraId="5E634793">
            <w:pPr>
              <w:pStyle w:val="18"/>
              <w:spacing w:before="178" w:line="219" w:lineRule="auto"/>
              <w:ind w:left="156"/>
              <w:rPr>
                <w:color w:val="auto"/>
                <w:highlight w:val="none"/>
              </w:rPr>
            </w:pPr>
            <w:r>
              <w:rPr>
                <w:color w:val="auto"/>
                <w:spacing w:val="-3"/>
                <w:highlight w:val="none"/>
              </w:rPr>
              <w:t>单价（元）</w:t>
            </w:r>
          </w:p>
        </w:tc>
        <w:tc>
          <w:tcPr>
            <w:tcW w:w="1413" w:type="dxa"/>
            <w:tcBorders>
              <w:top w:val="single" w:color="000000" w:sz="10" w:space="0"/>
            </w:tcBorders>
            <w:vAlign w:val="top"/>
          </w:tcPr>
          <w:p w14:paraId="68114270">
            <w:pPr>
              <w:pStyle w:val="18"/>
              <w:spacing w:before="178" w:line="219" w:lineRule="auto"/>
              <w:ind w:left="193"/>
              <w:rPr>
                <w:color w:val="auto"/>
                <w:highlight w:val="none"/>
              </w:rPr>
            </w:pPr>
            <w:r>
              <w:rPr>
                <w:color w:val="auto"/>
                <w:spacing w:val="-3"/>
                <w:highlight w:val="none"/>
              </w:rPr>
              <w:t>合价（元）</w:t>
            </w:r>
          </w:p>
        </w:tc>
        <w:tc>
          <w:tcPr>
            <w:tcW w:w="1717" w:type="dxa"/>
            <w:tcBorders>
              <w:top w:val="single" w:color="000000" w:sz="10" w:space="0"/>
              <w:right w:val="single" w:color="000000" w:sz="10" w:space="0"/>
            </w:tcBorders>
            <w:vAlign w:val="top"/>
          </w:tcPr>
          <w:p w14:paraId="3883CDB0">
            <w:pPr>
              <w:pStyle w:val="18"/>
              <w:spacing w:before="178" w:line="222" w:lineRule="auto"/>
              <w:ind w:left="659"/>
              <w:rPr>
                <w:color w:val="auto"/>
                <w:highlight w:val="none"/>
              </w:rPr>
            </w:pPr>
            <w:r>
              <w:rPr>
                <w:color w:val="auto"/>
                <w:spacing w:val="-3"/>
                <w:highlight w:val="none"/>
              </w:rPr>
              <w:t>备注</w:t>
            </w:r>
          </w:p>
        </w:tc>
      </w:tr>
      <w:tr w14:paraId="02554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379C512B">
            <w:pPr>
              <w:rPr>
                <w:rFonts w:ascii="Arial"/>
                <w:color w:val="auto"/>
                <w:sz w:val="21"/>
                <w:highlight w:val="none"/>
              </w:rPr>
            </w:pPr>
          </w:p>
        </w:tc>
        <w:tc>
          <w:tcPr>
            <w:tcW w:w="1983" w:type="dxa"/>
            <w:vAlign w:val="top"/>
          </w:tcPr>
          <w:p w14:paraId="22758E39">
            <w:pPr>
              <w:rPr>
                <w:rFonts w:ascii="Arial"/>
                <w:color w:val="auto"/>
                <w:sz w:val="21"/>
                <w:highlight w:val="none"/>
              </w:rPr>
            </w:pPr>
          </w:p>
        </w:tc>
        <w:tc>
          <w:tcPr>
            <w:tcW w:w="847" w:type="dxa"/>
            <w:vAlign w:val="top"/>
          </w:tcPr>
          <w:p w14:paraId="13E402B8">
            <w:pPr>
              <w:rPr>
                <w:rFonts w:ascii="Arial"/>
                <w:color w:val="auto"/>
                <w:sz w:val="21"/>
                <w:highlight w:val="none"/>
              </w:rPr>
            </w:pPr>
          </w:p>
        </w:tc>
        <w:tc>
          <w:tcPr>
            <w:tcW w:w="771" w:type="dxa"/>
            <w:vAlign w:val="top"/>
          </w:tcPr>
          <w:p w14:paraId="4A3BAD80">
            <w:pPr>
              <w:rPr>
                <w:rFonts w:ascii="Arial"/>
                <w:color w:val="auto"/>
                <w:sz w:val="21"/>
                <w:highlight w:val="none"/>
              </w:rPr>
            </w:pPr>
          </w:p>
        </w:tc>
        <w:tc>
          <w:tcPr>
            <w:tcW w:w="1350" w:type="dxa"/>
            <w:vAlign w:val="top"/>
          </w:tcPr>
          <w:p w14:paraId="33C417F3">
            <w:pPr>
              <w:rPr>
                <w:rFonts w:ascii="Arial"/>
                <w:color w:val="auto"/>
                <w:sz w:val="21"/>
                <w:highlight w:val="none"/>
              </w:rPr>
            </w:pPr>
          </w:p>
        </w:tc>
        <w:tc>
          <w:tcPr>
            <w:tcW w:w="1413" w:type="dxa"/>
            <w:vAlign w:val="top"/>
          </w:tcPr>
          <w:p w14:paraId="0331C21D">
            <w:pPr>
              <w:rPr>
                <w:rFonts w:ascii="Arial"/>
                <w:color w:val="auto"/>
                <w:sz w:val="21"/>
                <w:highlight w:val="none"/>
              </w:rPr>
            </w:pPr>
          </w:p>
        </w:tc>
        <w:tc>
          <w:tcPr>
            <w:tcW w:w="1717" w:type="dxa"/>
            <w:tcBorders>
              <w:right w:val="single" w:color="000000" w:sz="10" w:space="0"/>
            </w:tcBorders>
            <w:vAlign w:val="top"/>
          </w:tcPr>
          <w:p w14:paraId="2376227A">
            <w:pPr>
              <w:rPr>
                <w:rFonts w:ascii="Arial"/>
                <w:color w:val="auto"/>
                <w:sz w:val="21"/>
                <w:highlight w:val="none"/>
              </w:rPr>
            </w:pPr>
          </w:p>
        </w:tc>
      </w:tr>
      <w:tr w14:paraId="7F2FE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3B1124D">
            <w:pPr>
              <w:rPr>
                <w:rFonts w:ascii="Arial"/>
                <w:color w:val="auto"/>
                <w:sz w:val="21"/>
                <w:highlight w:val="none"/>
              </w:rPr>
            </w:pPr>
          </w:p>
        </w:tc>
        <w:tc>
          <w:tcPr>
            <w:tcW w:w="1983" w:type="dxa"/>
            <w:vAlign w:val="top"/>
          </w:tcPr>
          <w:p w14:paraId="5FD57C06">
            <w:pPr>
              <w:rPr>
                <w:rFonts w:ascii="Arial"/>
                <w:color w:val="auto"/>
                <w:sz w:val="21"/>
                <w:highlight w:val="none"/>
              </w:rPr>
            </w:pPr>
          </w:p>
        </w:tc>
        <w:tc>
          <w:tcPr>
            <w:tcW w:w="847" w:type="dxa"/>
            <w:vAlign w:val="top"/>
          </w:tcPr>
          <w:p w14:paraId="2289637E">
            <w:pPr>
              <w:rPr>
                <w:rFonts w:ascii="Arial"/>
                <w:color w:val="auto"/>
                <w:sz w:val="21"/>
                <w:highlight w:val="none"/>
              </w:rPr>
            </w:pPr>
          </w:p>
        </w:tc>
        <w:tc>
          <w:tcPr>
            <w:tcW w:w="771" w:type="dxa"/>
            <w:vAlign w:val="top"/>
          </w:tcPr>
          <w:p w14:paraId="2266A933">
            <w:pPr>
              <w:rPr>
                <w:rFonts w:ascii="Arial"/>
                <w:color w:val="auto"/>
                <w:sz w:val="21"/>
                <w:highlight w:val="none"/>
              </w:rPr>
            </w:pPr>
          </w:p>
        </w:tc>
        <w:tc>
          <w:tcPr>
            <w:tcW w:w="1350" w:type="dxa"/>
            <w:vAlign w:val="top"/>
          </w:tcPr>
          <w:p w14:paraId="25F6807D">
            <w:pPr>
              <w:rPr>
                <w:rFonts w:ascii="Arial"/>
                <w:color w:val="auto"/>
                <w:sz w:val="21"/>
                <w:highlight w:val="none"/>
              </w:rPr>
            </w:pPr>
          </w:p>
        </w:tc>
        <w:tc>
          <w:tcPr>
            <w:tcW w:w="1413" w:type="dxa"/>
            <w:vAlign w:val="top"/>
          </w:tcPr>
          <w:p w14:paraId="79F0E70D">
            <w:pPr>
              <w:rPr>
                <w:rFonts w:ascii="Arial"/>
                <w:color w:val="auto"/>
                <w:sz w:val="21"/>
                <w:highlight w:val="none"/>
              </w:rPr>
            </w:pPr>
          </w:p>
        </w:tc>
        <w:tc>
          <w:tcPr>
            <w:tcW w:w="1717" w:type="dxa"/>
            <w:tcBorders>
              <w:right w:val="single" w:color="000000" w:sz="10" w:space="0"/>
            </w:tcBorders>
            <w:vAlign w:val="top"/>
          </w:tcPr>
          <w:p w14:paraId="31747D07">
            <w:pPr>
              <w:rPr>
                <w:rFonts w:ascii="Arial"/>
                <w:color w:val="auto"/>
                <w:sz w:val="21"/>
                <w:highlight w:val="none"/>
              </w:rPr>
            </w:pPr>
          </w:p>
        </w:tc>
      </w:tr>
      <w:tr w14:paraId="3EA4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3F4359D">
            <w:pPr>
              <w:rPr>
                <w:rFonts w:ascii="Arial"/>
                <w:color w:val="auto"/>
                <w:sz w:val="21"/>
                <w:highlight w:val="none"/>
              </w:rPr>
            </w:pPr>
          </w:p>
        </w:tc>
        <w:tc>
          <w:tcPr>
            <w:tcW w:w="1983" w:type="dxa"/>
            <w:vAlign w:val="top"/>
          </w:tcPr>
          <w:p w14:paraId="1C360DBE">
            <w:pPr>
              <w:rPr>
                <w:rFonts w:ascii="Arial"/>
                <w:color w:val="auto"/>
                <w:sz w:val="21"/>
                <w:highlight w:val="none"/>
              </w:rPr>
            </w:pPr>
          </w:p>
        </w:tc>
        <w:tc>
          <w:tcPr>
            <w:tcW w:w="847" w:type="dxa"/>
            <w:vAlign w:val="top"/>
          </w:tcPr>
          <w:p w14:paraId="688EFAB4">
            <w:pPr>
              <w:rPr>
                <w:rFonts w:ascii="Arial"/>
                <w:color w:val="auto"/>
                <w:sz w:val="21"/>
                <w:highlight w:val="none"/>
              </w:rPr>
            </w:pPr>
          </w:p>
        </w:tc>
        <w:tc>
          <w:tcPr>
            <w:tcW w:w="771" w:type="dxa"/>
            <w:vAlign w:val="top"/>
          </w:tcPr>
          <w:p w14:paraId="28CF16B0">
            <w:pPr>
              <w:rPr>
                <w:rFonts w:ascii="Arial"/>
                <w:color w:val="auto"/>
                <w:sz w:val="21"/>
                <w:highlight w:val="none"/>
              </w:rPr>
            </w:pPr>
          </w:p>
        </w:tc>
        <w:tc>
          <w:tcPr>
            <w:tcW w:w="1350" w:type="dxa"/>
            <w:vAlign w:val="top"/>
          </w:tcPr>
          <w:p w14:paraId="0DAC6F7F">
            <w:pPr>
              <w:rPr>
                <w:rFonts w:ascii="Arial"/>
                <w:color w:val="auto"/>
                <w:sz w:val="21"/>
                <w:highlight w:val="none"/>
              </w:rPr>
            </w:pPr>
          </w:p>
        </w:tc>
        <w:tc>
          <w:tcPr>
            <w:tcW w:w="1413" w:type="dxa"/>
            <w:vAlign w:val="top"/>
          </w:tcPr>
          <w:p w14:paraId="737A070C">
            <w:pPr>
              <w:rPr>
                <w:rFonts w:ascii="Arial"/>
                <w:color w:val="auto"/>
                <w:sz w:val="21"/>
                <w:highlight w:val="none"/>
              </w:rPr>
            </w:pPr>
          </w:p>
        </w:tc>
        <w:tc>
          <w:tcPr>
            <w:tcW w:w="1717" w:type="dxa"/>
            <w:tcBorders>
              <w:right w:val="single" w:color="000000" w:sz="10" w:space="0"/>
            </w:tcBorders>
            <w:vAlign w:val="top"/>
          </w:tcPr>
          <w:p w14:paraId="4ECEFE30">
            <w:pPr>
              <w:rPr>
                <w:rFonts w:ascii="Arial"/>
                <w:color w:val="auto"/>
                <w:sz w:val="21"/>
                <w:highlight w:val="none"/>
              </w:rPr>
            </w:pPr>
          </w:p>
        </w:tc>
      </w:tr>
      <w:tr w14:paraId="565B0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EDF549C">
            <w:pPr>
              <w:rPr>
                <w:rFonts w:ascii="Arial"/>
                <w:color w:val="auto"/>
                <w:sz w:val="21"/>
                <w:highlight w:val="none"/>
              </w:rPr>
            </w:pPr>
          </w:p>
        </w:tc>
        <w:tc>
          <w:tcPr>
            <w:tcW w:w="1983" w:type="dxa"/>
            <w:vAlign w:val="top"/>
          </w:tcPr>
          <w:p w14:paraId="57B5CDB7">
            <w:pPr>
              <w:rPr>
                <w:rFonts w:ascii="Arial"/>
                <w:color w:val="auto"/>
                <w:sz w:val="21"/>
                <w:highlight w:val="none"/>
              </w:rPr>
            </w:pPr>
          </w:p>
        </w:tc>
        <w:tc>
          <w:tcPr>
            <w:tcW w:w="847" w:type="dxa"/>
            <w:vAlign w:val="top"/>
          </w:tcPr>
          <w:p w14:paraId="52BE6774">
            <w:pPr>
              <w:rPr>
                <w:rFonts w:ascii="Arial"/>
                <w:color w:val="auto"/>
                <w:sz w:val="21"/>
                <w:highlight w:val="none"/>
              </w:rPr>
            </w:pPr>
          </w:p>
        </w:tc>
        <w:tc>
          <w:tcPr>
            <w:tcW w:w="771" w:type="dxa"/>
            <w:vAlign w:val="top"/>
          </w:tcPr>
          <w:p w14:paraId="512D594A">
            <w:pPr>
              <w:rPr>
                <w:rFonts w:ascii="Arial"/>
                <w:color w:val="auto"/>
                <w:sz w:val="21"/>
                <w:highlight w:val="none"/>
              </w:rPr>
            </w:pPr>
          </w:p>
        </w:tc>
        <w:tc>
          <w:tcPr>
            <w:tcW w:w="1350" w:type="dxa"/>
            <w:vAlign w:val="top"/>
          </w:tcPr>
          <w:p w14:paraId="10CAD159">
            <w:pPr>
              <w:rPr>
                <w:rFonts w:ascii="Arial"/>
                <w:color w:val="auto"/>
                <w:sz w:val="21"/>
                <w:highlight w:val="none"/>
              </w:rPr>
            </w:pPr>
          </w:p>
        </w:tc>
        <w:tc>
          <w:tcPr>
            <w:tcW w:w="1413" w:type="dxa"/>
            <w:vAlign w:val="top"/>
          </w:tcPr>
          <w:p w14:paraId="2D908422">
            <w:pPr>
              <w:rPr>
                <w:rFonts w:ascii="Arial"/>
                <w:color w:val="auto"/>
                <w:sz w:val="21"/>
                <w:highlight w:val="none"/>
              </w:rPr>
            </w:pPr>
          </w:p>
        </w:tc>
        <w:tc>
          <w:tcPr>
            <w:tcW w:w="1717" w:type="dxa"/>
            <w:tcBorders>
              <w:right w:val="single" w:color="000000" w:sz="10" w:space="0"/>
            </w:tcBorders>
            <w:vAlign w:val="top"/>
          </w:tcPr>
          <w:p w14:paraId="0C725656">
            <w:pPr>
              <w:rPr>
                <w:rFonts w:ascii="Arial"/>
                <w:color w:val="auto"/>
                <w:sz w:val="21"/>
                <w:highlight w:val="none"/>
              </w:rPr>
            </w:pPr>
          </w:p>
        </w:tc>
      </w:tr>
      <w:tr w14:paraId="097C2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48F7D97">
            <w:pPr>
              <w:rPr>
                <w:rFonts w:ascii="Arial"/>
                <w:color w:val="auto"/>
                <w:sz w:val="21"/>
                <w:highlight w:val="none"/>
              </w:rPr>
            </w:pPr>
          </w:p>
        </w:tc>
        <w:tc>
          <w:tcPr>
            <w:tcW w:w="1983" w:type="dxa"/>
            <w:vAlign w:val="top"/>
          </w:tcPr>
          <w:p w14:paraId="00CE689D">
            <w:pPr>
              <w:rPr>
                <w:rFonts w:ascii="Arial"/>
                <w:color w:val="auto"/>
                <w:sz w:val="21"/>
                <w:highlight w:val="none"/>
              </w:rPr>
            </w:pPr>
          </w:p>
        </w:tc>
        <w:tc>
          <w:tcPr>
            <w:tcW w:w="847" w:type="dxa"/>
            <w:vAlign w:val="top"/>
          </w:tcPr>
          <w:p w14:paraId="7BE15F2C">
            <w:pPr>
              <w:rPr>
                <w:rFonts w:ascii="Arial"/>
                <w:color w:val="auto"/>
                <w:sz w:val="21"/>
                <w:highlight w:val="none"/>
              </w:rPr>
            </w:pPr>
          </w:p>
        </w:tc>
        <w:tc>
          <w:tcPr>
            <w:tcW w:w="771" w:type="dxa"/>
            <w:vAlign w:val="top"/>
          </w:tcPr>
          <w:p w14:paraId="69200239">
            <w:pPr>
              <w:rPr>
                <w:rFonts w:ascii="Arial"/>
                <w:color w:val="auto"/>
                <w:sz w:val="21"/>
                <w:highlight w:val="none"/>
              </w:rPr>
            </w:pPr>
          </w:p>
        </w:tc>
        <w:tc>
          <w:tcPr>
            <w:tcW w:w="1350" w:type="dxa"/>
            <w:vAlign w:val="top"/>
          </w:tcPr>
          <w:p w14:paraId="6A2B3A4A">
            <w:pPr>
              <w:rPr>
                <w:rFonts w:ascii="Arial"/>
                <w:color w:val="auto"/>
                <w:sz w:val="21"/>
                <w:highlight w:val="none"/>
              </w:rPr>
            </w:pPr>
          </w:p>
        </w:tc>
        <w:tc>
          <w:tcPr>
            <w:tcW w:w="1413" w:type="dxa"/>
            <w:vAlign w:val="top"/>
          </w:tcPr>
          <w:p w14:paraId="2577C31A">
            <w:pPr>
              <w:rPr>
                <w:rFonts w:ascii="Arial"/>
                <w:color w:val="auto"/>
                <w:sz w:val="21"/>
                <w:highlight w:val="none"/>
              </w:rPr>
            </w:pPr>
          </w:p>
        </w:tc>
        <w:tc>
          <w:tcPr>
            <w:tcW w:w="1717" w:type="dxa"/>
            <w:tcBorders>
              <w:right w:val="single" w:color="000000" w:sz="10" w:space="0"/>
            </w:tcBorders>
            <w:vAlign w:val="top"/>
          </w:tcPr>
          <w:p w14:paraId="34656A4F">
            <w:pPr>
              <w:rPr>
                <w:rFonts w:ascii="Arial"/>
                <w:color w:val="auto"/>
                <w:sz w:val="21"/>
                <w:highlight w:val="none"/>
              </w:rPr>
            </w:pPr>
          </w:p>
        </w:tc>
      </w:tr>
      <w:tr w14:paraId="35BAA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FA2F981">
            <w:pPr>
              <w:rPr>
                <w:rFonts w:ascii="Arial"/>
                <w:color w:val="auto"/>
                <w:sz w:val="21"/>
                <w:highlight w:val="none"/>
              </w:rPr>
            </w:pPr>
          </w:p>
        </w:tc>
        <w:tc>
          <w:tcPr>
            <w:tcW w:w="1983" w:type="dxa"/>
            <w:vAlign w:val="top"/>
          </w:tcPr>
          <w:p w14:paraId="3B9D66C5">
            <w:pPr>
              <w:rPr>
                <w:rFonts w:ascii="Arial"/>
                <w:color w:val="auto"/>
                <w:sz w:val="21"/>
                <w:highlight w:val="none"/>
              </w:rPr>
            </w:pPr>
          </w:p>
        </w:tc>
        <w:tc>
          <w:tcPr>
            <w:tcW w:w="847" w:type="dxa"/>
            <w:vAlign w:val="top"/>
          </w:tcPr>
          <w:p w14:paraId="7CA9BF54">
            <w:pPr>
              <w:rPr>
                <w:rFonts w:ascii="Arial"/>
                <w:color w:val="auto"/>
                <w:sz w:val="21"/>
                <w:highlight w:val="none"/>
              </w:rPr>
            </w:pPr>
          </w:p>
        </w:tc>
        <w:tc>
          <w:tcPr>
            <w:tcW w:w="771" w:type="dxa"/>
            <w:vAlign w:val="top"/>
          </w:tcPr>
          <w:p w14:paraId="1AD3490A">
            <w:pPr>
              <w:rPr>
                <w:rFonts w:ascii="Arial"/>
                <w:color w:val="auto"/>
                <w:sz w:val="21"/>
                <w:highlight w:val="none"/>
              </w:rPr>
            </w:pPr>
          </w:p>
        </w:tc>
        <w:tc>
          <w:tcPr>
            <w:tcW w:w="1350" w:type="dxa"/>
            <w:vAlign w:val="top"/>
          </w:tcPr>
          <w:p w14:paraId="6BD02DBC">
            <w:pPr>
              <w:rPr>
                <w:rFonts w:ascii="Arial"/>
                <w:color w:val="auto"/>
                <w:sz w:val="21"/>
                <w:highlight w:val="none"/>
              </w:rPr>
            </w:pPr>
          </w:p>
        </w:tc>
        <w:tc>
          <w:tcPr>
            <w:tcW w:w="1413" w:type="dxa"/>
            <w:vAlign w:val="top"/>
          </w:tcPr>
          <w:p w14:paraId="3DAC4875">
            <w:pPr>
              <w:rPr>
                <w:rFonts w:ascii="Arial"/>
                <w:color w:val="auto"/>
                <w:sz w:val="21"/>
                <w:highlight w:val="none"/>
              </w:rPr>
            </w:pPr>
          </w:p>
        </w:tc>
        <w:tc>
          <w:tcPr>
            <w:tcW w:w="1717" w:type="dxa"/>
            <w:tcBorders>
              <w:right w:val="single" w:color="000000" w:sz="10" w:space="0"/>
            </w:tcBorders>
            <w:vAlign w:val="top"/>
          </w:tcPr>
          <w:p w14:paraId="1B53269F">
            <w:pPr>
              <w:rPr>
                <w:rFonts w:ascii="Arial"/>
                <w:color w:val="auto"/>
                <w:sz w:val="21"/>
                <w:highlight w:val="none"/>
              </w:rPr>
            </w:pPr>
          </w:p>
        </w:tc>
      </w:tr>
      <w:tr w14:paraId="67430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932358B">
            <w:pPr>
              <w:rPr>
                <w:rFonts w:ascii="Arial"/>
                <w:color w:val="auto"/>
                <w:sz w:val="21"/>
                <w:highlight w:val="none"/>
              </w:rPr>
            </w:pPr>
          </w:p>
        </w:tc>
        <w:tc>
          <w:tcPr>
            <w:tcW w:w="1983" w:type="dxa"/>
            <w:vAlign w:val="top"/>
          </w:tcPr>
          <w:p w14:paraId="5945A62C">
            <w:pPr>
              <w:rPr>
                <w:rFonts w:ascii="Arial"/>
                <w:color w:val="auto"/>
                <w:sz w:val="21"/>
                <w:highlight w:val="none"/>
              </w:rPr>
            </w:pPr>
          </w:p>
        </w:tc>
        <w:tc>
          <w:tcPr>
            <w:tcW w:w="847" w:type="dxa"/>
            <w:vAlign w:val="top"/>
          </w:tcPr>
          <w:p w14:paraId="7701426C">
            <w:pPr>
              <w:rPr>
                <w:rFonts w:ascii="Arial"/>
                <w:color w:val="auto"/>
                <w:sz w:val="21"/>
                <w:highlight w:val="none"/>
              </w:rPr>
            </w:pPr>
          </w:p>
        </w:tc>
        <w:tc>
          <w:tcPr>
            <w:tcW w:w="771" w:type="dxa"/>
            <w:vAlign w:val="top"/>
          </w:tcPr>
          <w:p w14:paraId="216535A5">
            <w:pPr>
              <w:rPr>
                <w:rFonts w:ascii="Arial"/>
                <w:color w:val="auto"/>
                <w:sz w:val="21"/>
                <w:highlight w:val="none"/>
              </w:rPr>
            </w:pPr>
          </w:p>
        </w:tc>
        <w:tc>
          <w:tcPr>
            <w:tcW w:w="1350" w:type="dxa"/>
            <w:vAlign w:val="top"/>
          </w:tcPr>
          <w:p w14:paraId="7D606D26">
            <w:pPr>
              <w:rPr>
                <w:rFonts w:ascii="Arial"/>
                <w:color w:val="auto"/>
                <w:sz w:val="21"/>
                <w:highlight w:val="none"/>
              </w:rPr>
            </w:pPr>
          </w:p>
        </w:tc>
        <w:tc>
          <w:tcPr>
            <w:tcW w:w="1413" w:type="dxa"/>
            <w:vAlign w:val="top"/>
          </w:tcPr>
          <w:p w14:paraId="5DE0D9D3">
            <w:pPr>
              <w:rPr>
                <w:rFonts w:ascii="Arial"/>
                <w:color w:val="auto"/>
                <w:sz w:val="21"/>
                <w:highlight w:val="none"/>
              </w:rPr>
            </w:pPr>
          </w:p>
        </w:tc>
        <w:tc>
          <w:tcPr>
            <w:tcW w:w="1717" w:type="dxa"/>
            <w:tcBorders>
              <w:right w:val="single" w:color="000000" w:sz="10" w:space="0"/>
            </w:tcBorders>
            <w:vAlign w:val="top"/>
          </w:tcPr>
          <w:p w14:paraId="073A073E">
            <w:pPr>
              <w:rPr>
                <w:rFonts w:ascii="Arial"/>
                <w:color w:val="auto"/>
                <w:sz w:val="21"/>
                <w:highlight w:val="none"/>
              </w:rPr>
            </w:pPr>
          </w:p>
        </w:tc>
      </w:tr>
      <w:tr w14:paraId="6395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628D6EE">
            <w:pPr>
              <w:rPr>
                <w:rFonts w:ascii="Arial"/>
                <w:color w:val="auto"/>
                <w:sz w:val="21"/>
                <w:highlight w:val="none"/>
              </w:rPr>
            </w:pPr>
          </w:p>
        </w:tc>
        <w:tc>
          <w:tcPr>
            <w:tcW w:w="1983" w:type="dxa"/>
            <w:vAlign w:val="top"/>
          </w:tcPr>
          <w:p w14:paraId="3E7EB3DF">
            <w:pPr>
              <w:rPr>
                <w:rFonts w:ascii="Arial"/>
                <w:color w:val="auto"/>
                <w:sz w:val="21"/>
                <w:highlight w:val="none"/>
              </w:rPr>
            </w:pPr>
          </w:p>
        </w:tc>
        <w:tc>
          <w:tcPr>
            <w:tcW w:w="847" w:type="dxa"/>
            <w:vAlign w:val="top"/>
          </w:tcPr>
          <w:p w14:paraId="3DE65A6F">
            <w:pPr>
              <w:rPr>
                <w:rFonts w:ascii="Arial"/>
                <w:color w:val="auto"/>
                <w:sz w:val="21"/>
                <w:highlight w:val="none"/>
              </w:rPr>
            </w:pPr>
          </w:p>
        </w:tc>
        <w:tc>
          <w:tcPr>
            <w:tcW w:w="771" w:type="dxa"/>
            <w:vAlign w:val="top"/>
          </w:tcPr>
          <w:p w14:paraId="2932F04E">
            <w:pPr>
              <w:rPr>
                <w:rFonts w:ascii="Arial"/>
                <w:color w:val="auto"/>
                <w:sz w:val="21"/>
                <w:highlight w:val="none"/>
              </w:rPr>
            </w:pPr>
          </w:p>
        </w:tc>
        <w:tc>
          <w:tcPr>
            <w:tcW w:w="1350" w:type="dxa"/>
            <w:vAlign w:val="top"/>
          </w:tcPr>
          <w:p w14:paraId="563A1FCE">
            <w:pPr>
              <w:rPr>
                <w:rFonts w:ascii="Arial"/>
                <w:color w:val="auto"/>
                <w:sz w:val="21"/>
                <w:highlight w:val="none"/>
              </w:rPr>
            </w:pPr>
          </w:p>
        </w:tc>
        <w:tc>
          <w:tcPr>
            <w:tcW w:w="1413" w:type="dxa"/>
            <w:vAlign w:val="top"/>
          </w:tcPr>
          <w:p w14:paraId="2CDDF926">
            <w:pPr>
              <w:rPr>
                <w:rFonts w:ascii="Arial"/>
                <w:color w:val="auto"/>
                <w:sz w:val="21"/>
                <w:highlight w:val="none"/>
              </w:rPr>
            </w:pPr>
          </w:p>
        </w:tc>
        <w:tc>
          <w:tcPr>
            <w:tcW w:w="1717" w:type="dxa"/>
            <w:tcBorders>
              <w:right w:val="single" w:color="000000" w:sz="10" w:space="0"/>
            </w:tcBorders>
            <w:vAlign w:val="top"/>
          </w:tcPr>
          <w:p w14:paraId="7D60C1B8">
            <w:pPr>
              <w:rPr>
                <w:rFonts w:ascii="Arial"/>
                <w:color w:val="auto"/>
                <w:sz w:val="21"/>
                <w:highlight w:val="none"/>
              </w:rPr>
            </w:pPr>
          </w:p>
        </w:tc>
      </w:tr>
      <w:tr w14:paraId="06DDC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2B18358">
            <w:pPr>
              <w:rPr>
                <w:rFonts w:ascii="Arial"/>
                <w:color w:val="auto"/>
                <w:sz w:val="21"/>
                <w:highlight w:val="none"/>
              </w:rPr>
            </w:pPr>
          </w:p>
        </w:tc>
        <w:tc>
          <w:tcPr>
            <w:tcW w:w="1983" w:type="dxa"/>
            <w:vAlign w:val="top"/>
          </w:tcPr>
          <w:p w14:paraId="7B6B93FA">
            <w:pPr>
              <w:rPr>
                <w:rFonts w:ascii="Arial"/>
                <w:color w:val="auto"/>
                <w:sz w:val="21"/>
                <w:highlight w:val="none"/>
              </w:rPr>
            </w:pPr>
          </w:p>
        </w:tc>
        <w:tc>
          <w:tcPr>
            <w:tcW w:w="847" w:type="dxa"/>
            <w:vAlign w:val="top"/>
          </w:tcPr>
          <w:p w14:paraId="7FE03041">
            <w:pPr>
              <w:rPr>
                <w:rFonts w:ascii="Arial"/>
                <w:color w:val="auto"/>
                <w:sz w:val="21"/>
                <w:highlight w:val="none"/>
              </w:rPr>
            </w:pPr>
          </w:p>
        </w:tc>
        <w:tc>
          <w:tcPr>
            <w:tcW w:w="771" w:type="dxa"/>
            <w:vAlign w:val="top"/>
          </w:tcPr>
          <w:p w14:paraId="78D87333">
            <w:pPr>
              <w:rPr>
                <w:rFonts w:ascii="Arial"/>
                <w:color w:val="auto"/>
                <w:sz w:val="21"/>
                <w:highlight w:val="none"/>
              </w:rPr>
            </w:pPr>
          </w:p>
        </w:tc>
        <w:tc>
          <w:tcPr>
            <w:tcW w:w="1350" w:type="dxa"/>
            <w:vAlign w:val="top"/>
          </w:tcPr>
          <w:p w14:paraId="7A5EA668">
            <w:pPr>
              <w:rPr>
                <w:rFonts w:ascii="Arial"/>
                <w:color w:val="auto"/>
                <w:sz w:val="21"/>
                <w:highlight w:val="none"/>
              </w:rPr>
            </w:pPr>
          </w:p>
        </w:tc>
        <w:tc>
          <w:tcPr>
            <w:tcW w:w="1413" w:type="dxa"/>
            <w:vAlign w:val="top"/>
          </w:tcPr>
          <w:p w14:paraId="160CA6F9">
            <w:pPr>
              <w:rPr>
                <w:rFonts w:ascii="Arial"/>
                <w:color w:val="auto"/>
                <w:sz w:val="21"/>
                <w:highlight w:val="none"/>
              </w:rPr>
            </w:pPr>
          </w:p>
        </w:tc>
        <w:tc>
          <w:tcPr>
            <w:tcW w:w="1717" w:type="dxa"/>
            <w:tcBorders>
              <w:right w:val="single" w:color="000000" w:sz="10" w:space="0"/>
            </w:tcBorders>
            <w:vAlign w:val="top"/>
          </w:tcPr>
          <w:p w14:paraId="5CD93570">
            <w:pPr>
              <w:rPr>
                <w:rFonts w:ascii="Arial"/>
                <w:color w:val="auto"/>
                <w:sz w:val="21"/>
                <w:highlight w:val="none"/>
              </w:rPr>
            </w:pPr>
          </w:p>
        </w:tc>
      </w:tr>
      <w:tr w14:paraId="0DCEF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CF42EED">
            <w:pPr>
              <w:rPr>
                <w:rFonts w:ascii="Arial"/>
                <w:color w:val="auto"/>
                <w:sz w:val="21"/>
                <w:highlight w:val="none"/>
              </w:rPr>
            </w:pPr>
          </w:p>
        </w:tc>
        <w:tc>
          <w:tcPr>
            <w:tcW w:w="1983" w:type="dxa"/>
            <w:vAlign w:val="top"/>
          </w:tcPr>
          <w:p w14:paraId="7BE50964">
            <w:pPr>
              <w:rPr>
                <w:rFonts w:ascii="Arial"/>
                <w:color w:val="auto"/>
                <w:sz w:val="21"/>
                <w:highlight w:val="none"/>
              </w:rPr>
            </w:pPr>
          </w:p>
        </w:tc>
        <w:tc>
          <w:tcPr>
            <w:tcW w:w="847" w:type="dxa"/>
            <w:vAlign w:val="top"/>
          </w:tcPr>
          <w:p w14:paraId="18E904C8">
            <w:pPr>
              <w:rPr>
                <w:rFonts w:ascii="Arial"/>
                <w:color w:val="auto"/>
                <w:sz w:val="21"/>
                <w:highlight w:val="none"/>
              </w:rPr>
            </w:pPr>
          </w:p>
        </w:tc>
        <w:tc>
          <w:tcPr>
            <w:tcW w:w="771" w:type="dxa"/>
            <w:vAlign w:val="top"/>
          </w:tcPr>
          <w:p w14:paraId="2B1DF343">
            <w:pPr>
              <w:rPr>
                <w:rFonts w:ascii="Arial"/>
                <w:color w:val="auto"/>
                <w:sz w:val="21"/>
                <w:highlight w:val="none"/>
              </w:rPr>
            </w:pPr>
          </w:p>
        </w:tc>
        <w:tc>
          <w:tcPr>
            <w:tcW w:w="1350" w:type="dxa"/>
            <w:vAlign w:val="top"/>
          </w:tcPr>
          <w:p w14:paraId="50862946">
            <w:pPr>
              <w:rPr>
                <w:rFonts w:ascii="Arial"/>
                <w:color w:val="auto"/>
                <w:sz w:val="21"/>
                <w:highlight w:val="none"/>
              </w:rPr>
            </w:pPr>
          </w:p>
        </w:tc>
        <w:tc>
          <w:tcPr>
            <w:tcW w:w="1413" w:type="dxa"/>
            <w:vAlign w:val="top"/>
          </w:tcPr>
          <w:p w14:paraId="52CF9D17">
            <w:pPr>
              <w:rPr>
                <w:rFonts w:ascii="Arial"/>
                <w:color w:val="auto"/>
                <w:sz w:val="21"/>
                <w:highlight w:val="none"/>
              </w:rPr>
            </w:pPr>
          </w:p>
        </w:tc>
        <w:tc>
          <w:tcPr>
            <w:tcW w:w="1717" w:type="dxa"/>
            <w:tcBorders>
              <w:right w:val="single" w:color="000000" w:sz="10" w:space="0"/>
            </w:tcBorders>
            <w:vAlign w:val="top"/>
          </w:tcPr>
          <w:p w14:paraId="019E9CA8">
            <w:pPr>
              <w:rPr>
                <w:rFonts w:ascii="Arial"/>
                <w:color w:val="auto"/>
                <w:sz w:val="21"/>
                <w:highlight w:val="none"/>
              </w:rPr>
            </w:pPr>
          </w:p>
        </w:tc>
      </w:tr>
      <w:tr w14:paraId="22152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5EB5BBE">
            <w:pPr>
              <w:rPr>
                <w:rFonts w:ascii="Arial"/>
                <w:color w:val="auto"/>
                <w:sz w:val="21"/>
                <w:highlight w:val="none"/>
              </w:rPr>
            </w:pPr>
          </w:p>
        </w:tc>
        <w:tc>
          <w:tcPr>
            <w:tcW w:w="1983" w:type="dxa"/>
            <w:vAlign w:val="top"/>
          </w:tcPr>
          <w:p w14:paraId="6AD8B0E1">
            <w:pPr>
              <w:rPr>
                <w:rFonts w:ascii="Arial"/>
                <w:color w:val="auto"/>
                <w:sz w:val="21"/>
                <w:highlight w:val="none"/>
              </w:rPr>
            </w:pPr>
          </w:p>
        </w:tc>
        <w:tc>
          <w:tcPr>
            <w:tcW w:w="847" w:type="dxa"/>
            <w:vAlign w:val="top"/>
          </w:tcPr>
          <w:p w14:paraId="7F60148B">
            <w:pPr>
              <w:rPr>
                <w:rFonts w:ascii="Arial"/>
                <w:color w:val="auto"/>
                <w:sz w:val="21"/>
                <w:highlight w:val="none"/>
              </w:rPr>
            </w:pPr>
          </w:p>
        </w:tc>
        <w:tc>
          <w:tcPr>
            <w:tcW w:w="771" w:type="dxa"/>
            <w:vAlign w:val="top"/>
          </w:tcPr>
          <w:p w14:paraId="0F048050">
            <w:pPr>
              <w:rPr>
                <w:rFonts w:ascii="Arial"/>
                <w:color w:val="auto"/>
                <w:sz w:val="21"/>
                <w:highlight w:val="none"/>
              </w:rPr>
            </w:pPr>
          </w:p>
        </w:tc>
        <w:tc>
          <w:tcPr>
            <w:tcW w:w="1350" w:type="dxa"/>
            <w:vAlign w:val="top"/>
          </w:tcPr>
          <w:p w14:paraId="2F33D042">
            <w:pPr>
              <w:rPr>
                <w:rFonts w:ascii="Arial"/>
                <w:color w:val="auto"/>
                <w:sz w:val="21"/>
                <w:highlight w:val="none"/>
              </w:rPr>
            </w:pPr>
          </w:p>
        </w:tc>
        <w:tc>
          <w:tcPr>
            <w:tcW w:w="1413" w:type="dxa"/>
            <w:vAlign w:val="top"/>
          </w:tcPr>
          <w:p w14:paraId="42685B00">
            <w:pPr>
              <w:rPr>
                <w:rFonts w:ascii="Arial"/>
                <w:color w:val="auto"/>
                <w:sz w:val="21"/>
                <w:highlight w:val="none"/>
              </w:rPr>
            </w:pPr>
          </w:p>
        </w:tc>
        <w:tc>
          <w:tcPr>
            <w:tcW w:w="1717" w:type="dxa"/>
            <w:tcBorders>
              <w:right w:val="single" w:color="000000" w:sz="10" w:space="0"/>
            </w:tcBorders>
            <w:vAlign w:val="top"/>
          </w:tcPr>
          <w:p w14:paraId="0275792C">
            <w:pPr>
              <w:rPr>
                <w:rFonts w:ascii="Arial"/>
                <w:color w:val="auto"/>
                <w:sz w:val="21"/>
                <w:highlight w:val="none"/>
              </w:rPr>
            </w:pPr>
          </w:p>
        </w:tc>
      </w:tr>
      <w:tr w14:paraId="125FB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CAB5A46">
            <w:pPr>
              <w:rPr>
                <w:rFonts w:ascii="Arial"/>
                <w:color w:val="auto"/>
                <w:sz w:val="21"/>
                <w:highlight w:val="none"/>
              </w:rPr>
            </w:pPr>
          </w:p>
        </w:tc>
        <w:tc>
          <w:tcPr>
            <w:tcW w:w="1983" w:type="dxa"/>
            <w:vAlign w:val="top"/>
          </w:tcPr>
          <w:p w14:paraId="4A64D355">
            <w:pPr>
              <w:rPr>
                <w:rFonts w:ascii="Arial"/>
                <w:color w:val="auto"/>
                <w:sz w:val="21"/>
                <w:highlight w:val="none"/>
              </w:rPr>
            </w:pPr>
          </w:p>
        </w:tc>
        <w:tc>
          <w:tcPr>
            <w:tcW w:w="847" w:type="dxa"/>
            <w:vAlign w:val="top"/>
          </w:tcPr>
          <w:p w14:paraId="7B46632A">
            <w:pPr>
              <w:rPr>
                <w:rFonts w:ascii="Arial"/>
                <w:color w:val="auto"/>
                <w:sz w:val="21"/>
                <w:highlight w:val="none"/>
              </w:rPr>
            </w:pPr>
          </w:p>
        </w:tc>
        <w:tc>
          <w:tcPr>
            <w:tcW w:w="771" w:type="dxa"/>
            <w:vAlign w:val="top"/>
          </w:tcPr>
          <w:p w14:paraId="50519B49">
            <w:pPr>
              <w:rPr>
                <w:rFonts w:ascii="Arial"/>
                <w:color w:val="auto"/>
                <w:sz w:val="21"/>
                <w:highlight w:val="none"/>
              </w:rPr>
            </w:pPr>
          </w:p>
        </w:tc>
        <w:tc>
          <w:tcPr>
            <w:tcW w:w="1350" w:type="dxa"/>
            <w:vAlign w:val="top"/>
          </w:tcPr>
          <w:p w14:paraId="6D91B6FC">
            <w:pPr>
              <w:rPr>
                <w:rFonts w:ascii="Arial"/>
                <w:color w:val="auto"/>
                <w:sz w:val="21"/>
                <w:highlight w:val="none"/>
              </w:rPr>
            </w:pPr>
          </w:p>
        </w:tc>
        <w:tc>
          <w:tcPr>
            <w:tcW w:w="1413" w:type="dxa"/>
            <w:vAlign w:val="top"/>
          </w:tcPr>
          <w:p w14:paraId="1FDD8D5F">
            <w:pPr>
              <w:rPr>
                <w:rFonts w:ascii="Arial"/>
                <w:color w:val="auto"/>
                <w:sz w:val="21"/>
                <w:highlight w:val="none"/>
              </w:rPr>
            </w:pPr>
          </w:p>
        </w:tc>
        <w:tc>
          <w:tcPr>
            <w:tcW w:w="1717" w:type="dxa"/>
            <w:tcBorders>
              <w:right w:val="single" w:color="000000" w:sz="10" w:space="0"/>
            </w:tcBorders>
            <w:vAlign w:val="top"/>
          </w:tcPr>
          <w:p w14:paraId="40DB7316">
            <w:pPr>
              <w:rPr>
                <w:rFonts w:ascii="Arial"/>
                <w:color w:val="auto"/>
                <w:sz w:val="21"/>
                <w:highlight w:val="none"/>
              </w:rPr>
            </w:pPr>
          </w:p>
        </w:tc>
      </w:tr>
      <w:tr w14:paraId="1B302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D8EB452">
            <w:pPr>
              <w:rPr>
                <w:rFonts w:ascii="Arial"/>
                <w:color w:val="auto"/>
                <w:sz w:val="21"/>
                <w:highlight w:val="none"/>
              </w:rPr>
            </w:pPr>
          </w:p>
        </w:tc>
        <w:tc>
          <w:tcPr>
            <w:tcW w:w="1983" w:type="dxa"/>
            <w:vAlign w:val="top"/>
          </w:tcPr>
          <w:p w14:paraId="11BA98F1">
            <w:pPr>
              <w:rPr>
                <w:rFonts w:ascii="Arial"/>
                <w:color w:val="auto"/>
                <w:sz w:val="21"/>
                <w:highlight w:val="none"/>
              </w:rPr>
            </w:pPr>
          </w:p>
        </w:tc>
        <w:tc>
          <w:tcPr>
            <w:tcW w:w="847" w:type="dxa"/>
            <w:vAlign w:val="top"/>
          </w:tcPr>
          <w:p w14:paraId="090D0270">
            <w:pPr>
              <w:rPr>
                <w:rFonts w:ascii="Arial"/>
                <w:color w:val="auto"/>
                <w:sz w:val="21"/>
                <w:highlight w:val="none"/>
              </w:rPr>
            </w:pPr>
          </w:p>
        </w:tc>
        <w:tc>
          <w:tcPr>
            <w:tcW w:w="771" w:type="dxa"/>
            <w:vAlign w:val="top"/>
          </w:tcPr>
          <w:p w14:paraId="268E8EA9">
            <w:pPr>
              <w:rPr>
                <w:rFonts w:ascii="Arial"/>
                <w:color w:val="auto"/>
                <w:sz w:val="21"/>
                <w:highlight w:val="none"/>
              </w:rPr>
            </w:pPr>
          </w:p>
        </w:tc>
        <w:tc>
          <w:tcPr>
            <w:tcW w:w="1350" w:type="dxa"/>
            <w:vAlign w:val="top"/>
          </w:tcPr>
          <w:p w14:paraId="16F280F8">
            <w:pPr>
              <w:rPr>
                <w:rFonts w:ascii="Arial"/>
                <w:color w:val="auto"/>
                <w:sz w:val="21"/>
                <w:highlight w:val="none"/>
              </w:rPr>
            </w:pPr>
          </w:p>
        </w:tc>
        <w:tc>
          <w:tcPr>
            <w:tcW w:w="1413" w:type="dxa"/>
            <w:vAlign w:val="top"/>
          </w:tcPr>
          <w:p w14:paraId="75D17046">
            <w:pPr>
              <w:rPr>
                <w:rFonts w:ascii="Arial"/>
                <w:color w:val="auto"/>
                <w:sz w:val="21"/>
                <w:highlight w:val="none"/>
              </w:rPr>
            </w:pPr>
          </w:p>
        </w:tc>
        <w:tc>
          <w:tcPr>
            <w:tcW w:w="1717" w:type="dxa"/>
            <w:tcBorders>
              <w:right w:val="single" w:color="000000" w:sz="10" w:space="0"/>
            </w:tcBorders>
            <w:vAlign w:val="top"/>
          </w:tcPr>
          <w:p w14:paraId="02633195">
            <w:pPr>
              <w:rPr>
                <w:rFonts w:ascii="Arial"/>
                <w:color w:val="auto"/>
                <w:sz w:val="21"/>
                <w:highlight w:val="none"/>
              </w:rPr>
            </w:pPr>
          </w:p>
        </w:tc>
      </w:tr>
      <w:tr w14:paraId="1EC23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6E3AC23">
            <w:pPr>
              <w:rPr>
                <w:rFonts w:ascii="Arial"/>
                <w:color w:val="auto"/>
                <w:sz w:val="21"/>
                <w:highlight w:val="none"/>
              </w:rPr>
            </w:pPr>
          </w:p>
        </w:tc>
        <w:tc>
          <w:tcPr>
            <w:tcW w:w="1983" w:type="dxa"/>
            <w:vAlign w:val="top"/>
          </w:tcPr>
          <w:p w14:paraId="34D8A377">
            <w:pPr>
              <w:rPr>
                <w:rFonts w:ascii="Arial"/>
                <w:color w:val="auto"/>
                <w:sz w:val="21"/>
                <w:highlight w:val="none"/>
              </w:rPr>
            </w:pPr>
          </w:p>
        </w:tc>
        <w:tc>
          <w:tcPr>
            <w:tcW w:w="847" w:type="dxa"/>
            <w:vAlign w:val="top"/>
          </w:tcPr>
          <w:p w14:paraId="3C015185">
            <w:pPr>
              <w:rPr>
                <w:rFonts w:ascii="Arial"/>
                <w:color w:val="auto"/>
                <w:sz w:val="21"/>
                <w:highlight w:val="none"/>
              </w:rPr>
            </w:pPr>
          </w:p>
        </w:tc>
        <w:tc>
          <w:tcPr>
            <w:tcW w:w="771" w:type="dxa"/>
            <w:vAlign w:val="top"/>
          </w:tcPr>
          <w:p w14:paraId="5E946DF6">
            <w:pPr>
              <w:rPr>
                <w:rFonts w:ascii="Arial"/>
                <w:color w:val="auto"/>
                <w:sz w:val="21"/>
                <w:highlight w:val="none"/>
              </w:rPr>
            </w:pPr>
          </w:p>
        </w:tc>
        <w:tc>
          <w:tcPr>
            <w:tcW w:w="1350" w:type="dxa"/>
            <w:vAlign w:val="top"/>
          </w:tcPr>
          <w:p w14:paraId="51F0B696">
            <w:pPr>
              <w:rPr>
                <w:rFonts w:ascii="Arial"/>
                <w:color w:val="auto"/>
                <w:sz w:val="21"/>
                <w:highlight w:val="none"/>
              </w:rPr>
            </w:pPr>
          </w:p>
        </w:tc>
        <w:tc>
          <w:tcPr>
            <w:tcW w:w="1413" w:type="dxa"/>
            <w:vAlign w:val="top"/>
          </w:tcPr>
          <w:p w14:paraId="0C08BE35">
            <w:pPr>
              <w:rPr>
                <w:rFonts w:ascii="Arial"/>
                <w:color w:val="auto"/>
                <w:sz w:val="21"/>
                <w:highlight w:val="none"/>
              </w:rPr>
            </w:pPr>
          </w:p>
        </w:tc>
        <w:tc>
          <w:tcPr>
            <w:tcW w:w="1717" w:type="dxa"/>
            <w:tcBorders>
              <w:right w:val="single" w:color="000000" w:sz="10" w:space="0"/>
            </w:tcBorders>
            <w:vAlign w:val="top"/>
          </w:tcPr>
          <w:p w14:paraId="4FCE7822">
            <w:pPr>
              <w:rPr>
                <w:rFonts w:ascii="Arial"/>
                <w:color w:val="auto"/>
                <w:sz w:val="21"/>
                <w:highlight w:val="none"/>
              </w:rPr>
            </w:pPr>
          </w:p>
        </w:tc>
      </w:tr>
      <w:tr w14:paraId="4D395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389B5571">
            <w:pPr>
              <w:rPr>
                <w:rFonts w:ascii="Arial"/>
                <w:color w:val="auto"/>
                <w:sz w:val="21"/>
                <w:highlight w:val="none"/>
              </w:rPr>
            </w:pPr>
          </w:p>
        </w:tc>
        <w:tc>
          <w:tcPr>
            <w:tcW w:w="1983" w:type="dxa"/>
            <w:vAlign w:val="top"/>
          </w:tcPr>
          <w:p w14:paraId="38FAE689">
            <w:pPr>
              <w:rPr>
                <w:rFonts w:ascii="Arial"/>
                <w:color w:val="auto"/>
                <w:sz w:val="21"/>
                <w:highlight w:val="none"/>
              </w:rPr>
            </w:pPr>
          </w:p>
        </w:tc>
        <w:tc>
          <w:tcPr>
            <w:tcW w:w="847" w:type="dxa"/>
            <w:vAlign w:val="top"/>
          </w:tcPr>
          <w:p w14:paraId="3089A7B8">
            <w:pPr>
              <w:rPr>
                <w:rFonts w:ascii="Arial"/>
                <w:color w:val="auto"/>
                <w:sz w:val="21"/>
                <w:highlight w:val="none"/>
              </w:rPr>
            </w:pPr>
          </w:p>
        </w:tc>
        <w:tc>
          <w:tcPr>
            <w:tcW w:w="771" w:type="dxa"/>
            <w:vAlign w:val="top"/>
          </w:tcPr>
          <w:p w14:paraId="1F38EA0F">
            <w:pPr>
              <w:rPr>
                <w:rFonts w:ascii="Arial"/>
                <w:color w:val="auto"/>
                <w:sz w:val="21"/>
                <w:highlight w:val="none"/>
              </w:rPr>
            </w:pPr>
          </w:p>
        </w:tc>
        <w:tc>
          <w:tcPr>
            <w:tcW w:w="1350" w:type="dxa"/>
            <w:vAlign w:val="top"/>
          </w:tcPr>
          <w:p w14:paraId="39F6A996">
            <w:pPr>
              <w:rPr>
                <w:rFonts w:ascii="Arial"/>
                <w:color w:val="auto"/>
                <w:sz w:val="21"/>
                <w:highlight w:val="none"/>
              </w:rPr>
            </w:pPr>
          </w:p>
        </w:tc>
        <w:tc>
          <w:tcPr>
            <w:tcW w:w="1413" w:type="dxa"/>
            <w:vAlign w:val="top"/>
          </w:tcPr>
          <w:p w14:paraId="5967445B">
            <w:pPr>
              <w:rPr>
                <w:rFonts w:ascii="Arial"/>
                <w:color w:val="auto"/>
                <w:sz w:val="21"/>
                <w:highlight w:val="none"/>
              </w:rPr>
            </w:pPr>
          </w:p>
        </w:tc>
        <w:tc>
          <w:tcPr>
            <w:tcW w:w="1717" w:type="dxa"/>
            <w:tcBorders>
              <w:right w:val="single" w:color="000000" w:sz="10" w:space="0"/>
            </w:tcBorders>
            <w:vAlign w:val="top"/>
          </w:tcPr>
          <w:p w14:paraId="3499C544">
            <w:pPr>
              <w:rPr>
                <w:rFonts w:ascii="Arial"/>
                <w:color w:val="auto"/>
                <w:sz w:val="21"/>
                <w:highlight w:val="none"/>
              </w:rPr>
            </w:pPr>
          </w:p>
        </w:tc>
      </w:tr>
      <w:tr w14:paraId="6BD10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D90F053">
            <w:pPr>
              <w:rPr>
                <w:rFonts w:ascii="Arial"/>
                <w:color w:val="auto"/>
                <w:sz w:val="21"/>
                <w:highlight w:val="none"/>
              </w:rPr>
            </w:pPr>
          </w:p>
        </w:tc>
        <w:tc>
          <w:tcPr>
            <w:tcW w:w="1983" w:type="dxa"/>
            <w:vAlign w:val="top"/>
          </w:tcPr>
          <w:p w14:paraId="5ABD53D1">
            <w:pPr>
              <w:rPr>
                <w:rFonts w:ascii="Arial"/>
                <w:color w:val="auto"/>
                <w:sz w:val="21"/>
                <w:highlight w:val="none"/>
              </w:rPr>
            </w:pPr>
          </w:p>
        </w:tc>
        <w:tc>
          <w:tcPr>
            <w:tcW w:w="847" w:type="dxa"/>
            <w:vAlign w:val="top"/>
          </w:tcPr>
          <w:p w14:paraId="0ECB9314">
            <w:pPr>
              <w:rPr>
                <w:rFonts w:ascii="Arial"/>
                <w:color w:val="auto"/>
                <w:sz w:val="21"/>
                <w:highlight w:val="none"/>
              </w:rPr>
            </w:pPr>
          </w:p>
        </w:tc>
        <w:tc>
          <w:tcPr>
            <w:tcW w:w="771" w:type="dxa"/>
            <w:vAlign w:val="top"/>
          </w:tcPr>
          <w:p w14:paraId="7936EF11">
            <w:pPr>
              <w:rPr>
                <w:rFonts w:ascii="Arial"/>
                <w:color w:val="auto"/>
                <w:sz w:val="21"/>
                <w:highlight w:val="none"/>
              </w:rPr>
            </w:pPr>
          </w:p>
        </w:tc>
        <w:tc>
          <w:tcPr>
            <w:tcW w:w="1350" w:type="dxa"/>
            <w:vAlign w:val="top"/>
          </w:tcPr>
          <w:p w14:paraId="6F296F55">
            <w:pPr>
              <w:rPr>
                <w:rFonts w:ascii="Arial"/>
                <w:color w:val="auto"/>
                <w:sz w:val="21"/>
                <w:highlight w:val="none"/>
              </w:rPr>
            </w:pPr>
          </w:p>
        </w:tc>
        <w:tc>
          <w:tcPr>
            <w:tcW w:w="1413" w:type="dxa"/>
            <w:vAlign w:val="top"/>
          </w:tcPr>
          <w:p w14:paraId="111E82A5">
            <w:pPr>
              <w:rPr>
                <w:rFonts w:ascii="Arial"/>
                <w:color w:val="auto"/>
                <w:sz w:val="21"/>
                <w:highlight w:val="none"/>
              </w:rPr>
            </w:pPr>
          </w:p>
        </w:tc>
        <w:tc>
          <w:tcPr>
            <w:tcW w:w="1717" w:type="dxa"/>
            <w:tcBorders>
              <w:right w:val="single" w:color="000000" w:sz="10" w:space="0"/>
            </w:tcBorders>
            <w:vAlign w:val="top"/>
          </w:tcPr>
          <w:p w14:paraId="194971A3">
            <w:pPr>
              <w:rPr>
                <w:rFonts w:ascii="Arial"/>
                <w:color w:val="auto"/>
                <w:sz w:val="21"/>
                <w:highlight w:val="none"/>
              </w:rPr>
            </w:pPr>
          </w:p>
        </w:tc>
      </w:tr>
      <w:tr w14:paraId="2B754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237C3CB">
            <w:pPr>
              <w:rPr>
                <w:rFonts w:ascii="Arial"/>
                <w:color w:val="auto"/>
                <w:sz w:val="21"/>
                <w:highlight w:val="none"/>
              </w:rPr>
            </w:pPr>
          </w:p>
        </w:tc>
        <w:tc>
          <w:tcPr>
            <w:tcW w:w="1983" w:type="dxa"/>
            <w:vAlign w:val="top"/>
          </w:tcPr>
          <w:p w14:paraId="2A28C818">
            <w:pPr>
              <w:rPr>
                <w:rFonts w:ascii="Arial"/>
                <w:color w:val="auto"/>
                <w:sz w:val="21"/>
                <w:highlight w:val="none"/>
              </w:rPr>
            </w:pPr>
          </w:p>
        </w:tc>
        <w:tc>
          <w:tcPr>
            <w:tcW w:w="847" w:type="dxa"/>
            <w:vAlign w:val="top"/>
          </w:tcPr>
          <w:p w14:paraId="114A5AB1">
            <w:pPr>
              <w:rPr>
                <w:rFonts w:ascii="Arial"/>
                <w:color w:val="auto"/>
                <w:sz w:val="21"/>
                <w:highlight w:val="none"/>
              </w:rPr>
            </w:pPr>
          </w:p>
        </w:tc>
        <w:tc>
          <w:tcPr>
            <w:tcW w:w="771" w:type="dxa"/>
            <w:vAlign w:val="top"/>
          </w:tcPr>
          <w:p w14:paraId="0AEC5C6F">
            <w:pPr>
              <w:rPr>
                <w:rFonts w:ascii="Arial"/>
                <w:color w:val="auto"/>
                <w:sz w:val="21"/>
                <w:highlight w:val="none"/>
              </w:rPr>
            </w:pPr>
          </w:p>
        </w:tc>
        <w:tc>
          <w:tcPr>
            <w:tcW w:w="1350" w:type="dxa"/>
            <w:vAlign w:val="top"/>
          </w:tcPr>
          <w:p w14:paraId="249401F6">
            <w:pPr>
              <w:rPr>
                <w:rFonts w:ascii="Arial"/>
                <w:color w:val="auto"/>
                <w:sz w:val="21"/>
                <w:highlight w:val="none"/>
              </w:rPr>
            </w:pPr>
          </w:p>
        </w:tc>
        <w:tc>
          <w:tcPr>
            <w:tcW w:w="1413" w:type="dxa"/>
            <w:vAlign w:val="top"/>
          </w:tcPr>
          <w:p w14:paraId="1F993B27">
            <w:pPr>
              <w:rPr>
                <w:rFonts w:ascii="Arial"/>
                <w:color w:val="auto"/>
                <w:sz w:val="21"/>
                <w:highlight w:val="none"/>
              </w:rPr>
            </w:pPr>
          </w:p>
        </w:tc>
        <w:tc>
          <w:tcPr>
            <w:tcW w:w="1717" w:type="dxa"/>
            <w:tcBorders>
              <w:right w:val="single" w:color="000000" w:sz="10" w:space="0"/>
            </w:tcBorders>
            <w:vAlign w:val="top"/>
          </w:tcPr>
          <w:p w14:paraId="6616228F">
            <w:pPr>
              <w:rPr>
                <w:rFonts w:ascii="Arial"/>
                <w:color w:val="auto"/>
                <w:sz w:val="21"/>
                <w:highlight w:val="none"/>
              </w:rPr>
            </w:pPr>
          </w:p>
        </w:tc>
      </w:tr>
      <w:tr w14:paraId="15435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D9AFD7C">
            <w:pPr>
              <w:rPr>
                <w:rFonts w:ascii="Arial"/>
                <w:color w:val="auto"/>
                <w:sz w:val="21"/>
                <w:highlight w:val="none"/>
              </w:rPr>
            </w:pPr>
          </w:p>
        </w:tc>
        <w:tc>
          <w:tcPr>
            <w:tcW w:w="1983" w:type="dxa"/>
            <w:vAlign w:val="top"/>
          </w:tcPr>
          <w:p w14:paraId="0DBC2D58">
            <w:pPr>
              <w:rPr>
                <w:rFonts w:ascii="Arial"/>
                <w:color w:val="auto"/>
                <w:sz w:val="21"/>
                <w:highlight w:val="none"/>
              </w:rPr>
            </w:pPr>
          </w:p>
        </w:tc>
        <w:tc>
          <w:tcPr>
            <w:tcW w:w="847" w:type="dxa"/>
            <w:vAlign w:val="top"/>
          </w:tcPr>
          <w:p w14:paraId="54EC86A3">
            <w:pPr>
              <w:rPr>
                <w:rFonts w:ascii="Arial"/>
                <w:color w:val="auto"/>
                <w:sz w:val="21"/>
                <w:highlight w:val="none"/>
              </w:rPr>
            </w:pPr>
          </w:p>
        </w:tc>
        <w:tc>
          <w:tcPr>
            <w:tcW w:w="771" w:type="dxa"/>
            <w:vAlign w:val="top"/>
          </w:tcPr>
          <w:p w14:paraId="623A8FE2">
            <w:pPr>
              <w:rPr>
                <w:rFonts w:ascii="Arial"/>
                <w:color w:val="auto"/>
                <w:sz w:val="21"/>
                <w:highlight w:val="none"/>
              </w:rPr>
            </w:pPr>
          </w:p>
        </w:tc>
        <w:tc>
          <w:tcPr>
            <w:tcW w:w="1350" w:type="dxa"/>
            <w:vAlign w:val="top"/>
          </w:tcPr>
          <w:p w14:paraId="3BDD2C95">
            <w:pPr>
              <w:rPr>
                <w:rFonts w:ascii="Arial"/>
                <w:color w:val="auto"/>
                <w:sz w:val="21"/>
                <w:highlight w:val="none"/>
              </w:rPr>
            </w:pPr>
          </w:p>
        </w:tc>
        <w:tc>
          <w:tcPr>
            <w:tcW w:w="1413" w:type="dxa"/>
            <w:vAlign w:val="top"/>
          </w:tcPr>
          <w:p w14:paraId="557ABAF0">
            <w:pPr>
              <w:rPr>
                <w:rFonts w:ascii="Arial"/>
                <w:color w:val="auto"/>
                <w:sz w:val="21"/>
                <w:highlight w:val="none"/>
              </w:rPr>
            </w:pPr>
          </w:p>
        </w:tc>
        <w:tc>
          <w:tcPr>
            <w:tcW w:w="1717" w:type="dxa"/>
            <w:tcBorders>
              <w:right w:val="single" w:color="000000" w:sz="10" w:space="0"/>
            </w:tcBorders>
            <w:vAlign w:val="top"/>
          </w:tcPr>
          <w:p w14:paraId="3B1D02EB">
            <w:pPr>
              <w:rPr>
                <w:rFonts w:ascii="Arial"/>
                <w:color w:val="auto"/>
                <w:sz w:val="21"/>
                <w:highlight w:val="none"/>
              </w:rPr>
            </w:pPr>
          </w:p>
        </w:tc>
      </w:tr>
      <w:tr w14:paraId="581DE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A96D181">
            <w:pPr>
              <w:rPr>
                <w:rFonts w:ascii="Arial"/>
                <w:color w:val="auto"/>
                <w:sz w:val="21"/>
                <w:highlight w:val="none"/>
              </w:rPr>
            </w:pPr>
          </w:p>
        </w:tc>
        <w:tc>
          <w:tcPr>
            <w:tcW w:w="1983" w:type="dxa"/>
            <w:vAlign w:val="top"/>
          </w:tcPr>
          <w:p w14:paraId="4095262E">
            <w:pPr>
              <w:rPr>
                <w:rFonts w:ascii="Arial"/>
                <w:color w:val="auto"/>
                <w:sz w:val="21"/>
                <w:highlight w:val="none"/>
              </w:rPr>
            </w:pPr>
          </w:p>
        </w:tc>
        <w:tc>
          <w:tcPr>
            <w:tcW w:w="847" w:type="dxa"/>
            <w:vAlign w:val="top"/>
          </w:tcPr>
          <w:p w14:paraId="21474F75">
            <w:pPr>
              <w:rPr>
                <w:rFonts w:ascii="Arial"/>
                <w:color w:val="auto"/>
                <w:sz w:val="21"/>
                <w:highlight w:val="none"/>
              </w:rPr>
            </w:pPr>
          </w:p>
        </w:tc>
        <w:tc>
          <w:tcPr>
            <w:tcW w:w="771" w:type="dxa"/>
            <w:vAlign w:val="top"/>
          </w:tcPr>
          <w:p w14:paraId="4680A929">
            <w:pPr>
              <w:rPr>
                <w:rFonts w:ascii="Arial"/>
                <w:color w:val="auto"/>
                <w:sz w:val="21"/>
                <w:highlight w:val="none"/>
              </w:rPr>
            </w:pPr>
          </w:p>
        </w:tc>
        <w:tc>
          <w:tcPr>
            <w:tcW w:w="1350" w:type="dxa"/>
            <w:vAlign w:val="top"/>
          </w:tcPr>
          <w:p w14:paraId="5570928D">
            <w:pPr>
              <w:rPr>
                <w:rFonts w:ascii="Arial"/>
                <w:color w:val="auto"/>
                <w:sz w:val="21"/>
                <w:highlight w:val="none"/>
              </w:rPr>
            </w:pPr>
          </w:p>
        </w:tc>
        <w:tc>
          <w:tcPr>
            <w:tcW w:w="1413" w:type="dxa"/>
            <w:vAlign w:val="top"/>
          </w:tcPr>
          <w:p w14:paraId="2CEE47B7">
            <w:pPr>
              <w:rPr>
                <w:rFonts w:ascii="Arial"/>
                <w:color w:val="auto"/>
                <w:sz w:val="21"/>
                <w:highlight w:val="none"/>
              </w:rPr>
            </w:pPr>
          </w:p>
        </w:tc>
        <w:tc>
          <w:tcPr>
            <w:tcW w:w="1717" w:type="dxa"/>
            <w:tcBorders>
              <w:right w:val="single" w:color="000000" w:sz="10" w:space="0"/>
            </w:tcBorders>
            <w:vAlign w:val="top"/>
          </w:tcPr>
          <w:p w14:paraId="3F85D9EC">
            <w:pPr>
              <w:rPr>
                <w:rFonts w:ascii="Arial"/>
                <w:color w:val="auto"/>
                <w:sz w:val="21"/>
                <w:highlight w:val="none"/>
              </w:rPr>
            </w:pPr>
          </w:p>
        </w:tc>
      </w:tr>
      <w:tr w14:paraId="2C2E5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09BE2D3">
            <w:pPr>
              <w:rPr>
                <w:rFonts w:ascii="Arial"/>
                <w:color w:val="auto"/>
                <w:sz w:val="21"/>
                <w:highlight w:val="none"/>
              </w:rPr>
            </w:pPr>
          </w:p>
        </w:tc>
        <w:tc>
          <w:tcPr>
            <w:tcW w:w="1983" w:type="dxa"/>
            <w:vAlign w:val="top"/>
          </w:tcPr>
          <w:p w14:paraId="69E18064">
            <w:pPr>
              <w:rPr>
                <w:rFonts w:ascii="Arial"/>
                <w:color w:val="auto"/>
                <w:sz w:val="21"/>
                <w:highlight w:val="none"/>
              </w:rPr>
            </w:pPr>
          </w:p>
        </w:tc>
        <w:tc>
          <w:tcPr>
            <w:tcW w:w="847" w:type="dxa"/>
            <w:vAlign w:val="top"/>
          </w:tcPr>
          <w:p w14:paraId="6AB0DDBA">
            <w:pPr>
              <w:rPr>
                <w:rFonts w:ascii="Arial"/>
                <w:color w:val="auto"/>
                <w:sz w:val="21"/>
                <w:highlight w:val="none"/>
              </w:rPr>
            </w:pPr>
          </w:p>
        </w:tc>
        <w:tc>
          <w:tcPr>
            <w:tcW w:w="771" w:type="dxa"/>
            <w:vAlign w:val="top"/>
          </w:tcPr>
          <w:p w14:paraId="597EB8D9">
            <w:pPr>
              <w:rPr>
                <w:rFonts w:ascii="Arial"/>
                <w:color w:val="auto"/>
                <w:sz w:val="21"/>
                <w:highlight w:val="none"/>
              </w:rPr>
            </w:pPr>
          </w:p>
        </w:tc>
        <w:tc>
          <w:tcPr>
            <w:tcW w:w="1350" w:type="dxa"/>
            <w:vAlign w:val="top"/>
          </w:tcPr>
          <w:p w14:paraId="7FE1414D">
            <w:pPr>
              <w:rPr>
                <w:rFonts w:ascii="Arial"/>
                <w:color w:val="auto"/>
                <w:sz w:val="21"/>
                <w:highlight w:val="none"/>
              </w:rPr>
            </w:pPr>
          </w:p>
        </w:tc>
        <w:tc>
          <w:tcPr>
            <w:tcW w:w="1413" w:type="dxa"/>
            <w:vAlign w:val="top"/>
          </w:tcPr>
          <w:p w14:paraId="01074B79">
            <w:pPr>
              <w:rPr>
                <w:rFonts w:ascii="Arial"/>
                <w:color w:val="auto"/>
                <w:sz w:val="21"/>
                <w:highlight w:val="none"/>
              </w:rPr>
            </w:pPr>
          </w:p>
        </w:tc>
        <w:tc>
          <w:tcPr>
            <w:tcW w:w="1717" w:type="dxa"/>
            <w:tcBorders>
              <w:right w:val="single" w:color="000000" w:sz="10" w:space="0"/>
            </w:tcBorders>
            <w:vAlign w:val="top"/>
          </w:tcPr>
          <w:p w14:paraId="5CF54E5A">
            <w:pPr>
              <w:rPr>
                <w:rFonts w:ascii="Arial"/>
                <w:color w:val="auto"/>
                <w:sz w:val="21"/>
                <w:highlight w:val="none"/>
              </w:rPr>
            </w:pPr>
          </w:p>
        </w:tc>
      </w:tr>
      <w:tr w14:paraId="2057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15547A4">
            <w:pPr>
              <w:rPr>
                <w:rFonts w:ascii="Arial"/>
                <w:color w:val="auto"/>
                <w:sz w:val="21"/>
                <w:highlight w:val="none"/>
              </w:rPr>
            </w:pPr>
          </w:p>
        </w:tc>
        <w:tc>
          <w:tcPr>
            <w:tcW w:w="1983" w:type="dxa"/>
            <w:vAlign w:val="top"/>
          </w:tcPr>
          <w:p w14:paraId="04C12EB0">
            <w:pPr>
              <w:rPr>
                <w:rFonts w:ascii="Arial"/>
                <w:color w:val="auto"/>
                <w:sz w:val="21"/>
                <w:highlight w:val="none"/>
              </w:rPr>
            </w:pPr>
          </w:p>
        </w:tc>
        <w:tc>
          <w:tcPr>
            <w:tcW w:w="847" w:type="dxa"/>
            <w:vAlign w:val="top"/>
          </w:tcPr>
          <w:p w14:paraId="3C5E777A">
            <w:pPr>
              <w:rPr>
                <w:rFonts w:ascii="Arial"/>
                <w:color w:val="auto"/>
                <w:sz w:val="21"/>
                <w:highlight w:val="none"/>
              </w:rPr>
            </w:pPr>
          </w:p>
        </w:tc>
        <w:tc>
          <w:tcPr>
            <w:tcW w:w="771" w:type="dxa"/>
            <w:vAlign w:val="top"/>
          </w:tcPr>
          <w:p w14:paraId="113DE714">
            <w:pPr>
              <w:rPr>
                <w:rFonts w:ascii="Arial"/>
                <w:color w:val="auto"/>
                <w:sz w:val="21"/>
                <w:highlight w:val="none"/>
              </w:rPr>
            </w:pPr>
          </w:p>
        </w:tc>
        <w:tc>
          <w:tcPr>
            <w:tcW w:w="1350" w:type="dxa"/>
            <w:vAlign w:val="top"/>
          </w:tcPr>
          <w:p w14:paraId="007DF16A">
            <w:pPr>
              <w:rPr>
                <w:rFonts w:ascii="Arial"/>
                <w:color w:val="auto"/>
                <w:sz w:val="21"/>
                <w:highlight w:val="none"/>
              </w:rPr>
            </w:pPr>
          </w:p>
        </w:tc>
        <w:tc>
          <w:tcPr>
            <w:tcW w:w="1413" w:type="dxa"/>
            <w:vAlign w:val="top"/>
          </w:tcPr>
          <w:p w14:paraId="77941036">
            <w:pPr>
              <w:rPr>
                <w:rFonts w:ascii="Arial"/>
                <w:color w:val="auto"/>
                <w:sz w:val="21"/>
                <w:highlight w:val="none"/>
              </w:rPr>
            </w:pPr>
          </w:p>
        </w:tc>
        <w:tc>
          <w:tcPr>
            <w:tcW w:w="1717" w:type="dxa"/>
            <w:tcBorders>
              <w:right w:val="single" w:color="000000" w:sz="10" w:space="0"/>
            </w:tcBorders>
            <w:vAlign w:val="top"/>
          </w:tcPr>
          <w:p w14:paraId="191824A0">
            <w:pPr>
              <w:rPr>
                <w:rFonts w:ascii="Arial"/>
                <w:color w:val="auto"/>
                <w:sz w:val="21"/>
                <w:highlight w:val="none"/>
              </w:rPr>
            </w:pPr>
          </w:p>
        </w:tc>
      </w:tr>
      <w:tr w14:paraId="78F26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9AA5F1F">
            <w:pPr>
              <w:rPr>
                <w:rFonts w:ascii="Arial"/>
                <w:color w:val="auto"/>
                <w:sz w:val="21"/>
                <w:highlight w:val="none"/>
              </w:rPr>
            </w:pPr>
          </w:p>
        </w:tc>
        <w:tc>
          <w:tcPr>
            <w:tcW w:w="1983" w:type="dxa"/>
            <w:vAlign w:val="top"/>
          </w:tcPr>
          <w:p w14:paraId="6E202DA6">
            <w:pPr>
              <w:rPr>
                <w:rFonts w:ascii="Arial"/>
                <w:color w:val="auto"/>
                <w:sz w:val="21"/>
                <w:highlight w:val="none"/>
              </w:rPr>
            </w:pPr>
          </w:p>
        </w:tc>
        <w:tc>
          <w:tcPr>
            <w:tcW w:w="847" w:type="dxa"/>
            <w:vAlign w:val="top"/>
          </w:tcPr>
          <w:p w14:paraId="75FEBE0F">
            <w:pPr>
              <w:rPr>
                <w:rFonts w:ascii="Arial"/>
                <w:color w:val="auto"/>
                <w:sz w:val="21"/>
                <w:highlight w:val="none"/>
              </w:rPr>
            </w:pPr>
          </w:p>
        </w:tc>
        <w:tc>
          <w:tcPr>
            <w:tcW w:w="771" w:type="dxa"/>
            <w:vAlign w:val="top"/>
          </w:tcPr>
          <w:p w14:paraId="578A0FA8">
            <w:pPr>
              <w:rPr>
                <w:rFonts w:ascii="Arial"/>
                <w:color w:val="auto"/>
                <w:sz w:val="21"/>
                <w:highlight w:val="none"/>
              </w:rPr>
            </w:pPr>
          </w:p>
        </w:tc>
        <w:tc>
          <w:tcPr>
            <w:tcW w:w="1350" w:type="dxa"/>
            <w:vAlign w:val="top"/>
          </w:tcPr>
          <w:p w14:paraId="783472FB">
            <w:pPr>
              <w:rPr>
                <w:rFonts w:ascii="Arial"/>
                <w:color w:val="auto"/>
                <w:sz w:val="21"/>
                <w:highlight w:val="none"/>
              </w:rPr>
            </w:pPr>
          </w:p>
        </w:tc>
        <w:tc>
          <w:tcPr>
            <w:tcW w:w="1413" w:type="dxa"/>
            <w:vAlign w:val="top"/>
          </w:tcPr>
          <w:p w14:paraId="3893F63E">
            <w:pPr>
              <w:rPr>
                <w:rFonts w:ascii="Arial"/>
                <w:color w:val="auto"/>
                <w:sz w:val="21"/>
                <w:highlight w:val="none"/>
              </w:rPr>
            </w:pPr>
          </w:p>
        </w:tc>
        <w:tc>
          <w:tcPr>
            <w:tcW w:w="1717" w:type="dxa"/>
            <w:tcBorders>
              <w:right w:val="single" w:color="000000" w:sz="10" w:space="0"/>
            </w:tcBorders>
            <w:vAlign w:val="top"/>
          </w:tcPr>
          <w:p w14:paraId="559E1F31">
            <w:pPr>
              <w:rPr>
                <w:rFonts w:ascii="Arial"/>
                <w:color w:val="auto"/>
                <w:sz w:val="21"/>
                <w:highlight w:val="none"/>
              </w:rPr>
            </w:pPr>
          </w:p>
        </w:tc>
      </w:tr>
      <w:tr w14:paraId="08A53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21E8B04F">
            <w:pPr>
              <w:rPr>
                <w:rFonts w:ascii="Arial"/>
                <w:color w:val="auto"/>
                <w:sz w:val="21"/>
                <w:highlight w:val="none"/>
              </w:rPr>
            </w:pPr>
          </w:p>
        </w:tc>
        <w:tc>
          <w:tcPr>
            <w:tcW w:w="1983" w:type="dxa"/>
            <w:tcBorders>
              <w:bottom w:val="single" w:color="000000" w:sz="10" w:space="0"/>
            </w:tcBorders>
            <w:vAlign w:val="top"/>
          </w:tcPr>
          <w:p w14:paraId="67720F17">
            <w:pPr>
              <w:rPr>
                <w:rFonts w:ascii="Arial"/>
                <w:color w:val="auto"/>
                <w:sz w:val="21"/>
                <w:highlight w:val="none"/>
              </w:rPr>
            </w:pPr>
          </w:p>
        </w:tc>
        <w:tc>
          <w:tcPr>
            <w:tcW w:w="847" w:type="dxa"/>
            <w:tcBorders>
              <w:bottom w:val="single" w:color="000000" w:sz="10" w:space="0"/>
            </w:tcBorders>
            <w:vAlign w:val="top"/>
          </w:tcPr>
          <w:p w14:paraId="33D72E10">
            <w:pPr>
              <w:rPr>
                <w:rFonts w:ascii="Arial"/>
                <w:color w:val="auto"/>
                <w:sz w:val="21"/>
                <w:highlight w:val="none"/>
              </w:rPr>
            </w:pPr>
          </w:p>
        </w:tc>
        <w:tc>
          <w:tcPr>
            <w:tcW w:w="771" w:type="dxa"/>
            <w:tcBorders>
              <w:bottom w:val="single" w:color="000000" w:sz="10" w:space="0"/>
            </w:tcBorders>
            <w:vAlign w:val="top"/>
          </w:tcPr>
          <w:p w14:paraId="08230344">
            <w:pPr>
              <w:rPr>
                <w:rFonts w:ascii="Arial"/>
                <w:color w:val="auto"/>
                <w:sz w:val="21"/>
                <w:highlight w:val="none"/>
              </w:rPr>
            </w:pPr>
          </w:p>
        </w:tc>
        <w:tc>
          <w:tcPr>
            <w:tcW w:w="1350" w:type="dxa"/>
            <w:tcBorders>
              <w:bottom w:val="single" w:color="000000" w:sz="10" w:space="0"/>
            </w:tcBorders>
            <w:vAlign w:val="top"/>
          </w:tcPr>
          <w:p w14:paraId="52D76DC2">
            <w:pPr>
              <w:rPr>
                <w:rFonts w:ascii="Arial"/>
                <w:color w:val="auto"/>
                <w:sz w:val="21"/>
                <w:highlight w:val="none"/>
              </w:rPr>
            </w:pPr>
          </w:p>
        </w:tc>
        <w:tc>
          <w:tcPr>
            <w:tcW w:w="1413" w:type="dxa"/>
            <w:tcBorders>
              <w:bottom w:val="single" w:color="000000" w:sz="10" w:space="0"/>
            </w:tcBorders>
            <w:vAlign w:val="top"/>
          </w:tcPr>
          <w:p w14:paraId="21943807">
            <w:pPr>
              <w:rPr>
                <w:rFonts w:ascii="Arial"/>
                <w:color w:val="auto"/>
                <w:sz w:val="21"/>
                <w:highlight w:val="none"/>
              </w:rPr>
            </w:pPr>
          </w:p>
        </w:tc>
        <w:tc>
          <w:tcPr>
            <w:tcW w:w="1717" w:type="dxa"/>
            <w:tcBorders>
              <w:bottom w:val="single" w:color="000000" w:sz="10" w:space="0"/>
              <w:right w:val="single" w:color="000000" w:sz="10" w:space="0"/>
            </w:tcBorders>
            <w:vAlign w:val="top"/>
          </w:tcPr>
          <w:p w14:paraId="6B0B0510">
            <w:pPr>
              <w:rPr>
                <w:rFonts w:ascii="Arial"/>
                <w:color w:val="auto"/>
                <w:sz w:val="21"/>
                <w:highlight w:val="none"/>
              </w:rPr>
            </w:pPr>
          </w:p>
        </w:tc>
      </w:tr>
    </w:tbl>
    <w:p w14:paraId="30CBEE96">
      <w:pPr>
        <w:pStyle w:val="5"/>
        <w:rPr>
          <w:color w:val="auto"/>
          <w:highlight w:val="none"/>
        </w:rPr>
      </w:pPr>
    </w:p>
    <w:p w14:paraId="24E984DF">
      <w:pPr>
        <w:rPr>
          <w:color w:val="auto"/>
          <w:highlight w:val="none"/>
        </w:rPr>
        <w:sectPr>
          <w:footerReference r:id="rId112" w:type="default"/>
          <w:pgSz w:w="11905" w:h="16839"/>
          <w:pgMar w:top="400" w:right="1114" w:bottom="1004" w:left="1680" w:header="0" w:footer="828" w:gutter="0"/>
          <w:pgNumType w:fmt="decimal"/>
          <w:cols w:space="720" w:num="1"/>
        </w:sectPr>
      </w:pPr>
    </w:p>
    <w:p w14:paraId="6EC41667">
      <w:pPr>
        <w:pStyle w:val="5"/>
        <w:spacing w:line="265" w:lineRule="auto"/>
        <w:rPr>
          <w:color w:val="auto"/>
          <w:highlight w:val="none"/>
        </w:rPr>
      </w:pPr>
    </w:p>
    <w:p w14:paraId="7567FA0B">
      <w:pPr>
        <w:pStyle w:val="5"/>
        <w:spacing w:line="265" w:lineRule="auto"/>
        <w:rPr>
          <w:color w:val="auto"/>
          <w:highlight w:val="none"/>
        </w:rPr>
      </w:pPr>
    </w:p>
    <w:p w14:paraId="03A02883">
      <w:pPr>
        <w:pStyle w:val="5"/>
        <w:spacing w:line="265" w:lineRule="auto"/>
        <w:rPr>
          <w:color w:val="auto"/>
          <w:highlight w:val="none"/>
        </w:rPr>
      </w:pPr>
    </w:p>
    <w:p w14:paraId="2BC20560">
      <w:pPr>
        <w:pStyle w:val="5"/>
        <w:spacing w:line="266" w:lineRule="auto"/>
        <w:rPr>
          <w:color w:val="auto"/>
          <w:highlight w:val="none"/>
        </w:rPr>
      </w:pPr>
    </w:p>
    <w:p w14:paraId="73234234">
      <w:pPr>
        <w:spacing w:before="88" w:line="225" w:lineRule="auto"/>
        <w:ind w:left="2847"/>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4"/>
          <w:szCs w:val="24"/>
          <w:highlight w:val="none"/>
        </w:rPr>
        <w:t>11-2</w:t>
      </w:r>
      <w:r>
        <w:rPr>
          <w:rFonts w:ascii="宋体" w:hAnsi="宋体" w:eastAsia="宋体" w:cs="宋体"/>
          <w:color w:val="auto"/>
          <w:spacing w:val="2"/>
          <w:sz w:val="24"/>
          <w:szCs w:val="24"/>
          <w:highlight w:val="none"/>
        </w:rPr>
        <w:t>：</w:t>
      </w:r>
      <w:r>
        <w:rPr>
          <w:rFonts w:ascii="黑体" w:hAnsi="黑体" w:eastAsia="黑体" w:cs="黑体"/>
          <w:color w:val="auto"/>
          <w:spacing w:val="2"/>
          <w:sz w:val="27"/>
          <w:szCs w:val="27"/>
          <w:highlight w:val="none"/>
        </w:rPr>
        <w:t>工程设备暂估价表</w:t>
      </w:r>
    </w:p>
    <w:p w14:paraId="297D78D4">
      <w:pPr>
        <w:spacing w:line="117" w:lineRule="exact"/>
        <w:rPr>
          <w:color w:val="auto"/>
          <w:highlight w:val="none"/>
        </w:rPr>
      </w:pPr>
    </w:p>
    <w:tbl>
      <w:tblPr>
        <w:tblStyle w:val="17"/>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75BF6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16A260B4">
            <w:pPr>
              <w:pStyle w:val="18"/>
              <w:spacing w:before="177" w:line="222" w:lineRule="auto"/>
              <w:ind w:left="290"/>
              <w:rPr>
                <w:color w:val="auto"/>
                <w:highlight w:val="none"/>
              </w:rPr>
            </w:pPr>
            <w:r>
              <w:rPr>
                <w:color w:val="auto"/>
                <w:spacing w:val="-2"/>
                <w:highlight w:val="none"/>
              </w:rPr>
              <w:t>序号</w:t>
            </w:r>
          </w:p>
        </w:tc>
        <w:tc>
          <w:tcPr>
            <w:tcW w:w="1983" w:type="dxa"/>
            <w:tcBorders>
              <w:top w:val="single" w:color="000000" w:sz="10" w:space="0"/>
            </w:tcBorders>
            <w:vAlign w:val="top"/>
          </w:tcPr>
          <w:p w14:paraId="51A8B273">
            <w:pPr>
              <w:pStyle w:val="18"/>
              <w:spacing w:before="177" w:line="223" w:lineRule="auto"/>
              <w:ind w:left="781"/>
              <w:rPr>
                <w:color w:val="auto"/>
                <w:highlight w:val="none"/>
              </w:rPr>
            </w:pPr>
            <w:r>
              <w:rPr>
                <w:color w:val="auto"/>
                <w:spacing w:val="-3"/>
                <w:highlight w:val="none"/>
              </w:rPr>
              <w:t>名称</w:t>
            </w:r>
          </w:p>
        </w:tc>
        <w:tc>
          <w:tcPr>
            <w:tcW w:w="847" w:type="dxa"/>
            <w:tcBorders>
              <w:top w:val="single" w:color="000000" w:sz="10" w:space="0"/>
            </w:tcBorders>
            <w:vAlign w:val="top"/>
          </w:tcPr>
          <w:p w14:paraId="4F411B43">
            <w:pPr>
              <w:pStyle w:val="18"/>
              <w:spacing w:before="177" w:line="221" w:lineRule="auto"/>
              <w:ind w:left="219"/>
              <w:rPr>
                <w:color w:val="auto"/>
                <w:highlight w:val="none"/>
              </w:rPr>
            </w:pPr>
            <w:r>
              <w:rPr>
                <w:color w:val="auto"/>
                <w:spacing w:val="-2"/>
                <w:highlight w:val="none"/>
              </w:rPr>
              <w:t>单位</w:t>
            </w:r>
          </w:p>
        </w:tc>
        <w:tc>
          <w:tcPr>
            <w:tcW w:w="771" w:type="dxa"/>
            <w:tcBorders>
              <w:top w:val="single" w:color="000000" w:sz="10" w:space="0"/>
            </w:tcBorders>
            <w:vAlign w:val="top"/>
          </w:tcPr>
          <w:p w14:paraId="24035889">
            <w:pPr>
              <w:pStyle w:val="18"/>
              <w:spacing w:before="177" w:line="221" w:lineRule="auto"/>
              <w:ind w:left="183"/>
              <w:rPr>
                <w:color w:val="auto"/>
                <w:highlight w:val="none"/>
              </w:rPr>
            </w:pPr>
            <w:r>
              <w:rPr>
                <w:color w:val="auto"/>
                <w:spacing w:val="-2"/>
                <w:highlight w:val="none"/>
              </w:rPr>
              <w:t>数量</w:t>
            </w:r>
          </w:p>
        </w:tc>
        <w:tc>
          <w:tcPr>
            <w:tcW w:w="1350" w:type="dxa"/>
            <w:tcBorders>
              <w:top w:val="single" w:color="000000" w:sz="10" w:space="0"/>
            </w:tcBorders>
            <w:vAlign w:val="top"/>
          </w:tcPr>
          <w:p w14:paraId="52166B03">
            <w:pPr>
              <w:pStyle w:val="18"/>
              <w:spacing w:before="177" w:line="219" w:lineRule="auto"/>
              <w:ind w:left="156"/>
              <w:rPr>
                <w:color w:val="auto"/>
                <w:highlight w:val="none"/>
              </w:rPr>
            </w:pPr>
            <w:r>
              <w:rPr>
                <w:color w:val="auto"/>
                <w:spacing w:val="-3"/>
                <w:highlight w:val="none"/>
              </w:rPr>
              <w:t>单价（元）</w:t>
            </w:r>
          </w:p>
        </w:tc>
        <w:tc>
          <w:tcPr>
            <w:tcW w:w="1413" w:type="dxa"/>
            <w:tcBorders>
              <w:top w:val="single" w:color="000000" w:sz="10" w:space="0"/>
            </w:tcBorders>
            <w:vAlign w:val="top"/>
          </w:tcPr>
          <w:p w14:paraId="61CAE009">
            <w:pPr>
              <w:pStyle w:val="18"/>
              <w:spacing w:before="177" w:line="219" w:lineRule="auto"/>
              <w:ind w:left="193"/>
              <w:rPr>
                <w:color w:val="auto"/>
                <w:highlight w:val="none"/>
              </w:rPr>
            </w:pPr>
            <w:r>
              <w:rPr>
                <w:color w:val="auto"/>
                <w:spacing w:val="-3"/>
                <w:highlight w:val="none"/>
              </w:rPr>
              <w:t>合价（元）</w:t>
            </w:r>
          </w:p>
        </w:tc>
        <w:tc>
          <w:tcPr>
            <w:tcW w:w="1717" w:type="dxa"/>
            <w:tcBorders>
              <w:top w:val="single" w:color="000000" w:sz="10" w:space="0"/>
              <w:right w:val="single" w:color="000000" w:sz="10" w:space="0"/>
            </w:tcBorders>
            <w:vAlign w:val="top"/>
          </w:tcPr>
          <w:p w14:paraId="297C7213">
            <w:pPr>
              <w:pStyle w:val="18"/>
              <w:spacing w:before="177" w:line="222" w:lineRule="auto"/>
              <w:ind w:left="659"/>
              <w:rPr>
                <w:color w:val="auto"/>
                <w:highlight w:val="none"/>
              </w:rPr>
            </w:pPr>
            <w:r>
              <w:rPr>
                <w:color w:val="auto"/>
                <w:spacing w:val="-3"/>
                <w:highlight w:val="none"/>
              </w:rPr>
              <w:t>备注</w:t>
            </w:r>
          </w:p>
        </w:tc>
      </w:tr>
      <w:tr w14:paraId="4FD17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71477B43">
            <w:pPr>
              <w:rPr>
                <w:rFonts w:ascii="Arial"/>
                <w:color w:val="auto"/>
                <w:sz w:val="21"/>
                <w:highlight w:val="none"/>
              </w:rPr>
            </w:pPr>
          </w:p>
        </w:tc>
        <w:tc>
          <w:tcPr>
            <w:tcW w:w="1983" w:type="dxa"/>
            <w:vAlign w:val="top"/>
          </w:tcPr>
          <w:p w14:paraId="26172C40">
            <w:pPr>
              <w:rPr>
                <w:rFonts w:ascii="Arial"/>
                <w:color w:val="auto"/>
                <w:sz w:val="21"/>
                <w:highlight w:val="none"/>
              </w:rPr>
            </w:pPr>
          </w:p>
        </w:tc>
        <w:tc>
          <w:tcPr>
            <w:tcW w:w="847" w:type="dxa"/>
            <w:vAlign w:val="top"/>
          </w:tcPr>
          <w:p w14:paraId="4B0489D5">
            <w:pPr>
              <w:rPr>
                <w:rFonts w:ascii="Arial"/>
                <w:color w:val="auto"/>
                <w:sz w:val="21"/>
                <w:highlight w:val="none"/>
              </w:rPr>
            </w:pPr>
          </w:p>
        </w:tc>
        <w:tc>
          <w:tcPr>
            <w:tcW w:w="771" w:type="dxa"/>
            <w:vAlign w:val="top"/>
          </w:tcPr>
          <w:p w14:paraId="64B81402">
            <w:pPr>
              <w:rPr>
                <w:rFonts w:ascii="Arial"/>
                <w:color w:val="auto"/>
                <w:sz w:val="21"/>
                <w:highlight w:val="none"/>
              </w:rPr>
            </w:pPr>
          </w:p>
        </w:tc>
        <w:tc>
          <w:tcPr>
            <w:tcW w:w="1350" w:type="dxa"/>
            <w:vAlign w:val="top"/>
          </w:tcPr>
          <w:p w14:paraId="0FC55789">
            <w:pPr>
              <w:rPr>
                <w:rFonts w:ascii="Arial"/>
                <w:color w:val="auto"/>
                <w:sz w:val="21"/>
                <w:highlight w:val="none"/>
              </w:rPr>
            </w:pPr>
          </w:p>
        </w:tc>
        <w:tc>
          <w:tcPr>
            <w:tcW w:w="1413" w:type="dxa"/>
            <w:vAlign w:val="top"/>
          </w:tcPr>
          <w:p w14:paraId="653DD43B">
            <w:pPr>
              <w:rPr>
                <w:rFonts w:ascii="Arial"/>
                <w:color w:val="auto"/>
                <w:sz w:val="21"/>
                <w:highlight w:val="none"/>
              </w:rPr>
            </w:pPr>
          </w:p>
        </w:tc>
        <w:tc>
          <w:tcPr>
            <w:tcW w:w="1717" w:type="dxa"/>
            <w:tcBorders>
              <w:right w:val="single" w:color="000000" w:sz="10" w:space="0"/>
            </w:tcBorders>
            <w:vAlign w:val="top"/>
          </w:tcPr>
          <w:p w14:paraId="2DEBC3FE">
            <w:pPr>
              <w:rPr>
                <w:rFonts w:ascii="Arial"/>
                <w:color w:val="auto"/>
                <w:sz w:val="21"/>
                <w:highlight w:val="none"/>
              </w:rPr>
            </w:pPr>
          </w:p>
        </w:tc>
      </w:tr>
      <w:tr w14:paraId="6EA5A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0C2C152B">
            <w:pPr>
              <w:rPr>
                <w:rFonts w:ascii="Arial"/>
                <w:color w:val="auto"/>
                <w:sz w:val="21"/>
                <w:highlight w:val="none"/>
              </w:rPr>
            </w:pPr>
          </w:p>
        </w:tc>
        <w:tc>
          <w:tcPr>
            <w:tcW w:w="1983" w:type="dxa"/>
            <w:vAlign w:val="top"/>
          </w:tcPr>
          <w:p w14:paraId="7A73469E">
            <w:pPr>
              <w:rPr>
                <w:rFonts w:ascii="Arial"/>
                <w:color w:val="auto"/>
                <w:sz w:val="21"/>
                <w:highlight w:val="none"/>
              </w:rPr>
            </w:pPr>
          </w:p>
        </w:tc>
        <w:tc>
          <w:tcPr>
            <w:tcW w:w="847" w:type="dxa"/>
            <w:vAlign w:val="top"/>
          </w:tcPr>
          <w:p w14:paraId="759FEA59">
            <w:pPr>
              <w:rPr>
                <w:rFonts w:ascii="Arial"/>
                <w:color w:val="auto"/>
                <w:sz w:val="21"/>
                <w:highlight w:val="none"/>
              </w:rPr>
            </w:pPr>
          </w:p>
        </w:tc>
        <w:tc>
          <w:tcPr>
            <w:tcW w:w="771" w:type="dxa"/>
            <w:vAlign w:val="top"/>
          </w:tcPr>
          <w:p w14:paraId="2D1D6D96">
            <w:pPr>
              <w:rPr>
                <w:rFonts w:ascii="Arial"/>
                <w:color w:val="auto"/>
                <w:sz w:val="21"/>
                <w:highlight w:val="none"/>
              </w:rPr>
            </w:pPr>
          </w:p>
        </w:tc>
        <w:tc>
          <w:tcPr>
            <w:tcW w:w="1350" w:type="dxa"/>
            <w:vAlign w:val="top"/>
          </w:tcPr>
          <w:p w14:paraId="4EC604EF">
            <w:pPr>
              <w:rPr>
                <w:rFonts w:ascii="Arial"/>
                <w:color w:val="auto"/>
                <w:sz w:val="21"/>
                <w:highlight w:val="none"/>
              </w:rPr>
            </w:pPr>
          </w:p>
        </w:tc>
        <w:tc>
          <w:tcPr>
            <w:tcW w:w="1413" w:type="dxa"/>
            <w:vAlign w:val="top"/>
          </w:tcPr>
          <w:p w14:paraId="0E6407CC">
            <w:pPr>
              <w:rPr>
                <w:rFonts w:ascii="Arial"/>
                <w:color w:val="auto"/>
                <w:sz w:val="21"/>
                <w:highlight w:val="none"/>
              </w:rPr>
            </w:pPr>
          </w:p>
        </w:tc>
        <w:tc>
          <w:tcPr>
            <w:tcW w:w="1717" w:type="dxa"/>
            <w:tcBorders>
              <w:right w:val="single" w:color="000000" w:sz="10" w:space="0"/>
            </w:tcBorders>
            <w:vAlign w:val="top"/>
          </w:tcPr>
          <w:p w14:paraId="1594EE6B">
            <w:pPr>
              <w:rPr>
                <w:rFonts w:ascii="Arial"/>
                <w:color w:val="auto"/>
                <w:sz w:val="21"/>
                <w:highlight w:val="none"/>
              </w:rPr>
            </w:pPr>
          </w:p>
        </w:tc>
      </w:tr>
      <w:tr w14:paraId="629AC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54E6EF6">
            <w:pPr>
              <w:rPr>
                <w:rFonts w:ascii="Arial"/>
                <w:color w:val="auto"/>
                <w:sz w:val="21"/>
                <w:highlight w:val="none"/>
              </w:rPr>
            </w:pPr>
          </w:p>
        </w:tc>
        <w:tc>
          <w:tcPr>
            <w:tcW w:w="1983" w:type="dxa"/>
            <w:vAlign w:val="top"/>
          </w:tcPr>
          <w:p w14:paraId="327F2B17">
            <w:pPr>
              <w:rPr>
                <w:rFonts w:ascii="Arial"/>
                <w:color w:val="auto"/>
                <w:sz w:val="21"/>
                <w:highlight w:val="none"/>
              </w:rPr>
            </w:pPr>
          </w:p>
        </w:tc>
        <w:tc>
          <w:tcPr>
            <w:tcW w:w="847" w:type="dxa"/>
            <w:vAlign w:val="top"/>
          </w:tcPr>
          <w:p w14:paraId="44E9C5C9">
            <w:pPr>
              <w:rPr>
                <w:rFonts w:ascii="Arial"/>
                <w:color w:val="auto"/>
                <w:sz w:val="21"/>
                <w:highlight w:val="none"/>
              </w:rPr>
            </w:pPr>
          </w:p>
        </w:tc>
        <w:tc>
          <w:tcPr>
            <w:tcW w:w="771" w:type="dxa"/>
            <w:vAlign w:val="top"/>
          </w:tcPr>
          <w:p w14:paraId="45786884">
            <w:pPr>
              <w:rPr>
                <w:rFonts w:ascii="Arial"/>
                <w:color w:val="auto"/>
                <w:sz w:val="21"/>
                <w:highlight w:val="none"/>
              </w:rPr>
            </w:pPr>
          </w:p>
        </w:tc>
        <w:tc>
          <w:tcPr>
            <w:tcW w:w="1350" w:type="dxa"/>
            <w:vAlign w:val="top"/>
          </w:tcPr>
          <w:p w14:paraId="3F13D3CF">
            <w:pPr>
              <w:rPr>
                <w:rFonts w:ascii="Arial"/>
                <w:color w:val="auto"/>
                <w:sz w:val="21"/>
                <w:highlight w:val="none"/>
              </w:rPr>
            </w:pPr>
          </w:p>
        </w:tc>
        <w:tc>
          <w:tcPr>
            <w:tcW w:w="1413" w:type="dxa"/>
            <w:vAlign w:val="top"/>
          </w:tcPr>
          <w:p w14:paraId="1434E60A">
            <w:pPr>
              <w:rPr>
                <w:rFonts w:ascii="Arial"/>
                <w:color w:val="auto"/>
                <w:sz w:val="21"/>
                <w:highlight w:val="none"/>
              </w:rPr>
            </w:pPr>
          </w:p>
        </w:tc>
        <w:tc>
          <w:tcPr>
            <w:tcW w:w="1717" w:type="dxa"/>
            <w:tcBorders>
              <w:right w:val="single" w:color="000000" w:sz="10" w:space="0"/>
            </w:tcBorders>
            <w:vAlign w:val="top"/>
          </w:tcPr>
          <w:p w14:paraId="30964802">
            <w:pPr>
              <w:rPr>
                <w:rFonts w:ascii="Arial"/>
                <w:color w:val="auto"/>
                <w:sz w:val="21"/>
                <w:highlight w:val="none"/>
              </w:rPr>
            </w:pPr>
          </w:p>
        </w:tc>
      </w:tr>
      <w:tr w14:paraId="01DE8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B71387C">
            <w:pPr>
              <w:rPr>
                <w:rFonts w:ascii="Arial"/>
                <w:color w:val="auto"/>
                <w:sz w:val="21"/>
                <w:highlight w:val="none"/>
              </w:rPr>
            </w:pPr>
          </w:p>
        </w:tc>
        <w:tc>
          <w:tcPr>
            <w:tcW w:w="1983" w:type="dxa"/>
            <w:vAlign w:val="top"/>
          </w:tcPr>
          <w:p w14:paraId="046676FE">
            <w:pPr>
              <w:rPr>
                <w:rFonts w:ascii="Arial"/>
                <w:color w:val="auto"/>
                <w:sz w:val="21"/>
                <w:highlight w:val="none"/>
              </w:rPr>
            </w:pPr>
          </w:p>
        </w:tc>
        <w:tc>
          <w:tcPr>
            <w:tcW w:w="847" w:type="dxa"/>
            <w:vAlign w:val="top"/>
          </w:tcPr>
          <w:p w14:paraId="12B7AF60">
            <w:pPr>
              <w:rPr>
                <w:rFonts w:ascii="Arial"/>
                <w:color w:val="auto"/>
                <w:sz w:val="21"/>
                <w:highlight w:val="none"/>
              </w:rPr>
            </w:pPr>
          </w:p>
        </w:tc>
        <w:tc>
          <w:tcPr>
            <w:tcW w:w="771" w:type="dxa"/>
            <w:vAlign w:val="top"/>
          </w:tcPr>
          <w:p w14:paraId="18EDD77B">
            <w:pPr>
              <w:rPr>
                <w:rFonts w:ascii="Arial"/>
                <w:color w:val="auto"/>
                <w:sz w:val="21"/>
                <w:highlight w:val="none"/>
              </w:rPr>
            </w:pPr>
          </w:p>
        </w:tc>
        <w:tc>
          <w:tcPr>
            <w:tcW w:w="1350" w:type="dxa"/>
            <w:vAlign w:val="top"/>
          </w:tcPr>
          <w:p w14:paraId="44CBA27C">
            <w:pPr>
              <w:rPr>
                <w:rFonts w:ascii="Arial"/>
                <w:color w:val="auto"/>
                <w:sz w:val="21"/>
                <w:highlight w:val="none"/>
              </w:rPr>
            </w:pPr>
          </w:p>
        </w:tc>
        <w:tc>
          <w:tcPr>
            <w:tcW w:w="1413" w:type="dxa"/>
            <w:vAlign w:val="top"/>
          </w:tcPr>
          <w:p w14:paraId="3EC66991">
            <w:pPr>
              <w:rPr>
                <w:rFonts w:ascii="Arial"/>
                <w:color w:val="auto"/>
                <w:sz w:val="21"/>
                <w:highlight w:val="none"/>
              </w:rPr>
            </w:pPr>
          </w:p>
        </w:tc>
        <w:tc>
          <w:tcPr>
            <w:tcW w:w="1717" w:type="dxa"/>
            <w:tcBorders>
              <w:right w:val="single" w:color="000000" w:sz="10" w:space="0"/>
            </w:tcBorders>
            <w:vAlign w:val="top"/>
          </w:tcPr>
          <w:p w14:paraId="55D62465">
            <w:pPr>
              <w:rPr>
                <w:rFonts w:ascii="Arial"/>
                <w:color w:val="auto"/>
                <w:sz w:val="21"/>
                <w:highlight w:val="none"/>
              </w:rPr>
            </w:pPr>
          </w:p>
        </w:tc>
      </w:tr>
      <w:tr w14:paraId="6F73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6CE4F1C">
            <w:pPr>
              <w:rPr>
                <w:rFonts w:ascii="Arial"/>
                <w:color w:val="auto"/>
                <w:sz w:val="21"/>
                <w:highlight w:val="none"/>
              </w:rPr>
            </w:pPr>
          </w:p>
        </w:tc>
        <w:tc>
          <w:tcPr>
            <w:tcW w:w="1983" w:type="dxa"/>
            <w:vAlign w:val="top"/>
          </w:tcPr>
          <w:p w14:paraId="6714D9E3">
            <w:pPr>
              <w:rPr>
                <w:rFonts w:ascii="Arial"/>
                <w:color w:val="auto"/>
                <w:sz w:val="21"/>
                <w:highlight w:val="none"/>
              </w:rPr>
            </w:pPr>
          </w:p>
        </w:tc>
        <w:tc>
          <w:tcPr>
            <w:tcW w:w="847" w:type="dxa"/>
            <w:vAlign w:val="top"/>
          </w:tcPr>
          <w:p w14:paraId="1C984763">
            <w:pPr>
              <w:rPr>
                <w:rFonts w:ascii="Arial"/>
                <w:color w:val="auto"/>
                <w:sz w:val="21"/>
                <w:highlight w:val="none"/>
              </w:rPr>
            </w:pPr>
          </w:p>
        </w:tc>
        <w:tc>
          <w:tcPr>
            <w:tcW w:w="771" w:type="dxa"/>
            <w:vAlign w:val="top"/>
          </w:tcPr>
          <w:p w14:paraId="0E0CDAD4">
            <w:pPr>
              <w:rPr>
                <w:rFonts w:ascii="Arial"/>
                <w:color w:val="auto"/>
                <w:sz w:val="21"/>
                <w:highlight w:val="none"/>
              </w:rPr>
            </w:pPr>
          </w:p>
        </w:tc>
        <w:tc>
          <w:tcPr>
            <w:tcW w:w="1350" w:type="dxa"/>
            <w:vAlign w:val="top"/>
          </w:tcPr>
          <w:p w14:paraId="391778F9">
            <w:pPr>
              <w:rPr>
                <w:rFonts w:ascii="Arial"/>
                <w:color w:val="auto"/>
                <w:sz w:val="21"/>
                <w:highlight w:val="none"/>
              </w:rPr>
            </w:pPr>
          </w:p>
        </w:tc>
        <w:tc>
          <w:tcPr>
            <w:tcW w:w="1413" w:type="dxa"/>
            <w:vAlign w:val="top"/>
          </w:tcPr>
          <w:p w14:paraId="7A54645A">
            <w:pPr>
              <w:rPr>
                <w:rFonts w:ascii="Arial"/>
                <w:color w:val="auto"/>
                <w:sz w:val="21"/>
                <w:highlight w:val="none"/>
              </w:rPr>
            </w:pPr>
          </w:p>
        </w:tc>
        <w:tc>
          <w:tcPr>
            <w:tcW w:w="1717" w:type="dxa"/>
            <w:tcBorders>
              <w:right w:val="single" w:color="000000" w:sz="10" w:space="0"/>
            </w:tcBorders>
            <w:vAlign w:val="top"/>
          </w:tcPr>
          <w:p w14:paraId="495C7AE9">
            <w:pPr>
              <w:rPr>
                <w:rFonts w:ascii="Arial"/>
                <w:color w:val="auto"/>
                <w:sz w:val="21"/>
                <w:highlight w:val="none"/>
              </w:rPr>
            </w:pPr>
          </w:p>
        </w:tc>
      </w:tr>
      <w:tr w14:paraId="111F1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3A3E6EC">
            <w:pPr>
              <w:rPr>
                <w:rFonts w:ascii="Arial"/>
                <w:color w:val="auto"/>
                <w:sz w:val="21"/>
                <w:highlight w:val="none"/>
              </w:rPr>
            </w:pPr>
          </w:p>
        </w:tc>
        <w:tc>
          <w:tcPr>
            <w:tcW w:w="1983" w:type="dxa"/>
            <w:vAlign w:val="top"/>
          </w:tcPr>
          <w:p w14:paraId="60CB05FE">
            <w:pPr>
              <w:rPr>
                <w:rFonts w:ascii="Arial"/>
                <w:color w:val="auto"/>
                <w:sz w:val="21"/>
                <w:highlight w:val="none"/>
              </w:rPr>
            </w:pPr>
          </w:p>
        </w:tc>
        <w:tc>
          <w:tcPr>
            <w:tcW w:w="847" w:type="dxa"/>
            <w:vAlign w:val="top"/>
          </w:tcPr>
          <w:p w14:paraId="4AF0C2F3">
            <w:pPr>
              <w:rPr>
                <w:rFonts w:ascii="Arial"/>
                <w:color w:val="auto"/>
                <w:sz w:val="21"/>
                <w:highlight w:val="none"/>
              </w:rPr>
            </w:pPr>
          </w:p>
        </w:tc>
        <w:tc>
          <w:tcPr>
            <w:tcW w:w="771" w:type="dxa"/>
            <w:vAlign w:val="top"/>
          </w:tcPr>
          <w:p w14:paraId="3C92F92A">
            <w:pPr>
              <w:rPr>
                <w:rFonts w:ascii="Arial"/>
                <w:color w:val="auto"/>
                <w:sz w:val="21"/>
                <w:highlight w:val="none"/>
              </w:rPr>
            </w:pPr>
          </w:p>
        </w:tc>
        <w:tc>
          <w:tcPr>
            <w:tcW w:w="1350" w:type="dxa"/>
            <w:vAlign w:val="top"/>
          </w:tcPr>
          <w:p w14:paraId="2C143E62">
            <w:pPr>
              <w:rPr>
                <w:rFonts w:ascii="Arial"/>
                <w:color w:val="auto"/>
                <w:sz w:val="21"/>
                <w:highlight w:val="none"/>
              </w:rPr>
            </w:pPr>
          </w:p>
        </w:tc>
        <w:tc>
          <w:tcPr>
            <w:tcW w:w="1413" w:type="dxa"/>
            <w:vAlign w:val="top"/>
          </w:tcPr>
          <w:p w14:paraId="66020DDB">
            <w:pPr>
              <w:rPr>
                <w:rFonts w:ascii="Arial"/>
                <w:color w:val="auto"/>
                <w:sz w:val="21"/>
                <w:highlight w:val="none"/>
              </w:rPr>
            </w:pPr>
          </w:p>
        </w:tc>
        <w:tc>
          <w:tcPr>
            <w:tcW w:w="1717" w:type="dxa"/>
            <w:tcBorders>
              <w:right w:val="single" w:color="000000" w:sz="10" w:space="0"/>
            </w:tcBorders>
            <w:vAlign w:val="top"/>
          </w:tcPr>
          <w:p w14:paraId="58A67BFD">
            <w:pPr>
              <w:rPr>
                <w:rFonts w:ascii="Arial"/>
                <w:color w:val="auto"/>
                <w:sz w:val="21"/>
                <w:highlight w:val="none"/>
              </w:rPr>
            </w:pPr>
          </w:p>
        </w:tc>
      </w:tr>
      <w:tr w14:paraId="4DF15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395C67A">
            <w:pPr>
              <w:rPr>
                <w:rFonts w:ascii="Arial"/>
                <w:color w:val="auto"/>
                <w:sz w:val="21"/>
                <w:highlight w:val="none"/>
              </w:rPr>
            </w:pPr>
          </w:p>
        </w:tc>
        <w:tc>
          <w:tcPr>
            <w:tcW w:w="1983" w:type="dxa"/>
            <w:vAlign w:val="top"/>
          </w:tcPr>
          <w:p w14:paraId="7247AF63">
            <w:pPr>
              <w:rPr>
                <w:rFonts w:ascii="Arial"/>
                <w:color w:val="auto"/>
                <w:sz w:val="21"/>
                <w:highlight w:val="none"/>
              </w:rPr>
            </w:pPr>
          </w:p>
        </w:tc>
        <w:tc>
          <w:tcPr>
            <w:tcW w:w="847" w:type="dxa"/>
            <w:vAlign w:val="top"/>
          </w:tcPr>
          <w:p w14:paraId="758ED350">
            <w:pPr>
              <w:rPr>
                <w:rFonts w:ascii="Arial"/>
                <w:color w:val="auto"/>
                <w:sz w:val="21"/>
                <w:highlight w:val="none"/>
              </w:rPr>
            </w:pPr>
          </w:p>
        </w:tc>
        <w:tc>
          <w:tcPr>
            <w:tcW w:w="771" w:type="dxa"/>
            <w:vAlign w:val="top"/>
          </w:tcPr>
          <w:p w14:paraId="0883005D">
            <w:pPr>
              <w:rPr>
                <w:rFonts w:ascii="Arial"/>
                <w:color w:val="auto"/>
                <w:sz w:val="21"/>
                <w:highlight w:val="none"/>
              </w:rPr>
            </w:pPr>
          </w:p>
        </w:tc>
        <w:tc>
          <w:tcPr>
            <w:tcW w:w="1350" w:type="dxa"/>
            <w:vAlign w:val="top"/>
          </w:tcPr>
          <w:p w14:paraId="3BA625A5">
            <w:pPr>
              <w:rPr>
                <w:rFonts w:ascii="Arial"/>
                <w:color w:val="auto"/>
                <w:sz w:val="21"/>
                <w:highlight w:val="none"/>
              </w:rPr>
            </w:pPr>
          </w:p>
        </w:tc>
        <w:tc>
          <w:tcPr>
            <w:tcW w:w="1413" w:type="dxa"/>
            <w:vAlign w:val="top"/>
          </w:tcPr>
          <w:p w14:paraId="3DE81FBD">
            <w:pPr>
              <w:rPr>
                <w:rFonts w:ascii="Arial"/>
                <w:color w:val="auto"/>
                <w:sz w:val="21"/>
                <w:highlight w:val="none"/>
              </w:rPr>
            </w:pPr>
          </w:p>
        </w:tc>
        <w:tc>
          <w:tcPr>
            <w:tcW w:w="1717" w:type="dxa"/>
            <w:tcBorders>
              <w:right w:val="single" w:color="000000" w:sz="10" w:space="0"/>
            </w:tcBorders>
            <w:vAlign w:val="top"/>
          </w:tcPr>
          <w:p w14:paraId="1542411D">
            <w:pPr>
              <w:rPr>
                <w:rFonts w:ascii="Arial"/>
                <w:color w:val="auto"/>
                <w:sz w:val="21"/>
                <w:highlight w:val="none"/>
              </w:rPr>
            </w:pPr>
          </w:p>
        </w:tc>
      </w:tr>
      <w:tr w14:paraId="37ECD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3AEF7FB">
            <w:pPr>
              <w:rPr>
                <w:rFonts w:ascii="Arial"/>
                <w:color w:val="auto"/>
                <w:sz w:val="21"/>
                <w:highlight w:val="none"/>
              </w:rPr>
            </w:pPr>
          </w:p>
        </w:tc>
        <w:tc>
          <w:tcPr>
            <w:tcW w:w="1983" w:type="dxa"/>
            <w:vAlign w:val="top"/>
          </w:tcPr>
          <w:p w14:paraId="181FE521">
            <w:pPr>
              <w:rPr>
                <w:rFonts w:ascii="Arial"/>
                <w:color w:val="auto"/>
                <w:sz w:val="21"/>
                <w:highlight w:val="none"/>
              </w:rPr>
            </w:pPr>
          </w:p>
        </w:tc>
        <w:tc>
          <w:tcPr>
            <w:tcW w:w="847" w:type="dxa"/>
            <w:vAlign w:val="top"/>
          </w:tcPr>
          <w:p w14:paraId="40D4B591">
            <w:pPr>
              <w:rPr>
                <w:rFonts w:ascii="Arial"/>
                <w:color w:val="auto"/>
                <w:sz w:val="21"/>
                <w:highlight w:val="none"/>
              </w:rPr>
            </w:pPr>
          </w:p>
        </w:tc>
        <w:tc>
          <w:tcPr>
            <w:tcW w:w="771" w:type="dxa"/>
            <w:vAlign w:val="top"/>
          </w:tcPr>
          <w:p w14:paraId="439A7C05">
            <w:pPr>
              <w:rPr>
                <w:rFonts w:ascii="Arial"/>
                <w:color w:val="auto"/>
                <w:sz w:val="21"/>
                <w:highlight w:val="none"/>
              </w:rPr>
            </w:pPr>
          </w:p>
        </w:tc>
        <w:tc>
          <w:tcPr>
            <w:tcW w:w="1350" w:type="dxa"/>
            <w:vAlign w:val="top"/>
          </w:tcPr>
          <w:p w14:paraId="18F9DE7D">
            <w:pPr>
              <w:rPr>
                <w:rFonts w:ascii="Arial"/>
                <w:color w:val="auto"/>
                <w:sz w:val="21"/>
                <w:highlight w:val="none"/>
              </w:rPr>
            </w:pPr>
          </w:p>
        </w:tc>
        <w:tc>
          <w:tcPr>
            <w:tcW w:w="1413" w:type="dxa"/>
            <w:vAlign w:val="top"/>
          </w:tcPr>
          <w:p w14:paraId="3EEDD548">
            <w:pPr>
              <w:rPr>
                <w:rFonts w:ascii="Arial"/>
                <w:color w:val="auto"/>
                <w:sz w:val="21"/>
                <w:highlight w:val="none"/>
              </w:rPr>
            </w:pPr>
          </w:p>
        </w:tc>
        <w:tc>
          <w:tcPr>
            <w:tcW w:w="1717" w:type="dxa"/>
            <w:tcBorders>
              <w:right w:val="single" w:color="000000" w:sz="10" w:space="0"/>
            </w:tcBorders>
            <w:vAlign w:val="top"/>
          </w:tcPr>
          <w:p w14:paraId="05071D36">
            <w:pPr>
              <w:rPr>
                <w:rFonts w:ascii="Arial"/>
                <w:color w:val="auto"/>
                <w:sz w:val="21"/>
                <w:highlight w:val="none"/>
              </w:rPr>
            </w:pPr>
          </w:p>
        </w:tc>
      </w:tr>
      <w:tr w14:paraId="61C05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266C4070">
            <w:pPr>
              <w:rPr>
                <w:rFonts w:ascii="Arial"/>
                <w:color w:val="auto"/>
                <w:sz w:val="21"/>
                <w:highlight w:val="none"/>
              </w:rPr>
            </w:pPr>
          </w:p>
        </w:tc>
        <w:tc>
          <w:tcPr>
            <w:tcW w:w="1983" w:type="dxa"/>
            <w:vAlign w:val="top"/>
          </w:tcPr>
          <w:p w14:paraId="3DD45FBA">
            <w:pPr>
              <w:rPr>
                <w:rFonts w:ascii="Arial"/>
                <w:color w:val="auto"/>
                <w:sz w:val="21"/>
                <w:highlight w:val="none"/>
              </w:rPr>
            </w:pPr>
          </w:p>
        </w:tc>
        <w:tc>
          <w:tcPr>
            <w:tcW w:w="847" w:type="dxa"/>
            <w:vAlign w:val="top"/>
          </w:tcPr>
          <w:p w14:paraId="4ABBF274">
            <w:pPr>
              <w:rPr>
                <w:rFonts w:ascii="Arial"/>
                <w:color w:val="auto"/>
                <w:sz w:val="21"/>
                <w:highlight w:val="none"/>
              </w:rPr>
            </w:pPr>
          </w:p>
        </w:tc>
        <w:tc>
          <w:tcPr>
            <w:tcW w:w="771" w:type="dxa"/>
            <w:vAlign w:val="top"/>
          </w:tcPr>
          <w:p w14:paraId="6EED4221">
            <w:pPr>
              <w:rPr>
                <w:rFonts w:ascii="Arial"/>
                <w:color w:val="auto"/>
                <w:sz w:val="21"/>
                <w:highlight w:val="none"/>
              </w:rPr>
            </w:pPr>
          </w:p>
        </w:tc>
        <w:tc>
          <w:tcPr>
            <w:tcW w:w="1350" w:type="dxa"/>
            <w:vAlign w:val="top"/>
          </w:tcPr>
          <w:p w14:paraId="26727011">
            <w:pPr>
              <w:rPr>
                <w:rFonts w:ascii="Arial"/>
                <w:color w:val="auto"/>
                <w:sz w:val="21"/>
                <w:highlight w:val="none"/>
              </w:rPr>
            </w:pPr>
          </w:p>
        </w:tc>
        <w:tc>
          <w:tcPr>
            <w:tcW w:w="1413" w:type="dxa"/>
            <w:vAlign w:val="top"/>
          </w:tcPr>
          <w:p w14:paraId="5DB80334">
            <w:pPr>
              <w:rPr>
                <w:rFonts w:ascii="Arial"/>
                <w:color w:val="auto"/>
                <w:sz w:val="21"/>
                <w:highlight w:val="none"/>
              </w:rPr>
            </w:pPr>
          </w:p>
        </w:tc>
        <w:tc>
          <w:tcPr>
            <w:tcW w:w="1717" w:type="dxa"/>
            <w:tcBorders>
              <w:right w:val="single" w:color="000000" w:sz="10" w:space="0"/>
            </w:tcBorders>
            <w:vAlign w:val="top"/>
          </w:tcPr>
          <w:p w14:paraId="739D9C0B">
            <w:pPr>
              <w:rPr>
                <w:rFonts w:ascii="Arial"/>
                <w:color w:val="auto"/>
                <w:sz w:val="21"/>
                <w:highlight w:val="none"/>
              </w:rPr>
            </w:pPr>
          </w:p>
        </w:tc>
      </w:tr>
      <w:tr w14:paraId="115F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68C0535">
            <w:pPr>
              <w:rPr>
                <w:rFonts w:ascii="Arial"/>
                <w:color w:val="auto"/>
                <w:sz w:val="21"/>
                <w:highlight w:val="none"/>
              </w:rPr>
            </w:pPr>
          </w:p>
        </w:tc>
        <w:tc>
          <w:tcPr>
            <w:tcW w:w="1983" w:type="dxa"/>
            <w:vAlign w:val="top"/>
          </w:tcPr>
          <w:p w14:paraId="2DCCC6EA">
            <w:pPr>
              <w:rPr>
                <w:rFonts w:ascii="Arial"/>
                <w:color w:val="auto"/>
                <w:sz w:val="21"/>
                <w:highlight w:val="none"/>
              </w:rPr>
            </w:pPr>
          </w:p>
        </w:tc>
        <w:tc>
          <w:tcPr>
            <w:tcW w:w="847" w:type="dxa"/>
            <w:vAlign w:val="top"/>
          </w:tcPr>
          <w:p w14:paraId="1CC98177">
            <w:pPr>
              <w:rPr>
                <w:rFonts w:ascii="Arial"/>
                <w:color w:val="auto"/>
                <w:sz w:val="21"/>
                <w:highlight w:val="none"/>
              </w:rPr>
            </w:pPr>
          </w:p>
        </w:tc>
        <w:tc>
          <w:tcPr>
            <w:tcW w:w="771" w:type="dxa"/>
            <w:vAlign w:val="top"/>
          </w:tcPr>
          <w:p w14:paraId="206B8AAD">
            <w:pPr>
              <w:rPr>
                <w:rFonts w:ascii="Arial"/>
                <w:color w:val="auto"/>
                <w:sz w:val="21"/>
                <w:highlight w:val="none"/>
              </w:rPr>
            </w:pPr>
          </w:p>
        </w:tc>
        <w:tc>
          <w:tcPr>
            <w:tcW w:w="1350" w:type="dxa"/>
            <w:vAlign w:val="top"/>
          </w:tcPr>
          <w:p w14:paraId="249CA2F3">
            <w:pPr>
              <w:rPr>
                <w:rFonts w:ascii="Arial"/>
                <w:color w:val="auto"/>
                <w:sz w:val="21"/>
                <w:highlight w:val="none"/>
              </w:rPr>
            </w:pPr>
          </w:p>
        </w:tc>
        <w:tc>
          <w:tcPr>
            <w:tcW w:w="1413" w:type="dxa"/>
            <w:vAlign w:val="top"/>
          </w:tcPr>
          <w:p w14:paraId="1BECCB48">
            <w:pPr>
              <w:rPr>
                <w:rFonts w:ascii="Arial"/>
                <w:color w:val="auto"/>
                <w:sz w:val="21"/>
                <w:highlight w:val="none"/>
              </w:rPr>
            </w:pPr>
          </w:p>
        </w:tc>
        <w:tc>
          <w:tcPr>
            <w:tcW w:w="1717" w:type="dxa"/>
            <w:tcBorders>
              <w:right w:val="single" w:color="000000" w:sz="10" w:space="0"/>
            </w:tcBorders>
            <w:vAlign w:val="top"/>
          </w:tcPr>
          <w:p w14:paraId="5FCDFD82">
            <w:pPr>
              <w:rPr>
                <w:rFonts w:ascii="Arial"/>
                <w:color w:val="auto"/>
                <w:sz w:val="21"/>
                <w:highlight w:val="none"/>
              </w:rPr>
            </w:pPr>
          </w:p>
        </w:tc>
      </w:tr>
      <w:tr w14:paraId="0A1F6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0A21CA8">
            <w:pPr>
              <w:rPr>
                <w:rFonts w:ascii="Arial"/>
                <w:color w:val="auto"/>
                <w:sz w:val="21"/>
                <w:highlight w:val="none"/>
              </w:rPr>
            </w:pPr>
          </w:p>
        </w:tc>
        <w:tc>
          <w:tcPr>
            <w:tcW w:w="1983" w:type="dxa"/>
            <w:vAlign w:val="top"/>
          </w:tcPr>
          <w:p w14:paraId="5B3C8A3A">
            <w:pPr>
              <w:rPr>
                <w:rFonts w:ascii="Arial"/>
                <w:color w:val="auto"/>
                <w:sz w:val="21"/>
                <w:highlight w:val="none"/>
              </w:rPr>
            </w:pPr>
          </w:p>
        </w:tc>
        <w:tc>
          <w:tcPr>
            <w:tcW w:w="847" w:type="dxa"/>
            <w:vAlign w:val="top"/>
          </w:tcPr>
          <w:p w14:paraId="10757D63">
            <w:pPr>
              <w:rPr>
                <w:rFonts w:ascii="Arial"/>
                <w:color w:val="auto"/>
                <w:sz w:val="21"/>
                <w:highlight w:val="none"/>
              </w:rPr>
            </w:pPr>
          </w:p>
        </w:tc>
        <w:tc>
          <w:tcPr>
            <w:tcW w:w="771" w:type="dxa"/>
            <w:vAlign w:val="top"/>
          </w:tcPr>
          <w:p w14:paraId="1A906AE5">
            <w:pPr>
              <w:rPr>
                <w:rFonts w:ascii="Arial"/>
                <w:color w:val="auto"/>
                <w:sz w:val="21"/>
                <w:highlight w:val="none"/>
              </w:rPr>
            </w:pPr>
          </w:p>
        </w:tc>
        <w:tc>
          <w:tcPr>
            <w:tcW w:w="1350" w:type="dxa"/>
            <w:vAlign w:val="top"/>
          </w:tcPr>
          <w:p w14:paraId="7D5C416B">
            <w:pPr>
              <w:rPr>
                <w:rFonts w:ascii="Arial"/>
                <w:color w:val="auto"/>
                <w:sz w:val="21"/>
                <w:highlight w:val="none"/>
              </w:rPr>
            </w:pPr>
          </w:p>
        </w:tc>
        <w:tc>
          <w:tcPr>
            <w:tcW w:w="1413" w:type="dxa"/>
            <w:vAlign w:val="top"/>
          </w:tcPr>
          <w:p w14:paraId="081FD00D">
            <w:pPr>
              <w:rPr>
                <w:rFonts w:ascii="Arial"/>
                <w:color w:val="auto"/>
                <w:sz w:val="21"/>
                <w:highlight w:val="none"/>
              </w:rPr>
            </w:pPr>
          </w:p>
        </w:tc>
        <w:tc>
          <w:tcPr>
            <w:tcW w:w="1717" w:type="dxa"/>
            <w:tcBorders>
              <w:right w:val="single" w:color="000000" w:sz="10" w:space="0"/>
            </w:tcBorders>
            <w:vAlign w:val="top"/>
          </w:tcPr>
          <w:p w14:paraId="182F4BBF">
            <w:pPr>
              <w:rPr>
                <w:rFonts w:ascii="Arial"/>
                <w:color w:val="auto"/>
                <w:sz w:val="21"/>
                <w:highlight w:val="none"/>
              </w:rPr>
            </w:pPr>
          </w:p>
        </w:tc>
      </w:tr>
      <w:tr w14:paraId="24C3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6743C54">
            <w:pPr>
              <w:rPr>
                <w:rFonts w:ascii="Arial"/>
                <w:color w:val="auto"/>
                <w:sz w:val="21"/>
                <w:highlight w:val="none"/>
              </w:rPr>
            </w:pPr>
          </w:p>
        </w:tc>
        <w:tc>
          <w:tcPr>
            <w:tcW w:w="1983" w:type="dxa"/>
            <w:vAlign w:val="top"/>
          </w:tcPr>
          <w:p w14:paraId="6372982E">
            <w:pPr>
              <w:rPr>
                <w:rFonts w:ascii="Arial"/>
                <w:color w:val="auto"/>
                <w:sz w:val="21"/>
                <w:highlight w:val="none"/>
              </w:rPr>
            </w:pPr>
          </w:p>
        </w:tc>
        <w:tc>
          <w:tcPr>
            <w:tcW w:w="847" w:type="dxa"/>
            <w:vAlign w:val="top"/>
          </w:tcPr>
          <w:p w14:paraId="066DCA37">
            <w:pPr>
              <w:rPr>
                <w:rFonts w:ascii="Arial"/>
                <w:color w:val="auto"/>
                <w:sz w:val="21"/>
                <w:highlight w:val="none"/>
              </w:rPr>
            </w:pPr>
          </w:p>
        </w:tc>
        <w:tc>
          <w:tcPr>
            <w:tcW w:w="771" w:type="dxa"/>
            <w:vAlign w:val="top"/>
          </w:tcPr>
          <w:p w14:paraId="5522F68D">
            <w:pPr>
              <w:rPr>
                <w:rFonts w:ascii="Arial"/>
                <w:color w:val="auto"/>
                <w:sz w:val="21"/>
                <w:highlight w:val="none"/>
              </w:rPr>
            </w:pPr>
          </w:p>
        </w:tc>
        <w:tc>
          <w:tcPr>
            <w:tcW w:w="1350" w:type="dxa"/>
            <w:vAlign w:val="top"/>
          </w:tcPr>
          <w:p w14:paraId="0A0C3E2F">
            <w:pPr>
              <w:rPr>
                <w:rFonts w:ascii="Arial"/>
                <w:color w:val="auto"/>
                <w:sz w:val="21"/>
                <w:highlight w:val="none"/>
              </w:rPr>
            </w:pPr>
          </w:p>
        </w:tc>
        <w:tc>
          <w:tcPr>
            <w:tcW w:w="1413" w:type="dxa"/>
            <w:vAlign w:val="top"/>
          </w:tcPr>
          <w:p w14:paraId="54A2EA81">
            <w:pPr>
              <w:rPr>
                <w:rFonts w:ascii="Arial"/>
                <w:color w:val="auto"/>
                <w:sz w:val="21"/>
                <w:highlight w:val="none"/>
              </w:rPr>
            </w:pPr>
          </w:p>
        </w:tc>
        <w:tc>
          <w:tcPr>
            <w:tcW w:w="1717" w:type="dxa"/>
            <w:tcBorders>
              <w:right w:val="single" w:color="000000" w:sz="10" w:space="0"/>
            </w:tcBorders>
            <w:vAlign w:val="top"/>
          </w:tcPr>
          <w:p w14:paraId="02254F39">
            <w:pPr>
              <w:rPr>
                <w:rFonts w:ascii="Arial"/>
                <w:color w:val="auto"/>
                <w:sz w:val="21"/>
                <w:highlight w:val="none"/>
              </w:rPr>
            </w:pPr>
          </w:p>
        </w:tc>
      </w:tr>
      <w:tr w14:paraId="0872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F17BD6B">
            <w:pPr>
              <w:rPr>
                <w:rFonts w:ascii="Arial"/>
                <w:color w:val="auto"/>
                <w:sz w:val="21"/>
                <w:highlight w:val="none"/>
              </w:rPr>
            </w:pPr>
          </w:p>
        </w:tc>
        <w:tc>
          <w:tcPr>
            <w:tcW w:w="1983" w:type="dxa"/>
            <w:vAlign w:val="top"/>
          </w:tcPr>
          <w:p w14:paraId="256E6E49">
            <w:pPr>
              <w:rPr>
                <w:rFonts w:ascii="Arial"/>
                <w:color w:val="auto"/>
                <w:sz w:val="21"/>
                <w:highlight w:val="none"/>
              </w:rPr>
            </w:pPr>
          </w:p>
        </w:tc>
        <w:tc>
          <w:tcPr>
            <w:tcW w:w="847" w:type="dxa"/>
            <w:vAlign w:val="top"/>
          </w:tcPr>
          <w:p w14:paraId="3C4F0C42">
            <w:pPr>
              <w:rPr>
                <w:rFonts w:ascii="Arial"/>
                <w:color w:val="auto"/>
                <w:sz w:val="21"/>
                <w:highlight w:val="none"/>
              </w:rPr>
            </w:pPr>
          </w:p>
        </w:tc>
        <w:tc>
          <w:tcPr>
            <w:tcW w:w="771" w:type="dxa"/>
            <w:vAlign w:val="top"/>
          </w:tcPr>
          <w:p w14:paraId="2610C1E2">
            <w:pPr>
              <w:rPr>
                <w:rFonts w:ascii="Arial"/>
                <w:color w:val="auto"/>
                <w:sz w:val="21"/>
                <w:highlight w:val="none"/>
              </w:rPr>
            </w:pPr>
          </w:p>
        </w:tc>
        <w:tc>
          <w:tcPr>
            <w:tcW w:w="1350" w:type="dxa"/>
            <w:vAlign w:val="top"/>
          </w:tcPr>
          <w:p w14:paraId="646F22B1">
            <w:pPr>
              <w:rPr>
                <w:rFonts w:ascii="Arial"/>
                <w:color w:val="auto"/>
                <w:sz w:val="21"/>
                <w:highlight w:val="none"/>
              </w:rPr>
            </w:pPr>
          </w:p>
        </w:tc>
        <w:tc>
          <w:tcPr>
            <w:tcW w:w="1413" w:type="dxa"/>
            <w:vAlign w:val="top"/>
          </w:tcPr>
          <w:p w14:paraId="04EAB497">
            <w:pPr>
              <w:rPr>
                <w:rFonts w:ascii="Arial"/>
                <w:color w:val="auto"/>
                <w:sz w:val="21"/>
                <w:highlight w:val="none"/>
              </w:rPr>
            </w:pPr>
          </w:p>
        </w:tc>
        <w:tc>
          <w:tcPr>
            <w:tcW w:w="1717" w:type="dxa"/>
            <w:tcBorders>
              <w:right w:val="single" w:color="000000" w:sz="10" w:space="0"/>
            </w:tcBorders>
            <w:vAlign w:val="top"/>
          </w:tcPr>
          <w:p w14:paraId="3F1C5364">
            <w:pPr>
              <w:rPr>
                <w:rFonts w:ascii="Arial"/>
                <w:color w:val="auto"/>
                <w:sz w:val="21"/>
                <w:highlight w:val="none"/>
              </w:rPr>
            </w:pPr>
          </w:p>
        </w:tc>
      </w:tr>
      <w:tr w14:paraId="24DAB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B039874">
            <w:pPr>
              <w:rPr>
                <w:rFonts w:ascii="Arial"/>
                <w:color w:val="auto"/>
                <w:sz w:val="21"/>
                <w:highlight w:val="none"/>
              </w:rPr>
            </w:pPr>
          </w:p>
        </w:tc>
        <w:tc>
          <w:tcPr>
            <w:tcW w:w="1983" w:type="dxa"/>
            <w:vAlign w:val="top"/>
          </w:tcPr>
          <w:p w14:paraId="22942A84">
            <w:pPr>
              <w:rPr>
                <w:rFonts w:ascii="Arial"/>
                <w:color w:val="auto"/>
                <w:sz w:val="21"/>
                <w:highlight w:val="none"/>
              </w:rPr>
            </w:pPr>
          </w:p>
        </w:tc>
        <w:tc>
          <w:tcPr>
            <w:tcW w:w="847" w:type="dxa"/>
            <w:vAlign w:val="top"/>
          </w:tcPr>
          <w:p w14:paraId="6C386774">
            <w:pPr>
              <w:rPr>
                <w:rFonts w:ascii="Arial"/>
                <w:color w:val="auto"/>
                <w:sz w:val="21"/>
                <w:highlight w:val="none"/>
              </w:rPr>
            </w:pPr>
          </w:p>
        </w:tc>
        <w:tc>
          <w:tcPr>
            <w:tcW w:w="771" w:type="dxa"/>
            <w:vAlign w:val="top"/>
          </w:tcPr>
          <w:p w14:paraId="7AFD7195">
            <w:pPr>
              <w:rPr>
                <w:rFonts w:ascii="Arial"/>
                <w:color w:val="auto"/>
                <w:sz w:val="21"/>
                <w:highlight w:val="none"/>
              </w:rPr>
            </w:pPr>
          </w:p>
        </w:tc>
        <w:tc>
          <w:tcPr>
            <w:tcW w:w="1350" w:type="dxa"/>
            <w:vAlign w:val="top"/>
          </w:tcPr>
          <w:p w14:paraId="66CB7343">
            <w:pPr>
              <w:rPr>
                <w:rFonts w:ascii="Arial"/>
                <w:color w:val="auto"/>
                <w:sz w:val="21"/>
                <w:highlight w:val="none"/>
              </w:rPr>
            </w:pPr>
          </w:p>
        </w:tc>
        <w:tc>
          <w:tcPr>
            <w:tcW w:w="1413" w:type="dxa"/>
            <w:vAlign w:val="top"/>
          </w:tcPr>
          <w:p w14:paraId="7FA62771">
            <w:pPr>
              <w:rPr>
                <w:rFonts w:ascii="Arial"/>
                <w:color w:val="auto"/>
                <w:sz w:val="21"/>
                <w:highlight w:val="none"/>
              </w:rPr>
            </w:pPr>
          </w:p>
        </w:tc>
        <w:tc>
          <w:tcPr>
            <w:tcW w:w="1717" w:type="dxa"/>
            <w:tcBorders>
              <w:right w:val="single" w:color="000000" w:sz="10" w:space="0"/>
            </w:tcBorders>
            <w:vAlign w:val="top"/>
          </w:tcPr>
          <w:p w14:paraId="62A95FB4">
            <w:pPr>
              <w:rPr>
                <w:rFonts w:ascii="Arial"/>
                <w:color w:val="auto"/>
                <w:sz w:val="21"/>
                <w:highlight w:val="none"/>
              </w:rPr>
            </w:pPr>
          </w:p>
        </w:tc>
      </w:tr>
      <w:tr w14:paraId="59748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56516E6">
            <w:pPr>
              <w:rPr>
                <w:rFonts w:ascii="Arial"/>
                <w:color w:val="auto"/>
                <w:sz w:val="21"/>
                <w:highlight w:val="none"/>
              </w:rPr>
            </w:pPr>
          </w:p>
        </w:tc>
        <w:tc>
          <w:tcPr>
            <w:tcW w:w="1983" w:type="dxa"/>
            <w:vAlign w:val="top"/>
          </w:tcPr>
          <w:p w14:paraId="2BAFB119">
            <w:pPr>
              <w:rPr>
                <w:rFonts w:ascii="Arial"/>
                <w:color w:val="auto"/>
                <w:sz w:val="21"/>
                <w:highlight w:val="none"/>
              </w:rPr>
            </w:pPr>
          </w:p>
        </w:tc>
        <w:tc>
          <w:tcPr>
            <w:tcW w:w="847" w:type="dxa"/>
            <w:vAlign w:val="top"/>
          </w:tcPr>
          <w:p w14:paraId="5A04D0FE">
            <w:pPr>
              <w:rPr>
                <w:rFonts w:ascii="Arial"/>
                <w:color w:val="auto"/>
                <w:sz w:val="21"/>
                <w:highlight w:val="none"/>
              </w:rPr>
            </w:pPr>
          </w:p>
        </w:tc>
        <w:tc>
          <w:tcPr>
            <w:tcW w:w="771" w:type="dxa"/>
            <w:vAlign w:val="top"/>
          </w:tcPr>
          <w:p w14:paraId="3F642F2A">
            <w:pPr>
              <w:rPr>
                <w:rFonts w:ascii="Arial"/>
                <w:color w:val="auto"/>
                <w:sz w:val="21"/>
                <w:highlight w:val="none"/>
              </w:rPr>
            </w:pPr>
          </w:p>
        </w:tc>
        <w:tc>
          <w:tcPr>
            <w:tcW w:w="1350" w:type="dxa"/>
            <w:vAlign w:val="top"/>
          </w:tcPr>
          <w:p w14:paraId="3ED37DA0">
            <w:pPr>
              <w:rPr>
                <w:rFonts w:ascii="Arial"/>
                <w:color w:val="auto"/>
                <w:sz w:val="21"/>
                <w:highlight w:val="none"/>
              </w:rPr>
            </w:pPr>
          </w:p>
        </w:tc>
        <w:tc>
          <w:tcPr>
            <w:tcW w:w="1413" w:type="dxa"/>
            <w:vAlign w:val="top"/>
          </w:tcPr>
          <w:p w14:paraId="1ECB9B81">
            <w:pPr>
              <w:rPr>
                <w:rFonts w:ascii="Arial"/>
                <w:color w:val="auto"/>
                <w:sz w:val="21"/>
                <w:highlight w:val="none"/>
              </w:rPr>
            </w:pPr>
          </w:p>
        </w:tc>
        <w:tc>
          <w:tcPr>
            <w:tcW w:w="1717" w:type="dxa"/>
            <w:tcBorders>
              <w:right w:val="single" w:color="000000" w:sz="10" w:space="0"/>
            </w:tcBorders>
            <w:vAlign w:val="top"/>
          </w:tcPr>
          <w:p w14:paraId="4652CD6D">
            <w:pPr>
              <w:rPr>
                <w:rFonts w:ascii="Arial"/>
                <w:color w:val="auto"/>
                <w:sz w:val="21"/>
                <w:highlight w:val="none"/>
              </w:rPr>
            </w:pPr>
          </w:p>
        </w:tc>
      </w:tr>
      <w:tr w14:paraId="0978B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65C631B">
            <w:pPr>
              <w:rPr>
                <w:rFonts w:ascii="Arial"/>
                <w:color w:val="auto"/>
                <w:sz w:val="21"/>
                <w:highlight w:val="none"/>
              </w:rPr>
            </w:pPr>
          </w:p>
        </w:tc>
        <w:tc>
          <w:tcPr>
            <w:tcW w:w="1983" w:type="dxa"/>
            <w:vAlign w:val="top"/>
          </w:tcPr>
          <w:p w14:paraId="5EFED994">
            <w:pPr>
              <w:rPr>
                <w:rFonts w:ascii="Arial"/>
                <w:color w:val="auto"/>
                <w:sz w:val="21"/>
                <w:highlight w:val="none"/>
              </w:rPr>
            </w:pPr>
          </w:p>
        </w:tc>
        <w:tc>
          <w:tcPr>
            <w:tcW w:w="847" w:type="dxa"/>
            <w:vAlign w:val="top"/>
          </w:tcPr>
          <w:p w14:paraId="7C0BE703">
            <w:pPr>
              <w:rPr>
                <w:rFonts w:ascii="Arial"/>
                <w:color w:val="auto"/>
                <w:sz w:val="21"/>
                <w:highlight w:val="none"/>
              </w:rPr>
            </w:pPr>
          </w:p>
        </w:tc>
        <w:tc>
          <w:tcPr>
            <w:tcW w:w="771" w:type="dxa"/>
            <w:vAlign w:val="top"/>
          </w:tcPr>
          <w:p w14:paraId="5402BCEE">
            <w:pPr>
              <w:rPr>
                <w:rFonts w:ascii="Arial"/>
                <w:color w:val="auto"/>
                <w:sz w:val="21"/>
                <w:highlight w:val="none"/>
              </w:rPr>
            </w:pPr>
          </w:p>
        </w:tc>
        <w:tc>
          <w:tcPr>
            <w:tcW w:w="1350" w:type="dxa"/>
            <w:vAlign w:val="top"/>
          </w:tcPr>
          <w:p w14:paraId="2C7117DC">
            <w:pPr>
              <w:rPr>
                <w:rFonts w:ascii="Arial"/>
                <w:color w:val="auto"/>
                <w:sz w:val="21"/>
                <w:highlight w:val="none"/>
              </w:rPr>
            </w:pPr>
          </w:p>
        </w:tc>
        <w:tc>
          <w:tcPr>
            <w:tcW w:w="1413" w:type="dxa"/>
            <w:vAlign w:val="top"/>
          </w:tcPr>
          <w:p w14:paraId="381BA837">
            <w:pPr>
              <w:rPr>
                <w:rFonts w:ascii="Arial"/>
                <w:color w:val="auto"/>
                <w:sz w:val="21"/>
                <w:highlight w:val="none"/>
              </w:rPr>
            </w:pPr>
          </w:p>
        </w:tc>
        <w:tc>
          <w:tcPr>
            <w:tcW w:w="1717" w:type="dxa"/>
            <w:tcBorders>
              <w:right w:val="single" w:color="000000" w:sz="10" w:space="0"/>
            </w:tcBorders>
            <w:vAlign w:val="top"/>
          </w:tcPr>
          <w:p w14:paraId="7E285D9C">
            <w:pPr>
              <w:rPr>
                <w:rFonts w:ascii="Arial"/>
                <w:color w:val="auto"/>
                <w:sz w:val="21"/>
                <w:highlight w:val="none"/>
              </w:rPr>
            </w:pPr>
          </w:p>
        </w:tc>
      </w:tr>
      <w:tr w14:paraId="27D07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5E80DD8A">
            <w:pPr>
              <w:rPr>
                <w:rFonts w:ascii="Arial"/>
                <w:color w:val="auto"/>
                <w:sz w:val="21"/>
                <w:highlight w:val="none"/>
              </w:rPr>
            </w:pPr>
          </w:p>
        </w:tc>
        <w:tc>
          <w:tcPr>
            <w:tcW w:w="1983" w:type="dxa"/>
            <w:vAlign w:val="top"/>
          </w:tcPr>
          <w:p w14:paraId="6A00E8BA">
            <w:pPr>
              <w:rPr>
                <w:rFonts w:ascii="Arial"/>
                <w:color w:val="auto"/>
                <w:sz w:val="21"/>
                <w:highlight w:val="none"/>
              </w:rPr>
            </w:pPr>
          </w:p>
        </w:tc>
        <w:tc>
          <w:tcPr>
            <w:tcW w:w="847" w:type="dxa"/>
            <w:vAlign w:val="top"/>
          </w:tcPr>
          <w:p w14:paraId="7F40D73D">
            <w:pPr>
              <w:rPr>
                <w:rFonts w:ascii="Arial"/>
                <w:color w:val="auto"/>
                <w:sz w:val="21"/>
                <w:highlight w:val="none"/>
              </w:rPr>
            </w:pPr>
          </w:p>
        </w:tc>
        <w:tc>
          <w:tcPr>
            <w:tcW w:w="771" w:type="dxa"/>
            <w:vAlign w:val="top"/>
          </w:tcPr>
          <w:p w14:paraId="1CB039A6">
            <w:pPr>
              <w:rPr>
                <w:rFonts w:ascii="Arial"/>
                <w:color w:val="auto"/>
                <w:sz w:val="21"/>
                <w:highlight w:val="none"/>
              </w:rPr>
            </w:pPr>
          </w:p>
        </w:tc>
        <w:tc>
          <w:tcPr>
            <w:tcW w:w="1350" w:type="dxa"/>
            <w:vAlign w:val="top"/>
          </w:tcPr>
          <w:p w14:paraId="790ECA8D">
            <w:pPr>
              <w:rPr>
                <w:rFonts w:ascii="Arial"/>
                <w:color w:val="auto"/>
                <w:sz w:val="21"/>
                <w:highlight w:val="none"/>
              </w:rPr>
            </w:pPr>
          </w:p>
        </w:tc>
        <w:tc>
          <w:tcPr>
            <w:tcW w:w="1413" w:type="dxa"/>
            <w:vAlign w:val="top"/>
          </w:tcPr>
          <w:p w14:paraId="759B07DD">
            <w:pPr>
              <w:rPr>
                <w:rFonts w:ascii="Arial"/>
                <w:color w:val="auto"/>
                <w:sz w:val="21"/>
                <w:highlight w:val="none"/>
              </w:rPr>
            </w:pPr>
          </w:p>
        </w:tc>
        <w:tc>
          <w:tcPr>
            <w:tcW w:w="1717" w:type="dxa"/>
            <w:tcBorders>
              <w:right w:val="single" w:color="000000" w:sz="10" w:space="0"/>
            </w:tcBorders>
            <w:vAlign w:val="top"/>
          </w:tcPr>
          <w:p w14:paraId="0261165D">
            <w:pPr>
              <w:rPr>
                <w:rFonts w:ascii="Arial"/>
                <w:color w:val="auto"/>
                <w:sz w:val="21"/>
                <w:highlight w:val="none"/>
              </w:rPr>
            </w:pPr>
          </w:p>
        </w:tc>
      </w:tr>
      <w:tr w14:paraId="5E534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B500C92">
            <w:pPr>
              <w:rPr>
                <w:rFonts w:ascii="Arial"/>
                <w:color w:val="auto"/>
                <w:sz w:val="21"/>
                <w:highlight w:val="none"/>
              </w:rPr>
            </w:pPr>
          </w:p>
        </w:tc>
        <w:tc>
          <w:tcPr>
            <w:tcW w:w="1983" w:type="dxa"/>
            <w:vAlign w:val="top"/>
          </w:tcPr>
          <w:p w14:paraId="2910105C">
            <w:pPr>
              <w:rPr>
                <w:rFonts w:ascii="Arial"/>
                <w:color w:val="auto"/>
                <w:sz w:val="21"/>
                <w:highlight w:val="none"/>
              </w:rPr>
            </w:pPr>
          </w:p>
        </w:tc>
        <w:tc>
          <w:tcPr>
            <w:tcW w:w="847" w:type="dxa"/>
            <w:vAlign w:val="top"/>
          </w:tcPr>
          <w:p w14:paraId="7A1DC3FD">
            <w:pPr>
              <w:rPr>
                <w:rFonts w:ascii="Arial"/>
                <w:color w:val="auto"/>
                <w:sz w:val="21"/>
                <w:highlight w:val="none"/>
              </w:rPr>
            </w:pPr>
          </w:p>
        </w:tc>
        <w:tc>
          <w:tcPr>
            <w:tcW w:w="771" w:type="dxa"/>
            <w:vAlign w:val="top"/>
          </w:tcPr>
          <w:p w14:paraId="5560DCC3">
            <w:pPr>
              <w:rPr>
                <w:rFonts w:ascii="Arial"/>
                <w:color w:val="auto"/>
                <w:sz w:val="21"/>
                <w:highlight w:val="none"/>
              </w:rPr>
            </w:pPr>
          </w:p>
        </w:tc>
        <w:tc>
          <w:tcPr>
            <w:tcW w:w="1350" w:type="dxa"/>
            <w:vAlign w:val="top"/>
          </w:tcPr>
          <w:p w14:paraId="3A6131AF">
            <w:pPr>
              <w:rPr>
                <w:rFonts w:ascii="Arial"/>
                <w:color w:val="auto"/>
                <w:sz w:val="21"/>
                <w:highlight w:val="none"/>
              </w:rPr>
            </w:pPr>
          </w:p>
        </w:tc>
        <w:tc>
          <w:tcPr>
            <w:tcW w:w="1413" w:type="dxa"/>
            <w:vAlign w:val="top"/>
          </w:tcPr>
          <w:p w14:paraId="06D4B863">
            <w:pPr>
              <w:rPr>
                <w:rFonts w:ascii="Arial"/>
                <w:color w:val="auto"/>
                <w:sz w:val="21"/>
                <w:highlight w:val="none"/>
              </w:rPr>
            </w:pPr>
          </w:p>
        </w:tc>
        <w:tc>
          <w:tcPr>
            <w:tcW w:w="1717" w:type="dxa"/>
            <w:tcBorders>
              <w:right w:val="single" w:color="000000" w:sz="10" w:space="0"/>
            </w:tcBorders>
            <w:vAlign w:val="top"/>
          </w:tcPr>
          <w:p w14:paraId="2290CE46">
            <w:pPr>
              <w:rPr>
                <w:rFonts w:ascii="Arial"/>
                <w:color w:val="auto"/>
                <w:sz w:val="21"/>
                <w:highlight w:val="none"/>
              </w:rPr>
            </w:pPr>
          </w:p>
        </w:tc>
      </w:tr>
      <w:tr w14:paraId="52315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6FC7253">
            <w:pPr>
              <w:rPr>
                <w:rFonts w:ascii="Arial"/>
                <w:color w:val="auto"/>
                <w:sz w:val="21"/>
                <w:highlight w:val="none"/>
              </w:rPr>
            </w:pPr>
          </w:p>
        </w:tc>
        <w:tc>
          <w:tcPr>
            <w:tcW w:w="1983" w:type="dxa"/>
            <w:vAlign w:val="top"/>
          </w:tcPr>
          <w:p w14:paraId="7E34C78A">
            <w:pPr>
              <w:rPr>
                <w:rFonts w:ascii="Arial"/>
                <w:color w:val="auto"/>
                <w:sz w:val="21"/>
                <w:highlight w:val="none"/>
              </w:rPr>
            </w:pPr>
          </w:p>
        </w:tc>
        <w:tc>
          <w:tcPr>
            <w:tcW w:w="847" w:type="dxa"/>
            <w:vAlign w:val="top"/>
          </w:tcPr>
          <w:p w14:paraId="39A60411">
            <w:pPr>
              <w:rPr>
                <w:rFonts w:ascii="Arial"/>
                <w:color w:val="auto"/>
                <w:sz w:val="21"/>
                <w:highlight w:val="none"/>
              </w:rPr>
            </w:pPr>
          </w:p>
        </w:tc>
        <w:tc>
          <w:tcPr>
            <w:tcW w:w="771" w:type="dxa"/>
            <w:vAlign w:val="top"/>
          </w:tcPr>
          <w:p w14:paraId="5F3C670B">
            <w:pPr>
              <w:rPr>
                <w:rFonts w:ascii="Arial"/>
                <w:color w:val="auto"/>
                <w:sz w:val="21"/>
                <w:highlight w:val="none"/>
              </w:rPr>
            </w:pPr>
          </w:p>
        </w:tc>
        <w:tc>
          <w:tcPr>
            <w:tcW w:w="1350" w:type="dxa"/>
            <w:vAlign w:val="top"/>
          </w:tcPr>
          <w:p w14:paraId="01DA483E">
            <w:pPr>
              <w:rPr>
                <w:rFonts w:ascii="Arial"/>
                <w:color w:val="auto"/>
                <w:sz w:val="21"/>
                <w:highlight w:val="none"/>
              </w:rPr>
            </w:pPr>
          </w:p>
        </w:tc>
        <w:tc>
          <w:tcPr>
            <w:tcW w:w="1413" w:type="dxa"/>
            <w:vAlign w:val="top"/>
          </w:tcPr>
          <w:p w14:paraId="74436BBA">
            <w:pPr>
              <w:rPr>
                <w:rFonts w:ascii="Arial"/>
                <w:color w:val="auto"/>
                <w:sz w:val="21"/>
                <w:highlight w:val="none"/>
              </w:rPr>
            </w:pPr>
          </w:p>
        </w:tc>
        <w:tc>
          <w:tcPr>
            <w:tcW w:w="1717" w:type="dxa"/>
            <w:tcBorders>
              <w:right w:val="single" w:color="000000" w:sz="10" w:space="0"/>
            </w:tcBorders>
            <w:vAlign w:val="top"/>
          </w:tcPr>
          <w:p w14:paraId="5D27395C">
            <w:pPr>
              <w:rPr>
                <w:rFonts w:ascii="Arial"/>
                <w:color w:val="auto"/>
                <w:sz w:val="21"/>
                <w:highlight w:val="none"/>
              </w:rPr>
            </w:pPr>
          </w:p>
        </w:tc>
      </w:tr>
      <w:tr w14:paraId="5A653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0A76547">
            <w:pPr>
              <w:rPr>
                <w:rFonts w:ascii="Arial"/>
                <w:color w:val="auto"/>
                <w:sz w:val="21"/>
                <w:highlight w:val="none"/>
              </w:rPr>
            </w:pPr>
          </w:p>
        </w:tc>
        <w:tc>
          <w:tcPr>
            <w:tcW w:w="1983" w:type="dxa"/>
            <w:vAlign w:val="top"/>
          </w:tcPr>
          <w:p w14:paraId="222908F6">
            <w:pPr>
              <w:rPr>
                <w:rFonts w:ascii="Arial"/>
                <w:color w:val="auto"/>
                <w:sz w:val="21"/>
                <w:highlight w:val="none"/>
              </w:rPr>
            </w:pPr>
          </w:p>
        </w:tc>
        <w:tc>
          <w:tcPr>
            <w:tcW w:w="847" w:type="dxa"/>
            <w:vAlign w:val="top"/>
          </w:tcPr>
          <w:p w14:paraId="6E12879E">
            <w:pPr>
              <w:rPr>
                <w:rFonts w:ascii="Arial"/>
                <w:color w:val="auto"/>
                <w:sz w:val="21"/>
                <w:highlight w:val="none"/>
              </w:rPr>
            </w:pPr>
          </w:p>
        </w:tc>
        <w:tc>
          <w:tcPr>
            <w:tcW w:w="771" w:type="dxa"/>
            <w:vAlign w:val="top"/>
          </w:tcPr>
          <w:p w14:paraId="7D955821">
            <w:pPr>
              <w:rPr>
                <w:rFonts w:ascii="Arial"/>
                <w:color w:val="auto"/>
                <w:sz w:val="21"/>
                <w:highlight w:val="none"/>
              </w:rPr>
            </w:pPr>
          </w:p>
        </w:tc>
        <w:tc>
          <w:tcPr>
            <w:tcW w:w="1350" w:type="dxa"/>
            <w:vAlign w:val="top"/>
          </w:tcPr>
          <w:p w14:paraId="7A2C6060">
            <w:pPr>
              <w:rPr>
                <w:rFonts w:ascii="Arial"/>
                <w:color w:val="auto"/>
                <w:sz w:val="21"/>
                <w:highlight w:val="none"/>
              </w:rPr>
            </w:pPr>
          </w:p>
        </w:tc>
        <w:tc>
          <w:tcPr>
            <w:tcW w:w="1413" w:type="dxa"/>
            <w:vAlign w:val="top"/>
          </w:tcPr>
          <w:p w14:paraId="325CDB76">
            <w:pPr>
              <w:rPr>
                <w:rFonts w:ascii="Arial"/>
                <w:color w:val="auto"/>
                <w:sz w:val="21"/>
                <w:highlight w:val="none"/>
              </w:rPr>
            </w:pPr>
          </w:p>
        </w:tc>
        <w:tc>
          <w:tcPr>
            <w:tcW w:w="1717" w:type="dxa"/>
            <w:tcBorders>
              <w:right w:val="single" w:color="000000" w:sz="10" w:space="0"/>
            </w:tcBorders>
            <w:vAlign w:val="top"/>
          </w:tcPr>
          <w:p w14:paraId="0424B8CF">
            <w:pPr>
              <w:rPr>
                <w:rFonts w:ascii="Arial"/>
                <w:color w:val="auto"/>
                <w:sz w:val="21"/>
                <w:highlight w:val="none"/>
              </w:rPr>
            </w:pPr>
          </w:p>
        </w:tc>
      </w:tr>
      <w:tr w14:paraId="5E3E5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5EFC2AD">
            <w:pPr>
              <w:rPr>
                <w:rFonts w:ascii="Arial"/>
                <w:color w:val="auto"/>
                <w:sz w:val="21"/>
                <w:highlight w:val="none"/>
              </w:rPr>
            </w:pPr>
          </w:p>
        </w:tc>
        <w:tc>
          <w:tcPr>
            <w:tcW w:w="1983" w:type="dxa"/>
            <w:vAlign w:val="top"/>
          </w:tcPr>
          <w:p w14:paraId="5EEB991C">
            <w:pPr>
              <w:rPr>
                <w:rFonts w:ascii="Arial"/>
                <w:color w:val="auto"/>
                <w:sz w:val="21"/>
                <w:highlight w:val="none"/>
              </w:rPr>
            </w:pPr>
          </w:p>
        </w:tc>
        <w:tc>
          <w:tcPr>
            <w:tcW w:w="847" w:type="dxa"/>
            <w:vAlign w:val="top"/>
          </w:tcPr>
          <w:p w14:paraId="51F62838">
            <w:pPr>
              <w:rPr>
                <w:rFonts w:ascii="Arial"/>
                <w:color w:val="auto"/>
                <w:sz w:val="21"/>
                <w:highlight w:val="none"/>
              </w:rPr>
            </w:pPr>
          </w:p>
        </w:tc>
        <w:tc>
          <w:tcPr>
            <w:tcW w:w="771" w:type="dxa"/>
            <w:vAlign w:val="top"/>
          </w:tcPr>
          <w:p w14:paraId="0C8B5A4C">
            <w:pPr>
              <w:rPr>
                <w:rFonts w:ascii="Arial"/>
                <w:color w:val="auto"/>
                <w:sz w:val="21"/>
                <w:highlight w:val="none"/>
              </w:rPr>
            </w:pPr>
          </w:p>
        </w:tc>
        <w:tc>
          <w:tcPr>
            <w:tcW w:w="1350" w:type="dxa"/>
            <w:vAlign w:val="top"/>
          </w:tcPr>
          <w:p w14:paraId="52E807F1">
            <w:pPr>
              <w:rPr>
                <w:rFonts w:ascii="Arial"/>
                <w:color w:val="auto"/>
                <w:sz w:val="21"/>
                <w:highlight w:val="none"/>
              </w:rPr>
            </w:pPr>
          </w:p>
        </w:tc>
        <w:tc>
          <w:tcPr>
            <w:tcW w:w="1413" w:type="dxa"/>
            <w:vAlign w:val="top"/>
          </w:tcPr>
          <w:p w14:paraId="4E361CFD">
            <w:pPr>
              <w:rPr>
                <w:rFonts w:ascii="Arial"/>
                <w:color w:val="auto"/>
                <w:sz w:val="21"/>
                <w:highlight w:val="none"/>
              </w:rPr>
            </w:pPr>
          </w:p>
        </w:tc>
        <w:tc>
          <w:tcPr>
            <w:tcW w:w="1717" w:type="dxa"/>
            <w:tcBorders>
              <w:right w:val="single" w:color="000000" w:sz="10" w:space="0"/>
            </w:tcBorders>
            <w:vAlign w:val="top"/>
          </w:tcPr>
          <w:p w14:paraId="770BC3C6">
            <w:pPr>
              <w:rPr>
                <w:rFonts w:ascii="Arial"/>
                <w:color w:val="auto"/>
                <w:sz w:val="21"/>
                <w:highlight w:val="none"/>
              </w:rPr>
            </w:pPr>
          </w:p>
        </w:tc>
      </w:tr>
      <w:tr w14:paraId="6B312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0AA684D">
            <w:pPr>
              <w:rPr>
                <w:rFonts w:ascii="Arial"/>
                <w:color w:val="auto"/>
                <w:sz w:val="21"/>
                <w:highlight w:val="none"/>
              </w:rPr>
            </w:pPr>
          </w:p>
        </w:tc>
        <w:tc>
          <w:tcPr>
            <w:tcW w:w="1983" w:type="dxa"/>
            <w:vAlign w:val="top"/>
          </w:tcPr>
          <w:p w14:paraId="526D3A85">
            <w:pPr>
              <w:rPr>
                <w:rFonts w:ascii="Arial"/>
                <w:color w:val="auto"/>
                <w:sz w:val="21"/>
                <w:highlight w:val="none"/>
              </w:rPr>
            </w:pPr>
          </w:p>
        </w:tc>
        <w:tc>
          <w:tcPr>
            <w:tcW w:w="847" w:type="dxa"/>
            <w:vAlign w:val="top"/>
          </w:tcPr>
          <w:p w14:paraId="3B38ADFD">
            <w:pPr>
              <w:rPr>
                <w:rFonts w:ascii="Arial"/>
                <w:color w:val="auto"/>
                <w:sz w:val="21"/>
                <w:highlight w:val="none"/>
              </w:rPr>
            </w:pPr>
          </w:p>
        </w:tc>
        <w:tc>
          <w:tcPr>
            <w:tcW w:w="771" w:type="dxa"/>
            <w:vAlign w:val="top"/>
          </w:tcPr>
          <w:p w14:paraId="46071EE1">
            <w:pPr>
              <w:rPr>
                <w:rFonts w:ascii="Arial"/>
                <w:color w:val="auto"/>
                <w:sz w:val="21"/>
                <w:highlight w:val="none"/>
              </w:rPr>
            </w:pPr>
          </w:p>
        </w:tc>
        <w:tc>
          <w:tcPr>
            <w:tcW w:w="1350" w:type="dxa"/>
            <w:vAlign w:val="top"/>
          </w:tcPr>
          <w:p w14:paraId="58B1E8AA">
            <w:pPr>
              <w:rPr>
                <w:rFonts w:ascii="Arial"/>
                <w:color w:val="auto"/>
                <w:sz w:val="21"/>
                <w:highlight w:val="none"/>
              </w:rPr>
            </w:pPr>
          </w:p>
        </w:tc>
        <w:tc>
          <w:tcPr>
            <w:tcW w:w="1413" w:type="dxa"/>
            <w:vAlign w:val="top"/>
          </w:tcPr>
          <w:p w14:paraId="6401B678">
            <w:pPr>
              <w:rPr>
                <w:rFonts w:ascii="Arial"/>
                <w:color w:val="auto"/>
                <w:sz w:val="21"/>
                <w:highlight w:val="none"/>
              </w:rPr>
            </w:pPr>
          </w:p>
        </w:tc>
        <w:tc>
          <w:tcPr>
            <w:tcW w:w="1717" w:type="dxa"/>
            <w:tcBorders>
              <w:right w:val="single" w:color="000000" w:sz="10" w:space="0"/>
            </w:tcBorders>
            <w:vAlign w:val="top"/>
          </w:tcPr>
          <w:p w14:paraId="00A12AC3">
            <w:pPr>
              <w:rPr>
                <w:rFonts w:ascii="Arial"/>
                <w:color w:val="auto"/>
                <w:sz w:val="21"/>
                <w:highlight w:val="none"/>
              </w:rPr>
            </w:pPr>
          </w:p>
        </w:tc>
      </w:tr>
      <w:tr w14:paraId="723D8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6D5EE4B">
            <w:pPr>
              <w:rPr>
                <w:rFonts w:ascii="Arial"/>
                <w:color w:val="auto"/>
                <w:sz w:val="21"/>
                <w:highlight w:val="none"/>
              </w:rPr>
            </w:pPr>
          </w:p>
        </w:tc>
        <w:tc>
          <w:tcPr>
            <w:tcW w:w="1983" w:type="dxa"/>
            <w:vAlign w:val="top"/>
          </w:tcPr>
          <w:p w14:paraId="0D195DDE">
            <w:pPr>
              <w:rPr>
                <w:rFonts w:ascii="Arial"/>
                <w:color w:val="auto"/>
                <w:sz w:val="21"/>
                <w:highlight w:val="none"/>
              </w:rPr>
            </w:pPr>
          </w:p>
        </w:tc>
        <w:tc>
          <w:tcPr>
            <w:tcW w:w="847" w:type="dxa"/>
            <w:vAlign w:val="top"/>
          </w:tcPr>
          <w:p w14:paraId="5A2E5E1C">
            <w:pPr>
              <w:rPr>
                <w:rFonts w:ascii="Arial"/>
                <w:color w:val="auto"/>
                <w:sz w:val="21"/>
                <w:highlight w:val="none"/>
              </w:rPr>
            </w:pPr>
          </w:p>
        </w:tc>
        <w:tc>
          <w:tcPr>
            <w:tcW w:w="771" w:type="dxa"/>
            <w:vAlign w:val="top"/>
          </w:tcPr>
          <w:p w14:paraId="16F8289A">
            <w:pPr>
              <w:rPr>
                <w:rFonts w:ascii="Arial"/>
                <w:color w:val="auto"/>
                <w:sz w:val="21"/>
                <w:highlight w:val="none"/>
              </w:rPr>
            </w:pPr>
          </w:p>
        </w:tc>
        <w:tc>
          <w:tcPr>
            <w:tcW w:w="1350" w:type="dxa"/>
            <w:vAlign w:val="top"/>
          </w:tcPr>
          <w:p w14:paraId="53B82006">
            <w:pPr>
              <w:rPr>
                <w:rFonts w:ascii="Arial"/>
                <w:color w:val="auto"/>
                <w:sz w:val="21"/>
                <w:highlight w:val="none"/>
              </w:rPr>
            </w:pPr>
          </w:p>
        </w:tc>
        <w:tc>
          <w:tcPr>
            <w:tcW w:w="1413" w:type="dxa"/>
            <w:vAlign w:val="top"/>
          </w:tcPr>
          <w:p w14:paraId="183F6D26">
            <w:pPr>
              <w:rPr>
                <w:rFonts w:ascii="Arial"/>
                <w:color w:val="auto"/>
                <w:sz w:val="21"/>
                <w:highlight w:val="none"/>
              </w:rPr>
            </w:pPr>
          </w:p>
        </w:tc>
        <w:tc>
          <w:tcPr>
            <w:tcW w:w="1717" w:type="dxa"/>
            <w:tcBorders>
              <w:right w:val="single" w:color="000000" w:sz="10" w:space="0"/>
            </w:tcBorders>
            <w:vAlign w:val="top"/>
          </w:tcPr>
          <w:p w14:paraId="5ACD2DCC">
            <w:pPr>
              <w:rPr>
                <w:rFonts w:ascii="Arial"/>
                <w:color w:val="auto"/>
                <w:sz w:val="21"/>
                <w:highlight w:val="none"/>
              </w:rPr>
            </w:pPr>
          </w:p>
        </w:tc>
      </w:tr>
      <w:tr w14:paraId="0B6E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05DA743">
            <w:pPr>
              <w:rPr>
                <w:rFonts w:ascii="Arial"/>
                <w:color w:val="auto"/>
                <w:sz w:val="21"/>
                <w:highlight w:val="none"/>
              </w:rPr>
            </w:pPr>
          </w:p>
        </w:tc>
        <w:tc>
          <w:tcPr>
            <w:tcW w:w="1983" w:type="dxa"/>
            <w:vAlign w:val="top"/>
          </w:tcPr>
          <w:p w14:paraId="5DCED684">
            <w:pPr>
              <w:rPr>
                <w:rFonts w:ascii="Arial"/>
                <w:color w:val="auto"/>
                <w:sz w:val="21"/>
                <w:highlight w:val="none"/>
              </w:rPr>
            </w:pPr>
          </w:p>
        </w:tc>
        <w:tc>
          <w:tcPr>
            <w:tcW w:w="847" w:type="dxa"/>
            <w:vAlign w:val="top"/>
          </w:tcPr>
          <w:p w14:paraId="72F24032">
            <w:pPr>
              <w:rPr>
                <w:rFonts w:ascii="Arial"/>
                <w:color w:val="auto"/>
                <w:sz w:val="21"/>
                <w:highlight w:val="none"/>
              </w:rPr>
            </w:pPr>
          </w:p>
        </w:tc>
        <w:tc>
          <w:tcPr>
            <w:tcW w:w="771" w:type="dxa"/>
            <w:vAlign w:val="top"/>
          </w:tcPr>
          <w:p w14:paraId="4A936B3F">
            <w:pPr>
              <w:rPr>
                <w:rFonts w:ascii="Arial"/>
                <w:color w:val="auto"/>
                <w:sz w:val="21"/>
                <w:highlight w:val="none"/>
              </w:rPr>
            </w:pPr>
          </w:p>
        </w:tc>
        <w:tc>
          <w:tcPr>
            <w:tcW w:w="1350" w:type="dxa"/>
            <w:vAlign w:val="top"/>
          </w:tcPr>
          <w:p w14:paraId="2634F951">
            <w:pPr>
              <w:rPr>
                <w:rFonts w:ascii="Arial"/>
                <w:color w:val="auto"/>
                <w:sz w:val="21"/>
                <w:highlight w:val="none"/>
              </w:rPr>
            </w:pPr>
          </w:p>
        </w:tc>
        <w:tc>
          <w:tcPr>
            <w:tcW w:w="1413" w:type="dxa"/>
            <w:vAlign w:val="top"/>
          </w:tcPr>
          <w:p w14:paraId="505B1550">
            <w:pPr>
              <w:rPr>
                <w:rFonts w:ascii="Arial"/>
                <w:color w:val="auto"/>
                <w:sz w:val="21"/>
                <w:highlight w:val="none"/>
              </w:rPr>
            </w:pPr>
          </w:p>
        </w:tc>
        <w:tc>
          <w:tcPr>
            <w:tcW w:w="1717" w:type="dxa"/>
            <w:tcBorders>
              <w:right w:val="single" w:color="000000" w:sz="10" w:space="0"/>
            </w:tcBorders>
            <w:vAlign w:val="top"/>
          </w:tcPr>
          <w:p w14:paraId="76E3809D">
            <w:pPr>
              <w:rPr>
                <w:rFonts w:ascii="Arial"/>
                <w:color w:val="auto"/>
                <w:sz w:val="21"/>
                <w:highlight w:val="none"/>
              </w:rPr>
            </w:pPr>
          </w:p>
        </w:tc>
      </w:tr>
      <w:tr w14:paraId="33836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596FD0D0">
            <w:pPr>
              <w:rPr>
                <w:rFonts w:ascii="Arial"/>
                <w:color w:val="auto"/>
                <w:sz w:val="21"/>
                <w:highlight w:val="none"/>
              </w:rPr>
            </w:pPr>
          </w:p>
        </w:tc>
        <w:tc>
          <w:tcPr>
            <w:tcW w:w="1983" w:type="dxa"/>
            <w:tcBorders>
              <w:bottom w:val="single" w:color="000000" w:sz="10" w:space="0"/>
            </w:tcBorders>
            <w:vAlign w:val="top"/>
          </w:tcPr>
          <w:p w14:paraId="45519F4A">
            <w:pPr>
              <w:rPr>
                <w:rFonts w:ascii="Arial"/>
                <w:color w:val="auto"/>
                <w:sz w:val="21"/>
                <w:highlight w:val="none"/>
              </w:rPr>
            </w:pPr>
          </w:p>
        </w:tc>
        <w:tc>
          <w:tcPr>
            <w:tcW w:w="847" w:type="dxa"/>
            <w:tcBorders>
              <w:bottom w:val="single" w:color="000000" w:sz="10" w:space="0"/>
            </w:tcBorders>
            <w:vAlign w:val="top"/>
          </w:tcPr>
          <w:p w14:paraId="4FD14631">
            <w:pPr>
              <w:rPr>
                <w:rFonts w:ascii="Arial"/>
                <w:color w:val="auto"/>
                <w:sz w:val="21"/>
                <w:highlight w:val="none"/>
              </w:rPr>
            </w:pPr>
          </w:p>
        </w:tc>
        <w:tc>
          <w:tcPr>
            <w:tcW w:w="771" w:type="dxa"/>
            <w:tcBorders>
              <w:bottom w:val="single" w:color="000000" w:sz="10" w:space="0"/>
            </w:tcBorders>
            <w:vAlign w:val="top"/>
          </w:tcPr>
          <w:p w14:paraId="484117CD">
            <w:pPr>
              <w:rPr>
                <w:rFonts w:ascii="Arial"/>
                <w:color w:val="auto"/>
                <w:sz w:val="21"/>
                <w:highlight w:val="none"/>
              </w:rPr>
            </w:pPr>
          </w:p>
        </w:tc>
        <w:tc>
          <w:tcPr>
            <w:tcW w:w="1350" w:type="dxa"/>
            <w:tcBorders>
              <w:bottom w:val="single" w:color="000000" w:sz="10" w:space="0"/>
            </w:tcBorders>
            <w:vAlign w:val="top"/>
          </w:tcPr>
          <w:p w14:paraId="3A85AAF6">
            <w:pPr>
              <w:rPr>
                <w:rFonts w:ascii="Arial"/>
                <w:color w:val="auto"/>
                <w:sz w:val="21"/>
                <w:highlight w:val="none"/>
              </w:rPr>
            </w:pPr>
          </w:p>
        </w:tc>
        <w:tc>
          <w:tcPr>
            <w:tcW w:w="1413" w:type="dxa"/>
            <w:tcBorders>
              <w:bottom w:val="single" w:color="000000" w:sz="10" w:space="0"/>
            </w:tcBorders>
            <w:vAlign w:val="top"/>
          </w:tcPr>
          <w:p w14:paraId="0DEEBA85">
            <w:pPr>
              <w:rPr>
                <w:rFonts w:ascii="Arial"/>
                <w:color w:val="auto"/>
                <w:sz w:val="21"/>
                <w:highlight w:val="none"/>
              </w:rPr>
            </w:pPr>
          </w:p>
        </w:tc>
        <w:tc>
          <w:tcPr>
            <w:tcW w:w="1717" w:type="dxa"/>
            <w:tcBorders>
              <w:bottom w:val="single" w:color="000000" w:sz="10" w:space="0"/>
              <w:right w:val="single" w:color="000000" w:sz="10" w:space="0"/>
            </w:tcBorders>
            <w:vAlign w:val="top"/>
          </w:tcPr>
          <w:p w14:paraId="17C9579A">
            <w:pPr>
              <w:rPr>
                <w:rFonts w:ascii="Arial"/>
                <w:color w:val="auto"/>
                <w:sz w:val="21"/>
                <w:highlight w:val="none"/>
              </w:rPr>
            </w:pPr>
          </w:p>
        </w:tc>
      </w:tr>
    </w:tbl>
    <w:p w14:paraId="71396889">
      <w:pPr>
        <w:pStyle w:val="5"/>
        <w:rPr>
          <w:color w:val="auto"/>
          <w:highlight w:val="none"/>
        </w:rPr>
      </w:pPr>
    </w:p>
    <w:p w14:paraId="523D0814">
      <w:pPr>
        <w:rPr>
          <w:color w:val="auto"/>
          <w:highlight w:val="none"/>
        </w:rPr>
        <w:sectPr>
          <w:footerReference r:id="rId113" w:type="default"/>
          <w:pgSz w:w="11905" w:h="16839"/>
          <w:pgMar w:top="400" w:right="1114" w:bottom="1004" w:left="1680" w:header="0" w:footer="828" w:gutter="0"/>
          <w:pgNumType w:fmt="decimal"/>
          <w:cols w:space="720" w:num="1"/>
        </w:sectPr>
      </w:pPr>
    </w:p>
    <w:p w14:paraId="76ED6C4E">
      <w:pPr>
        <w:pStyle w:val="5"/>
        <w:spacing w:line="265" w:lineRule="auto"/>
        <w:rPr>
          <w:color w:val="auto"/>
          <w:highlight w:val="none"/>
        </w:rPr>
      </w:pPr>
    </w:p>
    <w:p w14:paraId="44B51CDC">
      <w:pPr>
        <w:pStyle w:val="5"/>
        <w:spacing w:line="265" w:lineRule="auto"/>
        <w:rPr>
          <w:color w:val="auto"/>
          <w:highlight w:val="none"/>
        </w:rPr>
      </w:pPr>
    </w:p>
    <w:p w14:paraId="51DFD9E5">
      <w:pPr>
        <w:pStyle w:val="5"/>
        <w:spacing w:line="265" w:lineRule="auto"/>
        <w:rPr>
          <w:color w:val="auto"/>
          <w:highlight w:val="none"/>
        </w:rPr>
      </w:pPr>
    </w:p>
    <w:p w14:paraId="25AAC75A">
      <w:pPr>
        <w:pStyle w:val="5"/>
        <w:spacing w:line="266" w:lineRule="auto"/>
        <w:rPr>
          <w:color w:val="auto"/>
          <w:highlight w:val="none"/>
        </w:rPr>
      </w:pPr>
    </w:p>
    <w:p w14:paraId="27BF3E3F">
      <w:pPr>
        <w:spacing w:before="88" w:line="225" w:lineRule="auto"/>
        <w:ind w:left="2742"/>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4"/>
          <w:szCs w:val="24"/>
          <w:highlight w:val="none"/>
        </w:rPr>
        <w:t>11-3</w:t>
      </w:r>
      <w:r>
        <w:rPr>
          <w:rFonts w:ascii="宋体" w:hAnsi="宋体" w:eastAsia="宋体" w:cs="宋体"/>
          <w:color w:val="auto"/>
          <w:spacing w:val="2"/>
          <w:sz w:val="24"/>
          <w:szCs w:val="24"/>
          <w:highlight w:val="none"/>
        </w:rPr>
        <w:t>：</w:t>
      </w:r>
      <w:r>
        <w:rPr>
          <w:rFonts w:ascii="黑体" w:hAnsi="黑体" w:eastAsia="黑体" w:cs="黑体"/>
          <w:color w:val="auto"/>
          <w:spacing w:val="2"/>
          <w:sz w:val="27"/>
          <w:szCs w:val="27"/>
          <w:highlight w:val="none"/>
        </w:rPr>
        <w:t>专业工程暂估价表</w:t>
      </w:r>
    </w:p>
    <w:p w14:paraId="1D62A455">
      <w:pPr>
        <w:spacing w:line="117" w:lineRule="exact"/>
        <w:rPr>
          <w:color w:val="auto"/>
          <w:highlight w:val="none"/>
        </w:rPr>
      </w:pPr>
    </w:p>
    <w:tbl>
      <w:tblPr>
        <w:tblStyle w:val="17"/>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7A6A7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0B11E4A6">
            <w:pPr>
              <w:pStyle w:val="18"/>
              <w:spacing w:before="177" w:line="222" w:lineRule="auto"/>
              <w:ind w:left="227"/>
              <w:rPr>
                <w:color w:val="auto"/>
                <w:highlight w:val="none"/>
              </w:rPr>
            </w:pPr>
            <w:r>
              <w:rPr>
                <w:color w:val="auto"/>
                <w:spacing w:val="-2"/>
                <w:highlight w:val="none"/>
              </w:rPr>
              <w:t>序号</w:t>
            </w:r>
          </w:p>
        </w:tc>
        <w:tc>
          <w:tcPr>
            <w:tcW w:w="1983" w:type="dxa"/>
            <w:tcBorders>
              <w:top w:val="single" w:color="000000" w:sz="10" w:space="0"/>
            </w:tcBorders>
            <w:vAlign w:val="top"/>
          </w:tcPr>
          <w:p w14:paraId="1AA82C96">
            <w:pPr>
              <w:pStyle w:val="18"/>
              <w:spacing w:before="177" w:line="221" w:lineRule="auto"/>
              <w:ind w:left="362"/>
              <w:rPr>
                <w:color w:val="auto"/>
                <w:highlight w:val="none"/>
              </w:rPr>
            </w:pPr>
            <w:r>
              <w:rPr>
                <w:color w:val="auto"/>
                <w:spacing w:val="-1"/>
                <w:highlight w:val="none"/>
              </w:rPr>
              <w:t>专业工程名称</w:t>
            </w:r>
          </w:p>
        </w:tc>
        <w:tc>
          <w:tcPr>
            <w:tcW w:w="4664" w:type="dxa"/>
            <w:tcBorders>
              <w:top w:val="single" w:color="000000" w:sz="10" w:space="0"/>
            </w:tcBorders>
            <w:vAlign w:val="top"/>
          </w:tcPr>
          <w:p w14:paraId="44716059">
            <w:pPr>
              <w:pStyle w:val="18"/>
              <w:spacing w:before="177" w:line="221" w:lineRule="auto"/>
              <w:ind w:left="1924"/>
              <w:rPr>
                <w:color w:val="auto"/>
                <w:highlight w:val="none"/>
              </w:rPr>
            </w:pPr>
            <w:r>
              <w:rPr>
                <w:color w:val="auto"/>
                <w:spacing w:val="-2"/>
                <w:highlight w:val="none"/>
              </w:rPr>
              <w:t>工程内容</w:t>
            </w:r>
          </w:p>
        </w:tc>
        <w:tc>
          <w:tcPr>
            <w:tcW w:w="1290" w:type="dxa"/>
            <w:tcBorders>
              <w:top w:val="single" w:color="000000" w:sz="10" w:space="0"/>
              <w:right w:val="single" w:color="000000" w:sz="10" w:space="0"/>
            </w:tcBorders>
            <w:vAlign w:val="top"/>
          </w:tcPr>
          <w:p w14:paraId="66AA04D4">
            <w:pPr>
              <w:pStyle w:val="18"/>
              <w:spacing w:before="177" w:line="221" w:lineRule="auto"/>
              <w:ind w:left="443"/>
              <w:rPr>
                <w:color w:val="auto"/>
                <w:highlight w:val="none"/>
              </w:rPr>
            </w:pPr>
            <w:r>
              <w:rPr>
                <w:color w:val="auto"/>
                <w:spacing w:val="-2"/>
                <w:highlight w:val="none"/>
              </w:rPr>
              <w:t>金额</w:t>
            </w:r>
          </w:p>
        </w:tc>
      </w:tr>
      <w:tr w14:paraId="08D9F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3F007216">
            <w:pPr>
              <w:rPr>
                <w:rFonts w:ascii="Arial"/>
                <w:color w:val="auto"/>
                <w:sz w:val="21"/>
                <w:highlight w:val="none"/>
              </w:rPr>
            </w:pPr>
          </w:p>
        </w:tc>
        <w:tc>
          <w:tcPr>
            <w:tcW w:w="1983" w:type="dxa"/>
            <w:vAlign w:val="top"/>
          </w:tcPr>
          <w:p w14:paraId="5EB45CBA">
            <w:pPr>
              <w:rPr>
                <w:rFonts w:ascii="Arial"/>
                <w:color w:val="auto"/>
                <w:sz w:val="21"/>
                <w:highlight w:val="none"/>
              </w:rPr>
            </w:pPr>
          </w:p>
        </w:tc>
        <w:tc>
          <w:tcPr>
            <w:tcW w:w="4664" w:type="dxa"/>
            <w:vAlign w:val="top"/>
          </w:tcPr>
          <w:p w14:paraId="4C59A60B">
            <w:pPr>
              <w:rPr>
                <w:rFonts w:ascii="Arial"/>
                <w:color w:val="auto"/>
                <w:sz w:val="21"/>
                <w:highlight w:val="none"/>
              </w:rPr>
            </w:pPr>
          </w:p>
        </w:tc>
        <w:tc>
          <w:tcPr>
            <w:tcW w:w="1290" w:type="dxa"/>
            <w:tcBorders>
              <w:right w:val="single" w:color="000000" w:sz="10" w:space="0"/>
            </w:tcBorders>
            <w:vAlign w:val="top"/>
          </w:tcPr>
          <w:p w14:paraId="1F287651">
            <w:pPr>
              <w:rPr>
                <w:rFonts w:ascii="Arial"/>
                <w:color w:val="auto"/>
                <w:sz w:val="21"/>
                <w:highlight w:val="none"/>
              </w:rPr>
            </w:pPr>
          </w:p>
        </w:tc>
      </w:tr>
      <w:tr w14:paraId="1905A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F1285F7">
            <w:pPr>
              <w:rPr>
                <w:rFonts w:ascii="Arial"/>
                <w:color w:val="auto"/>
                <w:sz w:val="21"/>
                <w:highlight w:val="none"/>
              </w:rPr>
            </w:pPr>
          </w:p>
        </w:tc>
        <w:tc>
          <w:tcPr>
            <w:tcW w:w="1983" w:type="dxa"/>
            <w:vAlign w:val="top"/>
          </w:tcPr>
          <w:p w14:paraId="65FF9DF2">
            <w:pPr>
              <w:rPr>
                <w:rFonts w:ascii="Arial"/>
                <w:color w:val="auto"/>
                <w:sz w:val="21"/>
                <w:highlight w:val="none"/>
              </w:rPr>
            </w:pPr>
          </w:p>
        </w:tc>
        <w:tc>
          <w:tcPr>
            <w:tcW w:w="4664" w:type="dxa"/>
            <w:vAlign w:val="top"/>
          </w:tcPr>
          <w:p w14:paraId="3FC212A9">
            <w:pPr>
              <w:rPr>
                <w:rFonts w:ascii="Arial"/>
                <w:color w:val="auto"/>
                <w:sz w:val="21"/>
                <w:highlight w:val="none"/>
              </w:rPr>
            </w:pPr>
          </w:p>
        </w:tc>
        <w:tc>
          <w:tcPr>
            <w:tcW w:w="1290" w:type="dxa"/>
            <w:tcBorders>
              <w:right w:val="single" w:color="000000" w:sz="10" w:space="0"/>
            </w:tcBorders>
            <w:vAlign w:val="top"/>
          </w:tcPr>
          <w:p w14:paraId="00495653">
            <w:pPr>
              <w:rPr>
                <w:rFonts w:ascii="Arial"/>
                <w:color w:val="auto"/>
                <w:sz w:val="21"/>
                <w:highlight w:val="none"/>
              </w:rPr>
            </w:pPr>
          </w:p>
        </w:tc>
      </w:tr>
      <w:tr w14:paraId="3F9CD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61667BA">
            <w:pPr>
              <w:rPr>
                <w:rFonts w:ascii="Arial"/>
                <w:color w:val="auto"/>
                <w:sz w:val="21"/>
                <w:highlight w:val="none"/>
              </w:rPr>
            </w:pPr>
          </w:p>
        </w:tc>
        <w:tc>
          <w:tcPr>
            <w:tcW w:w="1983" w:type="dxa"/>
            <w:vAlign w:val="top"/>
          </w:tcPr>
          <w:p w14:paraId="17B103BD">
            <w:pPr>
              <w:rPr>
                <w:rFonts w:ascii="Arial"/>
                <w:color w:val="auto"/>
                <w:sz w:val="21"/>
                <w:highlight w:val="none"/>
              </w:rPr>
            </w:pPr>
          </w:p>
        </w:tc>
        <w:tc>
          <w:tcPr>
            <w:tcW w:w="4664" w:type="dxa"/>
            <w:vAlign w:val="top"/>
          </w:tcPr>
          <w:p w14:paraId="0FAED6CA">
            <w:pPr>
              <w:rPr>
                <w:rFonts w:ascii="Arial"/>
                <w:color w:val="auto"/>
                <w:sz w:val="21"/>
                <w:highlight w:val="none"/>
              </w:rPr>
            </w:pPr>
          </w:p>
        </w:tc>
        <w:tc>
          <w:tcPr>
            <w:tcW w:w="1290" w:type="dxa"/>
            <w:tcBorders>
              <w:right w:val="single" w:color="000000" w:sz="10" w:space="0"/>
            </w:tcBorders>
            <w:vAlign w:val="top"/>
          </w:tcPr>
          <w:p w14:paraId="79F03282">
            <w:pPr>
              <w:rPr>
                <w:rFonts w:ascii="Arial"/>
                <w:color w:val="auto"/>
                <w:sz w:val="21"/>
                <w:highlight w:val="none"/>
              </w:rPr>
            </w:pPr>
          </w:p>
        </w:tc>
      </w:tr>
      <w:tr w14:paraId="7A1C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7F3FB11">
            <w:pPr>
              <w:rPr>
                <w:rFonts w:ascii="Arial"/>
                <w:color w:val="auto"/>
                <w:sz w:val="21"/>
                <w:highlight w:val="none"/>
              </w:rPr>
            </w:pPr>
          </w:p>
        </w:tc>
        <w:tc>
          <w:tcPr>
            <w:tcW w:w="1983" w:type="dxa"/>
            <w:vAlign w:val="top"/>
          </w:tcPr>
          <w:p w14:paraId="29281B06">
            <w:pPr>
              <w:rPr>
                <w:rFonts w:ascii="Arial"/>
                <w:color w:val="auto"/>
                <w:sz w:val="21"/>
                <w:highlight w:val="none"/>
              </w:rPr>
            </w:pPr>
          </w:p>
        </w:tc>
        <w:tc>
          <w:tcPr>
            <w:tcW w:w="4664" w:type="dxa"/>
            <w:vAlign w:val="top"/>
          </w:tcPr>
          <w:p w14:paraId="4AEE2D6E">
            <w:pPr>
              <w:rPr>
                <w:rFonts w:ascii="Arial"/>
                <w:color w:val="auto"/>
                <w:sz w:val="21"/>
                <w:highlight w:val="none"/>
              </w:rPr>
            </w:pPr>
          </w:p>
        </w:tc>
        <w:tc>
          <w:tcPr>
            <w:tcW w:w="1290" w:type="dxa"/>
            <w:tcBorders>
              <w:right w:val="single" w:color="000000" w:sz="10" w:space="0"/>
            </w:tcBorders>
            <w:vAlign w:val="top"/>
          </w:tcPr>
          <w:p w14:paraId="695AAD9B">
            <w:pPr>
              <w:rPr>
                <w:rFonts w:ascii="Arial"/>
                <w:color w:val="auto"/>
                <w:sz w:val="21"/>
                <w:highlight w:val="none"/>
              </w:rPr>
            </w:pPr>
          </w:p>
        </w:tc>
      </w:tr>
      <w:tr w14:paraId="2D502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79F8A2B">
            <w:pPr>
              <w:rPr>
                <w:rFonts w:ascii="Arial"/>
                <w:color w:val="auto"/>
                <w:sz w:val="21"/>
                <w:highlight w:val="none"/>
              </w:rPr>
            </w:pPr>
          </w:p>
        </w:tc>
        <w:tc>
          <w:tcPr>
            <w:tcW w:w="1983" w:type="dxa"/>
            <w:vAlign w:val="top"/>
          </w:tcPr>
          <w:p w14:paraId="54E64013">
            <w:pPr>
              <w:rPr>
                <w:rFonts w:ascii="Arial"/>
                <w:color w:val="auto"/>
                <w:sz w:val="21"/>
                <w:highlight w:val="none"/>
              </w:rPr>
            </w:pPr>
          </w:p>
        </w:tc>
        <w:tc>
          <w:tcPr>
            <w:tcW w:w="4664" w:type="dxa"/>
            <w:vAlign w:val="top"/>
          </w:tcPr>
          <w:p w14:paraId="4304F8DD">
            <w:pPr>
              <w:rPr>
                <w:rFonts w:ascii="Arial"/>
                <w:color w:val="auto"/>
                <w:sz w:val="21"/>
                <w:highlight w:val="none"/>
              </w:rPr>
            </w:pPr>
          </w:p>
        </w:tc>
        <w:tc>
          <w:tcPr>
            <w:tcW w:w="1290" w:type="dxa"/>
            <w:tcBorders>
              <w:right w:val="single" w:color="000000" w:sz="10" w:space="0"/>
            </w:tcBorders>
            <w:vAlign w:val="top"/>
          </w:tcPr>
          <w:p w14:paraId="69F35FCA">
            <w:pPr>
              <w:rPr>
                <w:rFonts w:ascii="Arial"/>
                <w:color w:val="auto"/>
                <w:sz w:val="21"/>
                <w:highlight w:val="none"/>
              </w:rPr>
            </w:pPr>
          </w:p>
        </w:tc>
      </w:tr>
      <w:tr w14:paraId="08D55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D7D3D5A">
            <w:pPr>
              <w:rPr>
                <w:rFonts w:ascii="Arial"/>
                <w:color w:val="auto"/>
                <w:sz w:val="21"/>
                <w:highlight w:val="none"/>
              </w:rPr>
            </w:pPr>
          </w:p>
        </w:tc>
        <w:tc>
          <w:tcPr>
            <w:tcW w:w="1983" w:type="dxa"/>
            <w:vAlign w:val="top"/>
          </w:tcPr>
          <w:p w14:paraId="115CC456">
            <w:pPr>
              <w:rPr>
                <w:rFonts w:ascii="Arial"/>
                <w:color w:val="auto"/>
                <w:sz w:val="21"/>
                <w:highlight w:val="none"/>
              </w:rPr>
            </w:pPr>
          </w:p>
        </w:tc>
        <w:tc>
          <w:tcPr>
            <w:tcW w:w="4664" w:type="dxa"/>
            <w:vAlign w:val="top"/>
          </w:tcPr>
          <w:p w14:paraId="7E910D16">
            <w:pPr>
              <w:rPr>
                <w:rFonts w:ascii="Arial"/>
                <w:color w:val="auto"/>
                <w:sz w:val="21"/>
                <w:highlight w:val="none"/>
              </w:rPr>
            </w:pPr>
          </w:p>
        </w:tc>
        <w:tc>
          <w:tcPr>
            <w:tcW w:w="1290" w:type="dxa"/>
            <w:tcBorders>
              <w:right w:val="single" w:color="000000" w:sz="10" w:space="0"/>
            </w:tcBorders>
            <w:vAlign w:val="top"/>
          </w:tcPr>
          <w:p w14:paraId="24977A6A">
            <w:pPr>
              <w:rPr>
                <w:rFonts w:ascii="Arial"/>
                <w:color w:val="auto"/>
                <w:sz w:val="21"/>
                <w:highlight w:val="none"/>
              </w:rPr>
            </w:pPr>
          </w:p>
        </w:tc>
      </w:tr>
      <w:tr w14:paraId="2CE20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7315746">
            <w:pPr>
              <w:rPr>
                <w:rFonts w:ascii="Arial"/>
                <w:color w:val="auto"/>
                <w:sz w:val="21"/>
                <w:highlight w:val="none"/>
              </w:rPr>
            </w:pPr>
          </w:p>
        </w:tc>
        <w:tc>
          <w:tcPr>
            <w:tcW w:w="1983" w:type="dxa"/>
            <w:vAlign w:val="top"/>
          </w:tcPr>
          <w:p w14:paraId="59229003">
            <w:pPr>
              <w:rPr>
                <w:rFonts w:ascii="Arial"/>
                <w:color w:val="auto"/>
                <w:sz w:val="21"/>
                <w:highlight w:val="none"/>
              </w:rPr>
            </w:pPr>
          </w:p>
        </w:tc>
        <w:tc>
          <w:tcPr>
            <w:tcW w:w="4664" w:type="dxa"/>
            <w:vAlign w:val="top"/>
          </w:tcPr>
          <w:p w14:paraId="639DC460">
            <w:pPr>
              <w:rPr>
                <w:rFonts w:ascii="Arial"/>
                <w:color w:val="auto"/>
                <w:sz w:val="21"/>
                <w:highlight w:val="none"/>
              </w:rPr>
            </w:pPr>
          </w:p>
        </w:tc>
        <w:tc>
          <w:tcPr>
            <w:tcW w:w="1290" w:type="dxa"/>
            <w:tcBorders>
              <w:right w:val="single" w:color="000000" w:sz="10" w:space="0"/>
            </w:tcBorders>
            <w:vAlign w:val="top"/>
          </w:tcPr>
          <w:p w14:paraId="15C5960B">
            <w:pPr>
              <w:rPr>
                <w:rFonts w:ascii="Arial"/>
                <w:color w:val="auto"/>
                <w:sz w:val="21"/>
                <w:highlight w:val="none"/>
              </w:rPr>
            </w:pPr>
          </w:p>
        </w:tc>
      </w:tr>
      <w:tr w14:paraId="68A8D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0B39F89">
            <w:pPr>
              <w:rPr>
                <w:rFonts w:ascii="Arial"/>
                <w:color w:val="auto"/>
                <w:sz w:val="21"/>
                <w:highlight w:val="none"/>
              </w:rPr>
            </w:pPr>
          </w:p>
        </w:tc>
        <w:tc>
          <w:tcPr>
            <w:tcW w:w="1983" w:type="dxa"/>
            <w:vAlign w:val="top"/>
          </w:tcPr>
          <w:p w14:paraId="156ACA71">
            <w:pPr>
              <w:rPr>
                <w:rFonts w:ascii="Arial"/>
                <w:color w:val="auto"/>
                <w:sz w:val="21"/>
                <w:highlight w:val="none"/>
              </w:rPr>
            </w:pPr>
          </w:p>
        </w:tc>
        <w:tc>
          <w:tcPr>
            <w:tcW w:w="4664" w:type="dxa"/>
            <w:vAlign w:val="top"/>
          </w:tcPr>
          <w:p w14:paraId="4BDF934C">
            <w:pPr>
              <w:rPr>
                <w:rFonts w:ascii="Arial"/>
                <w:color w:val="auto"/>
                <w:sz w:val="21"/>
                <w:highlight w:val="none"/>
              </w:rPr>
            </w:pPr>
          </w:p>
        </w:tc>
        <w:tc>
          <w:tcPr>
            <w:tcW w:w="1290" w:type="dxa"/>
            <w:tcBorders>
              <w:right w:val="single" w:color="000000" w:sz="10" w:space="0"/>
            </w:tcBorders>
            <w:vAlign w:val="top"/>
          </w:tcPr>
          <w:p w14:paraId="685821DB">
            <w:pPr>
              <w:rPr>
                <w:rFonts w:ascii="Arial"/>
                <w:color w:val="auto"/>
                <w:sz w:val="21"/>
                <w:highlight w:val="none"/>
              </w:rPr>
            </w:pPr>
          </w:p>
        </w:tc>
      </w:tr>
      <w:tr w14:paraId="4124C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482BF388">
            <w:pPr>
              <w:rPr>
                <w:rFonts w:ascii="Arial"/>
                <w:color w:val="auto"/>
                <w:sz w:val="21"/>
                <w:highlight w:val="none"/>
              </w:rPr>
            </w:pPr>
          </w:p>
        </w:tc>
        <w:tc>
          <w:tcPr>
            <w:tcW w:w="1983" w:type="dxa"/>
            <w:vAlign w:val="top"/>
          </w:tcPr>
          <w:p w14:paraId="268F84C7">
            <w:pPr>
              <w:rPr>
                <w:rFonts w:ascii="Arial"/>
                <w:color w:val="auto"/>
                <w:sz w:val="21"/>
                <w:highlight w:val="none"/>
              </w:rPr>
            </w:pPr>
          </w:p>
        </w:tc>
        <w:tc>
          <w:tcPr>
            <w:tcW w:w="4664" w:type="dxa"/>
            <w:vAlign w:val="top"/>
          </w:tcPr>
          <w:p w14:paraId="34BCFB2A">
            <w:pPr>
              <w:rPr>
                <w:rFonts w:ascii="Arial"/>
                <w:color w:val="auto"/>
                <w:sz w:val="21"/>
                <w:highlight w:val="none"/>
              </w:rPr>
            </w:pPr>
          </w:p>
        </w:tc>
        <w:tc>
          <w:tcPr>
            <w:tcW w:w="1290" w:type="dxa"/>
            <w:tcBorders>
              <w:right w:val="single" w:color="000000" w:sz="10" w:space="0"/>
            </w:tcBorders>
            <w:vAlign w:val="top"/>
          </w:tcPr>
          <w:p w14:paraId="15E9EFC3">
            <w:pPr>
              <w:rPr>
                <w:rFonts w:ascii="Arial"/>
                <w:color w:val="auto"/>
                <w:sz w:val="21"/>
                <w:highlight w:val="none"/>
              </w:rPr>
            </w:pPr>
          </w:p>
        </w:tc>
      </w:tr>
      <w:tr w14:paraId="50447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3F21EC1">
            <w:pPr>
              <w:rPr>
                <w:rFonts w:ascii="Arial"/>
                <w:color w:val="auto"/>
                <w:sz w:val="21"/>
                <w:highlight w:val="none"/>
              </w:rPr>
            </w:pPr>
          </w:p>
        </w:tc>
        <w:tc>
          <w:tcPr>
            <w:tcW w:w="1983" w:type="dxa"/>
            <w:vAlign w:val="top"/>
          </w:tcPr>
          <w:p w14:paraId="015A808E">
            <w:pPr>
              <w:rPr>
                <w:rFonts w:ascii="Arial"/>
                <w:color w:val="auto"/>
                <w:sz w:val="21"/>
                <w:highlight w:val="none"/>
              </w:rPr>
            </w:pPr>
          </w:p>
        </w:tc>
        <w:tc>
          <w:tcPr>
            <w:tcW w:w="4664" w:type="dxa"/>
            <w:vAlign w:val="top"/>
          </w:tcPr>
          <w:p w14:paraId="2D11FBC2">
            <w:pPr>
              <w:rPr>
                <w:rFonts w:ascii="Arial"/>
                <w:color w:val="auto"/>
                <w:sz w:val="21"/>
                <w:highlight w:val="none"/>
              </w:rPr>
            </w:pPr>
          </w:p>
        </w:tc>
        <w:tc>
          <w:tcPr>
            <w:tcW w:w="1290" w:type="dxa"/>
            <w:tcBorders>
              <w:right w:val="single" w:color="000000" w:sz="10" w:space="0"/>
            </w:tcBorders>
            <w:vAlign w:val="top"/>
          </w:tcPr>
          <w:p w14:paraId="3742DBA3">
            <w:pPr>
              <w:rPr>
                <w:rFonts w:ascii="Arial"/>
                <w:color w:val="auto"/>
                <w:sz w:val="21"/>
                <w:highlight w:val="none"/>
              </w:rPr>
            </w:pPr>
          </w:p>
        </w:tc>
      </w:tr>
      <w:tr w14:paraId="5A75B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072CAD9">
            <w:pPr>
              <w:rPr>
                <w:rFonts w:ascii="Arial"/>
                <w:color w:val="auto"/>
                <w:sz w:val="21"/>
                <w:highlight w:val="none"/>
              </w:rPr>
            </w:pPr>
          </w:p>
        </w:tc>
        <w:tc>
          <w:tcPr>
            <w:tcW w:w="1983" w:type="dxa"/>
            <w:vAlign w:val="top"/>
          </w:tcPr>
          <w:p w14:paraId="18553165">
            <w:pPr>
              <w:rPr>
                <w:rFonts w:ascii="Arial"/>
                <w:color w:val="auto"/>
                <w:sz w:val="21"/>
                <w:highlight w:val="none"/>
              </w:rPr>
            </w:pPr>
          </w:p>
        </w:tc>
        <w:tc>
          <w:tcPr>
            <w:tcW w:w="4664" w:type="dxa"/>
            <w:vAlign w:val="top"/>
          </w:tcPr>
          <w:p w14:paraId="2EC72AE3">
            <w:pPr>
              <w:rPr>
                <w:rFonts w:ascii="Arial"/>
                <w:color w:val="auto"/>
                <w:sz w:val="21"/>
                <w:highlight w:val="none"/>
              </w:rPr>
            </w:pPr>
          </w:p>
        </w:tc>
        <w:tc>
          <w:tcPr>
            <w:tcW w:w="1290" w:type="dxa"/>
            <w:tcBorders>
              <w:right w:val="single" w:color="000000" w:sz="10" w:space="0"/>
            </w:tcBorders>
            <w:vAlign w:val="top"/>
          </w:tcPr>
          <w:p w14:paraId="6A1CD000">
            <w:pPr>
              <w:rPr>
                <w:rFonts w:ascii="Arial"/>
                <w:color w:val="auto"/>
                <w:sz w:val="21"/>
                <w:highlight w:val="none"/>
              </w:rPr>
            </w:pPr>
          </w:p>
        </w:tc>
      </w:tr>
      <w:tr w14:paraId="1E4EE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08EAEE5">
            <w:pPr>
              <w:rPr>
                <w:rFonts w:ascii="Arial"/>
                <w:color w:val="auto"/>
                <w:sz w:val="21"/>
                <w:highlight w:val="none"/>
              </w:rPr>
            </w:pPr>
          </w:p>
        </w:tc>
        <w:tc>
          <w:tcPr>
            <w:tcW w:w="1983" w:type="dxa"/>
            <w:vAlign w:val="top"/>
          </w:tcPr>
          <w:p w14:paraId="0D618D05">
            <w:pPr>
              <w:rPr>
                <w:rFonts w:ascii="Arial"/>
                <w:color w:val="auto"/>
                <w:sz w:val="21"/>
                <w:highlight w:val="none"/>
              </w:rPr>
            </w:pPr>
          </w:p>
        </w:tc>
        <w:tc>
          <w:tcPr>
            <w:tcW w:w="4664" w:type="dxa"/>
            <w:vAlign w:val="top"/>
          </w:tcPr>
          <w:p w14:paraId="72DF61C4">
            <w:pPr>
              <w:rPr>
                <w:rFonts w:ascii="Arial"/>
                <w:color w:val="auto"/>
                <w:sz w:val="21"/>
                <w:highlight w:val="none"/>
              </w:rPr>
            </w:pPr>
          </w:p>
        </w:tc>
        <w:tc>
          <w:tcPr>
            <w:tcW w:w="1290" w:type="dxa"/>
            <w:tcBorders>
              <w:right w:val="single" w:color="000000" w:sz="10" w:space="0"/>
            </w:tcBorders>
            <w:vAlign w:val="top"/>
          </w:tcPr>
          <w:p w14:paraId="01142771">
            <w:pPr>
              <w:rPr>
                <w:rFonts w:ascii="Arial"/>
                <w:color w:val="auto"/>
                <w:sz w:val="21"/>
                <w:highlight w:val="none"/>
              </w:rPr>
            </w:pPr>
          </w:p>
        </w:tc>
      </w:tr>
      <w:tr w14:paraId="7806A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52F8602">
            <w:pPr>
              <w:rPr>
                <w:rFonts w:ascii="Arial"/>
                <w:color w:val="auto"/>
                <w:sz w:val="21"/>
                <w:highlight w:val="none"/>
              </w:rPr>
            </w:pPr>
          </w:p>
        </w:tc>
        <w:tc>
          <w:tcPr>
            <w:tcW w:w="1983" w:type="dxa"/>
            <w:vAlign w:val="top"/>
          </w:tcPr>
          <w:p w14:paraId="6C348E63">
            <w:pPr>
              <w:rPr>
                <w:rFonts w:ascii="Arial"/>
                <w:color w:val="auto"/>
                <w:sz w:val="21"/>
                <w:highlight w:val="none"/>
              </w:rPr>
            </w:pPr>
          </w:p>
        </w:tc>
        <w:tc>
          <w:tcPr>
            <w:tcW w:w="4664" w:type="dxa"/>
            <w:vAlign w:val="top"/>
          </w:tcPr>
          <w:p w14:paraId="224C1D10">
            <w:pPr>
              <w:rPr>
                <w:rFonts w:ascii="Arial"/>
                <w:color w:val="auto"/>
                <w:sz w:val="21"/>
                <w:highlight w:val="none"/>
              </w:rPr>
            </w:pPr>
          </w:p>
        </w:tc>
        <w:tc>
          <w:tcPr>
            <w:tcW w:w="1290" w:type="dxa"/>
            <w:tcBorders>
              <w:right w:val="single" w:color="000000" w:sz="10" w:space="0"/>
            </w:tcBorders>
            <w:vAlign w:val="top"/>
          </w:tcPr>
          <w:p w14:paraId="5E79B946">
            <w:pPr>
              <w:rPr>
                <w:rFonts w:ascii="Arial"/>
                <w:color w:val="auto"/>
                <w:sz w:val="21"/>
                <w:highlight w:val="none"/>
              </w:rPr>
            </w:pPr>
          </w:p>
        </w:tc>
      </w:tr>
      <w:tr w14:paraId="78BDE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88ABFD8">
            <w:pPr>
              <w:rPr>
                <w:rFonts w:ascii="Arial"/>
                <w:color w:val="auto"/>
                <w:sz w:val="21"/>
                <w:highlight w:val="none"/>
              </w:rPr>
            </w:pPr>
          </w:p>
        </w:tc>
        <w:tc>
          <w:tcPr>
            <w:tcW w:w="1983" w:type="dxa"/>
            <w:vAlign w:val="top"/>
          </w:tcPr>
          <w:p w14:paraId="448B4DB6">
            <w:pPr>
              <w:rPr>
                <w:rFonts w:ascii="Arial"/>
                <w:color w:val="auto"/>
                <w:sz w:val="21"/>
                <w:highlight w:val="none"/>
              </w:rPr>
            </w:pPr>
          </w:p>
        </w:tc>
        <w:tc>
          <w:tcPr>
            <w:tcW w:w="4664" w:type="dxa"/>
            <w:vAlign w:val="top"/>
          </w:tcPr>
          <w:p w14:paraId="74A07F13">
            <w:pPr>
              <w:rPr>
                <w:rFonts w:ascii="Arial"/>
                <w:color w:val="auto"/>
                <w:sz w:val="21"/>
                <w:highlight w:val="none"/>
              </w:rPr>
            </w:pPr>
          </w:p>
        </w:tc>
        <w:tc>
          <w:tcPr>
            <w:tcW w:w="1290" w:type="dxa"/>
            <w:tcBorders>
              <w:right w:val="single" w:color="000000" w:sz="10" w:space="0"/>
            </w:tcBorders>
            <w:vAlign w:val="top"/>
          </w:tcPr>
          <w:p w14:paraId="56A94B3D">
            <w:pPr>
              <w:rPr>
                <w:rFonts w:ascii="Arial"/>
                <w:color w:val="auto"/>
                <w:sz w:val="21"/>
                <w:highlight w:val="none"/>
              </w:rPr>
            </w:pPr>
          </w:p>
        </w:tc>
      </w:tr>
      <w:tr w14:paraId="09C13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F4CF095">
            <w:pPr>
              <w:rPr>
                <w:rFonts w:ascii="Arial"/>
                <w:color w:val="auto"/>
                <w:sz w:val="21"/>
                <w:highlight w:val="none"/>
              </w:rPr>
            </w:pPr>
          </w:p>
        </w:tc>
        <w:tc>
          <w:tcPr>
            <w:tcW w:w="1983" w:type="dxa"/>
            <w:vAlign w:val="top"/>
          </w:tcPr>
          <w:p w14:paraId="1B461321">
            <w:pPr>
              <w:rPr>
                <w:rFonts w:ascii="Arial"/>
                <w:color w:val="auto"/>
                <w:sz w:val="21"/>
                <w:highlight w:val="none"/>
              </w:rPr>
            </w:pPr>
          </w:p>
        </w:tc>
        <w:tc>
          <w:tcPr>
            <w:tcW w:w="4664" w:type="dxa"/>
            <w:vAlign w:val="top"/>
          </w:tcPr>
          <w:p w14:paraId="7995C28A">
            <w:pPr>
              <w:rPr>
                <w:rFonts w:ascii="Arial"/>
                <w:color w:val="auto"/>
                <w:sz w:val="21"/>
                <w:highlight w:val="none"/>
              </w:rPr>
            </w:pPr>
          </w:p>
        </w:tc>
        <w:tc>
          <w:tcPr>
            <w:tcW w:w="1290" w:type="dxa"/>
            <w:tcBorders>
              <w:right w:val="single" w:color="000000" w:sz="10" w:space="0"/>
            </w:tcBorders>
            <w:vAlign w:val="top"/>
          </w:tcPr>
          <w:p w14:paraId="0186780E">
            <w:pPr>
              <w:rPr>
                <w:rFonts w:ascii="Arial"/>
                <w:color w:val="auto"/>
                <w:sz w:val="21"/>
                <w:highlight w:val="none"/>
              </w:rPr>
            </w:pPr>
          </w:p>
        </w:tc>
      </w:tr>
      <w:tr w14:paraId="192C0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25108910">
            <w:pPr>
              <w:rPr>
                <w:rFonts w:ascii="Arial"/>
                <w:color w:val="auto"/>
                <w:sz w:val="21"/>
                <w:highlight w:val="none"/>
              </w:rPr>
            </w:pPr>
          </w:p>
        </w:tc>
        <w:tc>
          <w:tcPr>
            <w:tcW w:w="1983" w:type="dxa"/>
            <w:vAlign w:val="top"/>
          </w:tcPr>
          <w:p w14:paraId="5A0F2AD6">
            <w:pPr>
              <w:rPr>
                <w:rFonts w:ascii="Arial"/>
                <w:color w:val="auto"/>
                <w:sz w:val="21"/>
                <w:highlight w:val="none"/>
              </w:rPr>
            </w:pPr>
          </w:p>
        </w:tc>
        <w:tc>
          <w:tcPr>
            <w:tcW w:w="4664" w:type="dxa"/>
            <w:vAlign w:val="top"/>
          </w:tcPr>
          <w:p w14:paraId="05698A3C">
            <w:pPr>
              <w:rPr>
                <w:rFonts w:ascii="Arial"/>
                <w:color w:val="auto"/>
                <w:sz w:val="21"/>
                <w:highlight w:val="none"/>
              </w:rPr>
            </w:pPr>
          </w:p>
        </w:tc>
        <w:tc>
          <w:tcPr>
            <w:tcW w:w="1290" w:type="dxa"/>
            <w:tcBorders>
              <w:right w:val="single" w:color="000000" w:sz="10" w:space="0"/>
            </w:tcBorders>
            <w:vAlign w:val="top"/>
          </w:tcPr>
          <w:p w14:paraId="0D98D83E">
            <w:pPr>
              <w:rPr>
                <w:rFonts w:ascii="Arial"/>
                <w:color w:val="auto"/>
                <w:sz w:val="21"/>
                <w:highlight w:val="none"/>
              </w:rPr>
            </w:pPr>
          </w:p>
        </w:tc>
      </w:tr>
      <w:tr w14:paraId="5E949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09BAA58A">
            <w:pPr>
              <w:rPr>
                <w:rFonts w:ascii="Arial"/>
                <w:color w:val="auto"/>
                <w:sz w:val="21"/>
                <w:highlight w:val="none"/>
              </w:rPr>
            </w:pPr>
          </w:p>
        </w:tc>
        <w:tc>
          <w:tcPr>
            <w:tcW w:w="1983" w:type="dxa"/>
            <w:vAlign w:val="top"/>
          </w:tcPr>
          <w:p w14:paraId="51950DC8">
            <w:pPr>
              <w:rPr>
                <w:rFonts w:ascii="Arial"/>
                <w:color w:val="auto"/>
                <w:sz w:val="21"/>
                <w:highlight w:val="none"/>
              </w:rPr>
            </w:pPr>
          </w:p>
        </w:tc>
        <w:tc>
          <w:tcPr>
            <w:tcW w:w="4664" w:type="dxa"/>
            <w:vAlign w:val="top"/>
          </w:tcPr>
          <w:p w14:paraId="35561A2D">
            <w:pPr>
              <w:rPr>
                <w:rFonts w:ascii="Arial"/>
                <w:color w:val="auto"/>
                <w:sz w:val="21"/>
                <w:highlight w:val="none"/>
              </w:rPr>
            </w:pPr>
          </w:p>
        </w:tc>
        <w:tc>
          <w:tcPr>
            <w:tcW w:w="1290" w:type="dxa"/>
            <w:tcBorders>
              <w:right w:val="single" w:color="000000" w:sz="10" w:space="0"/>
            </w:tcBorders>
            <w:vAlign w:val="top"/>
          </w:tcPr>
          <w:p w14:paraId="20D2CB29">
            <w:pPr>
              <w:rPr>
                <w:rFonts w:ascii="Arial"/>
                <w:color w:val="auto"/>
                <w:sz w:val="21"/>
                <w:highlight w:val="none"/>
              </w:rPr>
            </w:pPr>
          </w:p>
        </w:tc>
      </w:tr>
      <w:tr w14:paraId="50A3A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6F48F83">
            <w:pPr>
              <w:rPr>
                <w:rFonts w:ascii="Arial"/>
                <w:color w:val="auto"/>
                <w:sz w:val="21"/>
                <w:highlight w:val="none"/>
              </w:rPr>
            </w:pPr>
          </w:p>
        </w:tc>
        <w:tc>
          <w:tcPr>
            <w:tcW w:w="1983" w:type="dxa"/>
            <w:vAlign w:val="top"/>
          </w:tcPr>
          <w:p w14:paraId="2E4C2582">
            <w:pPr>
              <w:rPr>
                <w:rFonts w:ascii="Arial"/>
                <w:color w:val="auto"/>
                <w:sz w:val="21"/>
                <w:highlight w:val="none"/>
              </w:rPr>
            </w:pPr>
          </w:p>
        </w:tc>
        <w:tc>
          <w:tcPr>
            <w:tcW w:w="4664" w:type="dxa"/>
            <w:vAlign w:val="top"/>
          </w:tcPr>
          <w:p w14:paraId="5FC29018">
            <w:pPr>
              <w:rPr>
                <w:rFonts w:ascii="Arial"/>
                <w:color w:val="auto"/>
                <w:sz w:val="21"/>
                <w:highlight w:val="none"/>
              </w:rPr>
            </w:pPr>
          </w:p>
        </w:tc>
        <w:tc>
          <w:tcPr>
            <w:tcW w:w="1290" w:type="dxa"/>
            <w:tcBorders>
              <w:right w:val="single" w:color="000000" w:sz="10" w:space="0"/>
            </w:tcBorders>
            <w:vAlign w:val="top"/>
          </w:tcPr>
          <w:p w14:paraId="44D498A3">
            <w:pPr>
              <w:rPr>
                <w:rFonts w:ascii="Arial"/>
                <w:color w:val="auto"/>
                <w:sz w:val="21"/>
                <w:highlight w:val="none"/>
              </w:rPr>
            </w:pPr>
          </w:p>
        </w:tc>
      </w:tr>
      <w:tr w14:paraId="3784D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7CF7488">
            <w:pPr>
              <w:rPr>
                <w:rFonts w:ascii="Arial"/>
                <w:color w:val="auto"/>
                <w:sz w:val="21"/>
                <w:highlight w:val="none"/>
              </w:rPr>
            </w:pPr>
          </w:p>
        </w:tc>
        <w:tc>
          <w:tcPr>
            <w:tcW w:w="1983" w:type="dxa"/>
            <w:vAlign w:val="top"/>
          </w:tcPr>
          <w:p w14:paraId="72344F18">
            <w:pPr>
              <w:rPr>
                <w:rFonts w:ascii="Arial"/>
                <w:color w:val="auto"/>
                <w:sz w:val="21"/>
                <w:highlight w:val="none"/>
              </w:rPr>
            </w:pPr>
          </w:p>
        </w:tc>
        <w:tc>
          <w:tcPr>
            <w:tcW w:w="4664" w:type="dxa"/>
            <w:vAlign w:val="top"/>
          </w:tcPr>
          <w:p w14:paraId="4F09A06C">
            <w:pPr>
              <w:rPr>
                <w:rFonts w:ascii="Arial"/>
                <w:color w:val="auto"/>
                <w:sz w:val="21"/>
                <w:highlight w:val="none"/>
              </w:rPr>
            </w:pPr>
          </w:p>
        </w:tc>
        <w:tc>
          <w:tcPr>
            <w:tcW w:w="1290" w:type="dxa"/>
            <w:tcBorders>
              <w:right w:val="single" w:color="000000" w:sz="10" w:space="0"/>
            </w:tcBorders>
            <w:vAlign w:val="top"/>
          </w:tcPr>
          <w:p w14:paraId="71744439">
            <w:pPr>
              <w:rPr>
                <w:rFonts w:ascii="Arial"/>
                <w:color w:val="auto"/>
                <w:sz w:val="21"/>
                <w:highlight w:val="none"/>
              </w:rPr>
            </w:pPr>
          </w:p>
        </w:tc>
      </w:tr>
      <w:tr w14:paraId="5C9DB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51E2BA5">
            <w:pPr>
              <w:rPr>
                <w:rFonts w:ascii="Arial"/>
                <w:color w:val="auto"/>
                <w:sz w:val="21"/>
                <w:highlight w:val="none"/>
              </w:rPr>
            </w:pPr>
          </w:p>
        </w:tc>
        <w:tc>
          <w:tcPr>
            <w:tcW w:w="1983" w:type="dxa"/>
            <w:vAlign w:val="top"/>
          </w:tcPr>
          <w:p w14:paraId="742E89C5">
            <w:pPr>
              <w:rPr>
                <w:rFonts w:ascii="Arial"/>
                <w:color w:val="auto"/>
                <w:sz w:val="21"/>
                <w:highlight w:val="none"/>
              </w:rPr>
            </w:pPr>
          </w:p>
        </w:tc>
        <w:tc>
          <w:tcPr>
            <w:tcW w:w="4664" w:type="dxa"/>
            <w:vAlign w:val="top"/>
          </w:tcPr>
          <w:p w14:paraId="531C9B0F">
            <w:pPr>
              <w:rPr>
                <w:rFonts w:ascii="Arial"/>
                <w:color w:val="auto"/>
                <w:sz w:val="21"/>
                <w:highlight w:val="none"/>
              </w:rPr>
            </w:pPr>
          </w:p>
        </w:tc>
        <w:tc>
          <w:tcPr>
            <w:tcW w:w="1290" w:type="dxa"/>
            <w:tcBorders>
              <w:right w:val="single" w:color="000000" w:sz="10" w:space="0"/>
            </w:tcBorders>
            <w:vAlign w:val="top"/>
          </w:tcPr>
          <w:p w14:paraId="42F1C2BF">
            <w:pPr>
              <w:rPr>
                <w:rFonts w:ascii="Arial"/>
                <w:color w:val="auto"/>
                <w:sz w:val="21"/>
                <w:highlight w:val="none"/>
              </w:rPr>
            </w:pPr>
          </w:p>
        </w:tc>
      </w:tr>
      <w:tr w14:paraId="65A14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F9D621D">
            <w:pPr>
              <w:rPr>
                <w:rFonts w:ascii="Arial"/>
                <w:color w:val="auto"/>
                <w:sz w:val="21"/>
                <w:highlight w:val="none"/>
              </w:rPr>
            </w:pPr>
          </w:p>
        </w:tc>
        <w:tc>
          <w:tcPr>
            <w:tcW w:w="1983" w:type="dxa"/>
            <w:vAlign w:val="top"/>
          </w:tcPr>
          <w:p w14:paraId="3B392C4C">
            <w:pPr>
              <w:rPr>
                <w:rFonts w:ascii="Arial"/>
                <w:color w:val="auto"/>
                <w:sz w:val="21"/>
                <w:highlight w:val="none"/>
              </w:rPr>
            </w:pPr>
          </w:p>
        </w:tc>
        <w:tc>
          <w:tcPr>
            <w:tcW w:w="4664" w:type="dxa"/>
            <w:vAlign w:val="top"/>
          </w:tcPr>
          <w:p w14:paraId="278645C5">
            <w:pPr>
              <w:rPr>
                <w:rFonts w:ascii="Arial"/>
                <w:color w:val="auto"/>
                <w:sz w:val="21"/>
                <w:highlight w:val="none"/>
              </w:rPr>
            </w:pPr>
          </w:p>
        </w:tc>
        <w:tc>
          <w:tcPr>
            <w:tcW w:w="1290" w:type="dxa"/>
            <w:tcBorders>
              <w:right w:val="single" w:color="000000" w:sz="10" w:space="0"/>
            </w:tcBorders>
            <w:vAlign w:val="top"/>
          </w:tcPr>
          <w:p w14:paraId="17B44339">
            <w:pPr>
              <w:rPr>
                <w:rFonts w:ascii="Arial"/>
                <w:color w:val="auto"/>
                <w:sz w:val="21"/>
                <w:highlight w:val="none"/>
              </w:rPr>
            </w:pPr>
          </w:p>
        </w:tc>
      </w:tr>
      <w:tr w14:paraId="19EEC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31C1DC6">
            <w:pPr>
              <w:rPr>
                <w:rFonts w:ascii="Arial"/>
                <w:color w:val="auto"/>
                <w:sz w:val="21"/>
                <w:highlight w:val="none"/>
              </w:rPr>
            </w:pPr>
          </w:p>
        </w:tc>
        <w:tc>
          <w:tcPr>
            <w:tcW w:w="1983" w:type="dxa"/>
            <w:vAlign w:val="top"/>
          </w:tcPr>
          <w:p w14:paraId="4AE6445F">
            <w:pPr>
              <w:rPr>
                <w:rFonts w:ascii="Arial"/>
                <w:color w:val="auto"/>
                <w:sz w:val="21"/>
                <w:highlight w:val="none"/>
              </w:rPr>
            </w:pPr>
          </w:p>
        </w:tc>
        <w:tc>
          <w:tcPr>
            <w:tcW w:w="4664" w:type="dxa"/>
            <w:vAlign w:val="top"/>
          </w:tcPr>
          <w:p w14:paraId="2210D948">
            <w:pPr>
              <w:rPr>
                <w:rFonts w:ascii="Arial"/>
                <w:color w:val="auto"/>
                <w:sz w:val="21"/>
                <w:highlight w:val="none"/>
              </w:rPr>
            </w:pPr>
          </w:p>
        </w:tc>
        <w:tc>
          <w:tcPr>
            <w:tcW w:w="1290" w:type="dxa"/>
            <w:tcBorders>
              <w:right w:val="single" w:color="000000" w:sz="10" w:space="0"/>
            </w:tcBorders>
            <w:vAlign w:val="top"/>
          </w:tcPr>
          <w:p w14:paraId="5555BE65">
            <w:pPr>
              <w:rPr>
                <w:rFonts w:ascii="Arial"/>
                <w:color w:val="auto"/>
                <w:sz w:val="21"/>
                <w:highlight w:val="none"/>
              </w:rPr>
            </w:pPr>
          </w:p>
        </w:tc>
      </w:tr>
      <w:tr w14:paraId="41A2C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74ED0A6">
            <w:pPr>
              <w:rPr>
                <w:rFonts w:ascii="Arial"/>
                <w:color w:val="auto"/>
                <w:sz w:val="21"/>
                <w:highlight w:val="none"/>
              </w:rPr>
            </w:pPr>
          </w:p>
        </w:tc>
        <w:tc>
          <w:tcPr>
            <w:tcW w:w="1983" w:type="dxa"/>
            <w:vAlign w:val="top"/>
          </w:tcPr>
          <w:p w14:paraId="163ED2FB">
            <w:pPr>
              <w:rPr>
                <w:rFonts w:ascii="Arial"/>
                <w:color w:val="auto"/>
                <w:sz w:val="21"/>
                <w:highlight w:val="none"/>
              </w:rPr>
            </w:pPr>
          </w:p>
        </w:tc>
        <w:tc>
          <w:tcPr>
            <w:tcW w:w="4664" w:type="dxa"/>
            <w:vAlign w:val="top"/>
          </w:tcPr>
          <w:p w14:paraId="10A96183">
            <w:pPr>
              <w:rPr>
                <w:rFonts w:ascii="Arial"/>
                <w:color w:val="auto"/>
                <w:sz w:val="21"/>
                <w:highlight w:val="none"/>
              </w:rPr>
            </w:pPr>
          </w:p>
        </w:tc>
        <w:tc>
          <w:tcPr>
            <w:tcW w:w="1290" w:type="dxa"/>
            <w:tcBorders>
              <w:right w:val="single" w:color="000000" w:sz="10" w:space="0"/>
            </w:tcBorders>
            <w:vAlign w:val="top"/>
          </w:tcPr>
          <w:p w14:paraId="086B696C">
            <w:pPr>
              <w:rPr>
                <w:rFonts w:ascii="Arial"/>
                <w:color w:val="auto"/>
                <w:sz w:val="21"/>
                <w:highlight w:val="none"/>
              </w:rPr>
            </w:pPr>
          </w:p>
        </w:tc>
      </w:tr>
      <w:tr w14:paraId="6A2EF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7FE45CFF">
            <w:pPr>
              <w:rPr>
                <w:rFonts w:ascii="Arial"/>
                <w:color w:val="auto"/>
                <w:sz w:val="21"/>
                <w:highlight w:val="none"/>
              </w:rPr>
            </w:pPr>
          </w:p>
        </w:tc>
        <w:tc>
          <w:tcPr>
            <w:tcW w:w="1983" w:type="dxa"/>
            <w:vAlign w:val="top"/>
          </w:tcPr>
          <w:p w14:paraId="3021E167">
            <w:pPr>
              <w:rPr>
                <w:rFonts w:ascii="Arial"/>
                <w:color w:val="auto"/>
                <w:sz w:val="21"/>
                <w:highlight w:val="none"/>
              </w:rPr>
            </w:pPr>
          </w:p>
        </w:tc>
        <w:tc>
          <w:tcPr>
            <w:tcW w:w="4664" w:type="dxa"/>
            <w:vAlign w:val="top"/>
          </w:tcPr>
          <w:p w14:paraId="10C0E48E">
            <w:pPr>
              <w:rPr>
                <w:rFonts w:ascii="Arial"/>
                <w:color w:val="auto"/>
                <w:sz w:val="21"/>
                <w:highlight w:val="none"/>
              </w:rPr>
            </w:pPr>
          </w:p>
        </w:tc>
        <w:tc>
          <w:tcPr>
            <w:tcW w:w="1290" w:type="dxa"/>
            <w:tcBorders>
              <w:right w:val="single" w:color="000000" w:sz="10" w:space="0"/>
            </w:tcBorders>
            <w:vAlign w:val="top"/>
          </w:tcPr>
          <w:p w14:paraId="55AD994A">
            <w:pPr>
              <w:rPr>
                <w:rFonts w:ascii="Arial"/>
                <w:color w:val="auto"/>
                <w:sz w:val="21"/>
                <w:highlight w:val="none"/>
              </w:rPr>
            </w:pPr>
          </w:p>
        </w:tc>
      </w:tr>
      <w:tr w14:paraId="05553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7DD4091B">
            <w:pPr>
              <w:pStyle w:val="18"/>
              <w:spacing w:before="195" w:line="222" w:lineRule="auto"/>
              <w:ind w:left="95"/>
              <w:rPr>
                <w:color w:val="auto"/>
                <w:highlight w:val="none"/>
              </w:rPr>
            </w:pPr>
            <w:r>
              <w:rPr>
                <w:color w:val="auto"/>
                <w:spacing w:val="-14"/>
                <w:highlight w:val="none"/>
              </w:rPr>
              <w:t>小计：</w:t>
            </w:r>
          </w:p>
        </w:tc>
      </w:tr>
    </w:tbl>
    <w:p w14:paraId="7CCAA1C1">
      <w:pPr>
        <w:pStyle w:val="5"/>
        <w:rPr>
          <w:color w:val="auto"/>
          <w:highlight w:val="none"/>
        </w:rPr>
      </w:pPr>
    </w:p>
    <w:p w14:paraId="22512820">
      <w:pPr>
        <w:rPr>
          <w:color w:val="auto"/>
          <w:highlight w:val="none"/>
        </w:rPr>
        <w:sectPr>
          <w:footerReference r:id="rId114" w:type="default"/>
          <w:pgSz w:w="11905" w:h="16839"/>
          <w:pgMar w:top="400" w:right="1258" w:bottom="1004" w:left="1785" w:header="0" w:footer="828" w:gutter="0"/>
          <w:pgNumType w:fmt="decimal"/>
          <w:cols w:space="720" w:num="1"/>
        </w:sectPr>
      </w:pPr>
    </w:p>
    <w:p w14:paraId="61440776">
      <w:pPr>
        <w:pStyle w:val="5"/>
        <w:spacing w:line="251" w:lineRule="auto"/>
        <w:rPr>
          <w:color w:val="auto"/>
          <w:highlight w:val="none"/>
        </w:rPr>
      </w:pPr>
    </w:p>
    <w:p w14:paraId="0B04EA99">
      <w:pPr>
        <w:pStyle w:val="5"/>
        <w:spacing w:line="251" w:lineRule="auto"/>
        <w:rPr>
          <w:color w:val="auto"/>
          <w:highlight w:val="none"/>
        </w:rPr>
      </w:pPr>
    </w:p>
    <w:p w14:paraId="52CE14AE">
      <w:pPr>
        <w:pStyle w:val="5"/>
        <w:spacing w:line="251" w:lineRule="auto"/>
        <w:rPr>
          <w:color w:val="auto"/>
          <w:highlight w:val="none"/>
        </w:rPr>
      </w:pPr>
    </w:p>
    <w:p w14:paraId="07FDDFFF">
      <w:pPr>
        <w:pStyle w:val="5"/>
        <w:spacing w:line="251" w:lineRule="auto"/>
        <w:rPr>
          <w:color w:val="auto"/>
          <w:highlight w:val="none"/>
        </w:rPr>
      </w:pPr>
    </w:p>
    <w:p w14:paraId="695686F8">
      <w:pPr>
        <w:pStyle w:val="5"/>
        <w:spacing w:line="251" w:lineRule="auto"/>
        <w:rPr>
          <w:color w:val="auto"/>
          <w:highlight w:val="none"/>
        </w:rPr>
      </w:pPr>
    </w:p>
    <w:p w14:paraId="0D895B7A">
      <w:pPr>
        <w:pStyle w:val="5"/>
        <w:spacing w:line="251" w:lineRule="auto"/>
        <w:rPr>
          <w:color w:val="auto"/>
          <w:highlight w:val="none"/>
        </w:rPr>
      </w:pPr>
    </w:p>
    <w:p w14:paraId="736928DD">
      <w:pPr>
        <w:pStyle w:val="5"/>
        <w:spacing w:line="251" w:lineRule="auto"/>
        <w:rPr>
          <w:color w:val="auto"/>
          <w:highlight w:val="none"/>
        </w:rPr>
      </w:pPr>
    </w:p>
    <w:p w14:paraId="2C61A553">
      <w:pPr>
        <w:pStyle w:val="5"/>
        <w:spacing w:line="251" w:lineRule="auto"/>
        <w:rPr>
          <w:color w:val="auto"/>
          <w:highlight w:val="none"/>
        </w:rPr>
      </w:pPr>
    </w:p>
    <w:p w14:paraId="25D5E89C">
      <w:pPr>
        <w:pStyle w:val="5"/>
        <w:spacing w:line="251" w:lineRule="auto"/>
        <w:rPr>
          <w:color w:val="auto"/>
          <w:highlight w:val="none"/>
        </w:rPr>
      </w:pPr>
    </w:p>
    <w:p w14:paraId="07FCA9B9">
      <w:pPr>
        <w:pStyle w:val="5"/>
        <w:spacing w:line="251" w:lineRule="auto"/>
        <w:rPr>
          <w:color w:val="auto"/>
          <w:highlight w:val="none"/>
        </w:rPr>
      </w:pPr>
    </w:p>
    <w:p w14:paraId="4A992AE0">
      <w:pPr>
        <w:pStyle w:val="5"/>
        <w:spacing w:line="251" w:lineRule="auto"/>
        <w:rPr>
          <w:color w:val="auto"/>
          <w:highlight w:val="none"/>
        </w:rPr>
      </w:pPr>
    </w:p>
    <w:p w14:paraId="650CCA37">
      <w:pPr>
        <w:pStyle w:val="5"/>
        <w:spacing w:line="251" w:lineRule="auto"/>
        <w:rPr>
          <w:color w:val="auto"/>
          <w:highlight w:val="none"/>
        </w:rPr>
      </w:pPr>
    </w:p>
    <w:p w14:paraId="3D198817">
      <w:pPr>
        <w:pStyle w:val="5"/>
        <w:spacing w:line="251" w:lineRule="auto"/>
        <w:rPr>
          <w:color w:val="auto"/>
          <w:highlight w:val="none"/>
        </w:rPr>
      </w:pPr>
    </w:p>
    <w:p w14:paraId="7A08E310">
      <w:pPr>
        <w:pStyle w:val="5"/>
        <w:spacing w:line="252" w:lineRule="auto"/>
        <w:rPr>
          <w:color w:val="auto"/>
          <w:highlight w:val="none"/>
        </w:rPr>
      </w:pPr>
    </w:p>
    <w:p w14:paraId="42891E6A">
      <w:pPr>
        <w:pStyle w:val="5"/>
        <w:spacing w:line="252" w:lineRule="auto"/>
        <w:rPr>
          <w:color w:val="auto"/>
          <w:highlight w:val="none"/>
        </w:rPr>
      </w:pPr>
    </w:p>
    <w:p w14:paraId="65ADEB59">
      <w:pPr>
        <w:pStyle w:val="5"/>
        <w:spacing w:line="252" w:lineRule="auto"/>
        <w:rPr>
          <w:color w:val="auto"/>
          <w:highlight w:val="none"/>
        </w:rPr>
      </w:pPr>
    </w:p>
    <w:p w14:paraId="7C806A4B">
      <w:pPr>
        <w:spacing w:before="104" w:line="220" w:lineRule="auto"/>
        <w:ind w:left="274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第五章  工程量清单</w:t>
      </w:r>
    </w:p>
    <w:p w14:paraId="68B7878F">
      <w:pPr>
        <w:spacing w:line="220" w:lineRule="auto"/>
        <w:rPr>
          <w:rFonts w:ascii="黑体" w:hAnsi="黑体" w:eastAsia="黑体" w:cs="黑体"/>
          <w:color w:val="auto"/>
          <w:sz w:val="32"/>
          <w:szCs w:val="32"/>
          <w:highlight w:val="none"/>
        </w:rPr>
        <w:sectPr>
          <w:footerReference r:id="rId115" w:type="default"/>
          <w:pgSz w:w="11905" w:h="16839"/>
          <w:pgMar w:top="400" w:right="1785" w:bottom="1004" w:left="1785" w:header="0" w:footer="828" w:gutter="0"/>
          <w:pgNumType w:fmt="decimal"/>
          <w:cols w:space="720" w:num="1"/>
        </w:sectPr>
      </w:pPr>
    </w:p>
    <w:p w14:paraId="7F6DA96C">
      <w:pPr>
        <w:pStyle w:val="5"/>
        <w:spacing w:line="252" w:lineRule="auto"/>
        <w:rPr>
          <w:color w:val="auto"/>
          <w:highlight w:val="none"/>
        </w:rPr>
      </w:pPr>
    </w:p>
    <w:p w14:paraId="38AF416F">
      <w:pPr>
        <w:pStyle w:val="5"/>
        <w:spacing w:line="252" w:lineRule="auto"/>
        <w:rPr>
          <w:color w:val="auto"/>
          <w:highlight w:val="none"/>
        </w:rPr>
      </w:pPr>
    </w:p>
    <w:p w14:paraId="100E1185">
      <w:pPr>
        <w:pStyle w:val="5"/>
        <w:spacing w:line="252" w:lineRule="auto"/>
        <w:rPr>
          <w:color w:val="auto"/>
          <w:highlight w:val="none"/>
        </w:rPr>
      </w:pPr>
    </w:p>
    <w:p w14:paraId="6D792532">
      <w:pPr>
        <w:pStyle w:val="5"/>
        <w:spacing w:line="253" w:lineRule="auto"/>
        <w:rPr>
          <w:color w:val="auto"/>
          <w:highlight w:val="none"/>
        </w:rPr>
      </w:pPr>
    </w:p>
    <w:p w14:paraId="22D290FE">
      <w:pPr>
        <w:spacing w:before="87" w:line="225" w:lineRule="auto"/>
        <w:ind w:left="3200"/>
        <w:outlineLvl w:val="0"/>
        <w:rPr>
          <w:rFonts w:ascii="黑体" w:hAnsi="黑体" w:eastAsia="黑体" w:cs="黑体"/>
          <w:color w:val="auto"/>
          <w:sz w:val="27"/>
          <w:szCs w:val="27"/>
          <w:highlight w:val="none"/>
        </w:rPr>
      </w:pPr>
      <w:bookmarkStart w:id="1724" w:name="_Toc5412"/>
      <w:bookmarkStart w:id="1725" w:name="_Toc19931"/>
      <w:bookmarkStart w:id="1726" w:name="_Toc22142"/>
      <w:bookmarkStart w:id="1727" w:name="_Toc15769"/>
      <w:r>
        <w:rPr>
          <w:rFonts w:ascii="黑体" w:hAnsi="黑体" w:eastAsia="黑体" w:cs="黑体"/>
          <w:color w:val="auto"/>
          <w:spacing w:val="7"/>
          <w:sz w:val="27"/>
          <w:szCs w:val="27"/>
          <w:highlight w:val="none"/>
        </w:rPr>
        <w:t>第五章  工程量清单</w:t>
      </w:r>
      <w:bookmarkEnd w:id="1724"/>
      <w:bookmarkEnd w:id="1725"/>
      <w:bookmarkEnd w:id="1726"/>
      <w:bookmarkEnd w:id="1727"/>
    </w:p>
    <w:p w14:paraId="495D2C7B">
      <w:pPr>
        <w:pStyle w:val="5"/>
        <w:spacing w:line="382" w:lineRule="auto"/>
        <w:rPr>
          <w:color w:val="auto"/>
          <w:highlight w:val="none"/>
        </w:rPr>
      </w:pPr>
    </w:p>
    <w:p w14:paraId="4D30700A">
      <w:pPr>
        <w:spacing w:before="78"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、招标工程量清单说明</w:t>
      </w:r>
    </w:p>
    <w:p w14:paraId="51907649">
      <w:pPr>
        <w:spacing w:before="164" w:line="219" w:lineRule="auto"/>
        <w:jc w:val="right"/>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1.1    </w:t>
      </w:r>
      <w:r>
        <w:rPr>
          <w:rFonts w:ascii="宋体" w:hAnsi="宋体" w:eastAsia="宋体" w:cs="宋体"/>
          <w:color w:val="auto"/>
          <w:sz w:val="21"/>
          <w:szCs w:val="21"/>
          <w:highlight w:val="none"/>
        </w:rPr>
        <w:t>本招标工程量清单是依据中华人民共和国国家标准《建设工程</w:t>
      </w:r>
      <w:r>
        <w:rPr>
          <w:rFonts w:ascii="宋体" w:hAnsi="宋体" w:eastAsia="宋体" w:cs="宋体"/>
          <w:color w:val="auto"/>
          <w:spacing w:val="-1"/>
          <w:sz w:val="21"/>
          <w:szCs w:val="21"/>
          <w:highlight w:val="none"/>
        </w:rPr>
        <w:t>工程量清单计价规范》</w:t>
      </w:r>
    </w:p>
    <w:p w14:paraId="7A8CFB5E">
      <w:pPr>
        <w:spacing w:before="181" w:line="378" w:lineRule="auto"/>
        <w:ind w:left="783" w:right="196" w:firstLine="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GB/T50500-2024</w:t>
      </w:r>
      <w:r>
        <w:rPr>
          <w:rFonts w:ascii="宋体" w:hAnsi="宋体" w:eastAsia="宋体" w:cs="宋体"/>
          <w:color w:val="auto"/>
          <w:sz w:val="21"/>
          <w:szCs w:val="21"/>
          <w:highlight w:val="none"/>
        </w:rPr>
        <w:t>）和配套的工程量计算规范（</w:t>
      </w:r>
      <w:r>
        <w:rPr>
          <w:rFonts w:hint="eastAsia" w:ascii="宋体" w:hAnsi="宋体" w:eastAsia="宋体" w:cs="宋体"/>
          <w:color w:val="auto"/>
          <w:sz w:val="21"/>
          <w:szCs w:val="21"/>
          <w:highlight w:val="none"/>
          <w:lang w:eastAsia="zh-CN"/>
        </w:rPr>
        <w:t>GB/T50854-2024</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/T</w:t>
      </w:r>
      <w:r>
        <w:rPr>
          <w:rFonts w:ascii="宋体" w:hAnsi="宋体" w:eastAsia="宋体" w:cs="宋体"/>
          <w:color w:val="auto"/>
          <w:sz w:val="21"/>
          <w:szCs w:val="21"/>
          <w:highlight w:val="none"/>
        </w:rPr>
        <w:t>50862-20</w:t>
      </w:r>
      <w:r>
        <w:rPr>
          <w:rFonts w:hint="eastAsia" w:ascii="宋体" w:hAnsi="宋体" w:eastAsia="宋体" w:cs="宋体"/>
          <w:color w:val="auto"/>
          <w:sz w:val="21"/>
          <w:szCs w:val="21"/>
          <w:highlight w:val="none"/>
          <w:lang w:val="en-US" w:eastAsia="zh-CN"/>
        </w:rPr>
        <w:t>24</w:t>
      </w:r>
      <w:r>
        <w:rPr>
          <w:rFonts w:ascii="宋体" w:hAnsi="宋体" w:eastAsia="宋体" w:cs="宋体"/>
          <w:color w:val="auto"/>
          <w:sz w:val="21"/>
          <w:szCs w:val="21"/>
          <w:highlight w:val="none"/>
        </w:rPr>
        <w:t xml:space="preserve">）、 </w:t>
      </w:r>
      <w:r>
        <w:rPr>
          <w:rFonts w:hint="eastAsia" w:ascii="Times New Roman" w:hAnsi="Times New Roman" w:eastAsia="宋体" w:cs="Times New Roman"/>
          <w:color w:val="auto"/>
          <w:spacing w:val="-3"/>
          <w:sz w:val="21"/>
          <w:szCs w:val="21"/>
          <w:highlight w:val="none"/>
          <w:lang w:eastAsia="zh-CN"/>
        </w:rPr>
        <w:t>2024年辽宁省建设工程计价依据</w:t>
      </w:r>
      <w:r>
        <w:rPr>
          <w:rFonts w:ascii="宋体" w:hAnsi="宋体" w:eastAsia="宋体" w:cs="宋体"/>
          <w:color w:val="auto"/>
          <w:spacing w:val="-3"/>
          <w:sz w:val="21"/>
          <w:szCs w:val="21"/>
          <w:highlight w:val="none"/>
        </w:rPr>
        <w:t>（以下简称“计价规范”、“计量规范”或“计价</w:t>
      </w:r>
    </w:p>
    <w:p w14:paraId="0B8B38FE">
      <w:pPr>
        <w:spacing w:before="1" w:line="220" w:lineRule="auto"/>
        <w:ind w:left="78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计量规范”）以及招标文件中包括的图纸等编制。</w:t>
      </w:r>
    </w:p>
    <w:p w14:paraId="6C6F8BB7">
      <w:pPr>
        <w:spacing w:before="176" w:line="300" w:lineRule="auto"/>
        <w:ind w:left="777" w:right="228" w:hanging="74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1.2    </w:t>
      </w:r>
      <w:r>
        <w:rPr>
          <w:rFonts w:ascii="宋体" w:hAnsi="宋体" w:eastAsia="宋体" w:cs="宋体"/>
          <w:color w:val="auto"/>
          <w:spacing w:val="-1"/>
          <w:sz w:val="21"/>
          <w:szCs w:val="21"/>
          <w:highlight w:val="none"/>
        </w:rPr>
        <w:t>本招标工程量清单应与招标文件中的投标人须知、通用合同条款、专用合同条款、</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技术标准和要求及图纸等章节内容一起阅读和理解。</w:t>
      </w:r>
    </w:p>
    <w:p w14:paraId="1BC3E424">
      <w:pPr>
        <w:spacing w:before="182" w:line="220" w:lineRule="auto"/>
        <w:ind w:left="34"/>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黑体" w:hAnsi="黑体" w:eastAsia="黑体" w:cs="黑体"/>
          <w:color w:val="auto"/>
          <w:spacing w:val="-3"/>
          <w:sz w:val="21"/>
          <w:szCs w:val="21"/>
          <w:highlight w:val="none"/>
        </w:rPr>
        <w:t>.3</w:t>
      </w:r>
      <w:r>
        <w:rPr>
          <w:rFonts w:ascii="黑体" w:hAnsi="黑体" w:eastAsia="黑体" w:cs="黑体"/>
          <w:color w:val="auto"/>
          <w:spacing w:val="31"/>
          <w:sz w:val="21"/>
          <w:szCs w:val="21"/>
          <w:highlight w:val="none"/>
        </w:rPr>
        <w:t xml:space="preserve">  </w:t>
      </w:r>
      <w:r>
        <w:rPr>
          <w:rFonts w:ascii="宋体" w:hAnsi="宋体" w:eastAsia="宋体" w:cs="宋体"/>
          <w:color w:val="auto"/>
          <w:spacing w:val="-3"/>
          <w:sz w:val="21"/>
          <w:szCs w:val="21"/>
          <w:highlight w:val="none"/>
        </w:rPr>
        <w:t>本招标工程量清单作为招标文件的组成部分，</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其准确性和完整性应由招标人负责。</w:t>
      </w:r>
    </w:p>
    <w:p w14:paraId="16070174">
      <w:pPr>
        <w:spacing w:before="177" w:line="301" w:lineRule="auto"/>
        <w:ind w:left="735" w:right="197" w:hanging="70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1.4    </w:t>
      </w:r>
      <w:r>
        <w:rPr>
          <w:rFonts w:ascii="宋体" w:hAnsi="宋体" w:eastAsia="宋体" w:cs="宋体"/>
          <w:color w:val="auto"/>
          <w:sz w:val="21"/>
          <w:szCs w:val="21"/>
          <w:highlight w:val="none"/>
        </w:rPr>
        <w:t>分部分项工程和单价措施项目清单必须载明项目编码、项目名称、项目特征、计量</w:t>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t>单位和工程量。</w:t>
      </w:r>
    </w:p>
    <w:p w14:paraId="0BA9C2E0">
      <w:pPr>
        <w:spacing w:before="176" w:line="300" w:lineRule="auto"/>
        <w:ind w:left="805" w:right="197" w:hanging="772"/>
        <w:rPr>
          <w:rFonts w:ascii="宋体" w:hAnsi="宋体" w:eastAsia="宋体" w:cs="宋体"/>
          <w:color w:val="auto"/>
          <w:sz w:val="21"/>
          <w:szCs w:val="21"/>
          <w:highlight w:val="none"/>
        </w:rPr>
      </w:pPr>
      <w:r>
        <w:rPr>
          <w:rFonts w:ascii="宋体" w:hAnsi="宋体" w:eastAsia="宋体" w:cs="宋体"/>
          <w:color w:val="auto"/>
          <w:sz w:val="21"/>
          <w:szCs w:val="21"/>
          <w:highlight w:val="none"/>
        </w:rPr>
        <w:t>1</w:t>
      </w:r>
      <w:r>
        <w:rPr>
          <w:rFonts w:ascii="黑体" w:hAnsi="黑体" w:eastAsia="黑体" w:cs="黑体"/>
          <w:color w:val="auto"/>
          <w:sz w:val="21"/>
          <w:szCs w:val="21"/>
          <w:highlight w:val="none"/>
        </w:rPr>
        <w:t xml:space="preserve">.5    </w:t>
      </w:r>
      <w:r>
        <w:rPr>
          <w:rFonts w:ascii="宋体" w:hAnsi="宋体" w:eastAsia="宋体" w:cs="宋体"/>
          <w:color w:val="auto"/>
          <w:sz w:val="21"/>
          <w:szCs w:val="21"/>
          <w:highlight w:val="none"/>
        </w:rPr>
        <w:t>分部分项工程和单价措施项目清单必须根据相关工程现行国家及省计价计量规</w:t>
      </w:r>
      <w:r>
        <w:rPr>
          <w:rFonts w:ascii="宋体" w:hAnsi="宋体" w:eastAsia="宋体" w:cs="宋体"/>
          <w:color w:val="auto"/>
          <w:spacing w:val="-1"/>
          <w:sz w:val="21"/>
          <w:szCs w:val="21"/>
          <w:highlight w:val="none"/>
        </w:rPr>
        <w:t>范规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定的项目编码、项目名称、项目特征、计量单位和工程量计算规则进行编制。</w:t>
      </w:r>
    </w:p>
    <w:p w14:paraId="0F0F0128">
      <w:pPr>
        <w:spacing w:before="181" w:line="219" w:lineRule="auto"/>
        <w:ind w:left="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w:t>
      </w:r>
      <w:r>
        <w:rPr>
          <w:rFonts w:ascii="黑体" w:hAnsi="黑体" w:eastAsia="黑体" w:cs="黑体"/>
          <w:color w:val="auto"/>
          <w:spacing w:val="-1"/>
          <w:sz w:val="21"/>
          <w:szCs w:val="21"/>
          <w:highlight w:val="none"/>
        </w:rPr>
        <w:t xml:space="preserve">.6    </w:t>
      </w:r>
      <w:r>
        <w:rPr>
          <w:rFonts w:ascii="宋体" w:hAnsi="宋体" w:eastAsia="宋体" w:cs="宋体"/>
          <w:color w:val="auto"/>
          <w:spacing w:val="-1"/>
          <w:sz w:val="21"/>
          <w:szCs w:val="21"/>
          <w:highlight w:val="none"/>
        </w:rPr>
        <w:t>总价措施项目清单必须根据相关工程现行国家及省计价计量规范的规定编制。</w:t>
      </w:r>
    </w:p>
    <w:p w14:paraId="5390631B">
      <w:pPr>
        <w:spacing w:before="178"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1.7    </w:t>
      </w:r>
      <w:r>
        <w:rPr>
          <w:rFonts w:ascii="宋体" w:hAnsi="宋体" w:eastAsia="宋体" w:cs="宋体"/>
          <w:color w:val="auto"/>
          <w:spacing w:val="-1"/>
          <w:sz w:val="21"/>
          <w:szCs w:val="21"/>
          <w:highlight w:val="none"/>
        </w:rPr>
        <w:t>其他项目、规费和税金项目清单应按照现行国家及省计价计量规范的规定编制。</w:t>
      </w:r>
    </w:p>
    <w:p w14:paraId="4472B1F2">
      <w:pPr>
        <w:spacing w:before="183" w:line="298" w:lineRule="auto"/>
        <w:ind w:left="753" w:right="206" w:hanging="724"/>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1.8    </w:t>
      </w:r>
      <w:r>
        <w:rPr>
          <w:rFonts w:ascii="宋体" w:hAnsi="宋体" w:eastAsia="宋体" w:cs="宋体"/>
          <w:color w:val="auto"/>
          <w:sz w:val="21"/>
          <w:szCs w:val="21"/>
          <w:highlight w:val="none"/>
        </w:rPr>
        <w:t>编制招标工程量清单出现相关工程现行国家计量规范附录中未包括的</w:t>
      </w:r>
      <w:r>
        <w:rPr>
          <w:rFonts w:ascii="宋体" w:hAnsi="宋体" w:eastAsia="宋体" w:cs="宋体"/>
          <w:color w:val="auto"/>
          <w:spacing w:val="-1"/>
          <w:sz w:val="21"/>
          <w:szCs w:val="21"/>
          <w:highlight w:val="none"/>
        </w:rPr>
        <w:t>项目，编制人</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应做补充。</w:t>
      </w:r>
    </w:p>
    <w:p w14:paraId="472615CC">
      <w:pPr>
        <w:spacing w:before="181" w:line="428" w:lineRule="exact"/>
        <w:ind w:left="758"/>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补充项目的编码规则按相关工程现行国家及省计价计量规范的规定编制，同一招标</w:t>
      </w:r>
    </w:p>
    <w:p w14:paraId="73F8EB0B">
      <w:pPr>
        <w:spacing w:before="1" w:line="220" w:lineRule="auto"/>
        <w:ind w:left="7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工程的同一个单位工程内项目不得重码。</w:t>
      </w:r>
    </w:p>
    <w:p w14:paraId="0D68F34E">
      <w:pPr>
        <w:spacing w:before="181" w:line="432" w:lineRule="exact"/>
        <w:ind w:right="14"/>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补充的工程量清单需附有补充项目的名称、</w:t>
      </w:r>
      <w:r>
        <w:rPr>
          <w:rFonts w:ascii="宋体" w:hAnsi="宋体" w:eastAsia="宋体" w:cs="宋体"/>
          <w:color w:val="auto"/>
          <w:spacing w:val="-1"/>
          <w:position w:val="16"/>
          <w:sz w:val="21"/>
          <w:szCs w:val="21"/>
          <w:highlight w:val="none"/>
        </w:rPr>
        <w:t>项目特征、计量单位、工程量计算规则、</w:t>
      </w:r>
    </w:p>
    <w:p w14:paraId="68681D98">
      <w:pPr>
        <w:spacing w:before="1" w:line="219" w:lineRule="auto"/>
        <w:ind w:right="14"/>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工作内容。不能计量的措施项目，需附有补充项目的名称、工作内容及包含范围。</w:t>
      </w:r>
    </w:p>
    <w:p w14:paraId="112BE4F5">
      <w:pPr>
        <w:spacing w:before="176" w:line="339" w:lineRule="auto"/>
        <w:ind w:left="757" w:right="197" w:hanging="728"/>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1.9    </w:t>
      </w:r>
      <w:r>
        <w:rPr>
          <w:rFonts w:ascii="宋体" w:hAnsi="宋体" w:eastAsia="宋体" w:cs="宋体"/>
          <w:color w:val="auto"/>
          <w:sz w:val="21"/>
          <w:szCs w:val="21"/>
          <w:highlight w:val="none"/>
        </w:rPr>
        <w:t>本招标工程量清单仅是投标报价的共同基础，采用工程量清单方式招标形成的无论</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是单价合同还是总价合同，其工程量必须以承包人完成合同工程应予计量的工程量</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确定。 合同价格的确定以及价款支付应遵循合同条款（包括通用合同条款和专用合</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同条款）、技术标准和要求以及本章的有关约定。</w:t>
      </w:r>
    </w:p>
    <w:p w14:paraId="1E55A2FC">
      <w:pPr>
        <w:spacing w:before="182"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1.10   </w:t>
      </w:r>
      <w:r>
        <w:rPr>
          <w:rFonts w:ascii="宋体" w:hAnsi="宋体" w:eastAsia="宋体" w:cs="宋体"/>
          <w:color w:val="auto"/>
          <w:spacing w:val="-1"/>
          <w:sz w:val="21"/>
          <w:szCs w:val="21"/>
          <w:highlight w:val="none"/>
        </w:rPr>
        <w:t>除招标文件另有约定外，本条第</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1.1</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款中约定的计量和计价规则适用于本招标工程</w:t>
      </w:r>
    </w:p>
    <w:p w14:paraId="014B5A0F">
      <w:pPr>
        <w:spacing w:before="180" w:line="378" w:lineRule="auto"/>
        <w:ind w:left="802" w:right="202" w:firstLine="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发承包及实施阶段的计价活动包括：招标工程量清单、最高投标</w:t>
      </w:r>
      <w:r>
        <w:rPr>
          <w:rFonts w:ascii="宋体" w:hAnsi="宋体" w:eastAsia="宋体" w:cs="宋体"/>
          <w:color w:val="auto"/>
          <w:spacing w:val="4"/>
          <w:sz w:val="21"/>
          <w:szCs w:val="21"/>
          <w:highlight w:val="none"/>
        </w:rPr>
        <w:t>限价、投标报价</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的编制，工程合同价款的约定，竣工结算的办理以及施工过程中的工程量计量、</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合同价款支付、施工索赔与现场签证、合同价款调整和合同价款争议</w:t>
      </w:r>
      <w:r>
        <w:rPr>
          <w:rFonts w:ascii="宋体" w:hAnsi="宋体" w:eastAsia="宋体" w:cs="宋体"/>
          <w:color w:val="auto"/>
          <w:spacing w:val="4"/>
          <w:sz w:val="21"/>
          <w:szCs w:val="21"/>
          <w:highlight w:val="none"/>
        </w:rPr>
        <w:t>的解决等活</w:t>
      </w:r>
    </w:p>
    <w:p w14:paraId="4A2740AD">
      <w:pPr>
        <w:spacing w:line="221" w:lineRule="auto"/>
        <w:ind w:left="80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动。</w:t>
      </w:r>
    </w:p>
    <w:p w14:paraId="5D4A780B">
      <w:pPr>
        <w:spacing w:before="176"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1.11   </w:t>
      </w:r>
      <w:r>
        <w:rPr>
          <w:rFonts w:ascii="宋体" w:hAnsi="宋体" w:eastAsia="宋体" w:cs="宋体"/>
          <w:color w:val="auto"/>
          <w:spacing w:val="-1"/>
          <w:sz w:val="21"/>
          <w:szCs w:val="21"/>
          <w:highlight w:val="none"/>
        </w:rPr>
        <w:t>本条与下述第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条和第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条的说明内容是构成合同文件的已标价工程量清单的组成</w:t>
      </w:r>
    </w:p>
    <w:p w14:paraId="0CC12CE9">
      <w:pPr>
        <w:spacing w:line="219" w:lineRule="auto"/>
        <w:rPr>
          <w:rFonts w:ascii="宋体" w:hAnsi="宋体" w:eastAsia="宋体" w:cs="宋体"/>
          <w:color w:val="auto"/>
          <w:sz w:val="21"/>
          <w:szCs w:val="21"/>
          <w:highlight w:val="none"/>
        </w:rPr>
        <w:sectPr>
          <w:footerReference r:id="rId116" w:type="default"/>
          <w:pgSz w:w="11905" w:h="16839"/>
          <w:pgMar w:top="400" w:right="1592" w:bottom="1004" w:left="1785" w:header="0" w:footer="828" w:gutter="0"/>
          <w:pgNumType w:fmt="decimal"/>
          <w:cols w:space="720" w:num="1"/>
        </w:sectPr>
      </w:pPr>
    </w:p>
    <w:p w14:paraId="44FF4F5A">
      <w:pPr>
        <w:pStyle w:val="5"/>
        <w:spacing w:line="282" w:lineRule="auto"/>
        <w:rPr>
          <w:color w:val="auto"/>
          <w:highlight w:val="none"/>
        </w:rPr>
      </w:pPr>
    </w:p>
    <w:p w14:paraId="2DEC3306">
      <w:pPr>
        <w:pStyle w:val="5"/>
        <w:spacing w:line="282" w:lineRule="auto"/>
        <w:rPr>
          <w:color w:val="auto"/>
          <w:highlight w:val="none"/>
        </w:rPr>
      </w:pPr>
    </w:p>
    <w:p w14:paraId="2405EF24">
      <w:pPr>
        <w:pStyle w:val="5"/>
        <w:spacing w:line="282" w:lineRule="auto"/>
        <w:rPr>
          <w:color w:val="auto"/>
          <w:highlight w:val="none"/>
        </w:rPr>
      </w:pPr>
    </w:p>
    <w:p w14:paraId="47A36346">
      <w:pPr>
        <w:pStyle w:val="5"/>
        <w:spacing w:line="282" w:lineRule="auto"/>
        <w:rPr>
          <w:color w:val="auto"/>
          <w:highlight w:val="none"/>
        </w:rPr>
      </w:pPr>
    </w:p>
    <w:p w14:paraId="292B3AF0">
      <w:pPr>
        <w:spacing w:before="69" w:line="221" w:lineRule="auto"/>
        <w:ind w:left="78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部分。</w:t>
      </w:r>
    </w:p>
    <w:p w14:paraId="1228BE82">
      <w:pPr>
        <w:spacing w:before="228" w:line="218"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2</w:t>
      </w:r>
      <w:r>
        <w:rPr>
          <w:rFonts w:ascii="黑体" w:hAnsi="黑体" w:eastAsia="黑体" w:cs="黑体"/>
          <w:color w:val="auto"/>
          <w:spacing w:val="-4"/>
          <w:sz w:val="24"/>
          <w:szCs w:val="24"/>
          <w:highlight w:val="none"/>
        </w:rPr>
        <w:t>、投标报价说明</w:t>
      </w:r>
    </w:p>
    <w:p w14:paraId="147CB567">
      <w:pPr>
        <w:spacing w:before="164" w:line="432" w:lineRule="exact"/>
        <w:ind w:left="16"/>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 xml:space="preserve">2.1    </w:t>
      </w:r>
      <w:r>
        <w:rPr>
          <w:rFonts w:ascii="宋体" w:hAnsi="宋体" w:eastAsia="宋体" w:cs="宋体"/>
          <w:color w:val="auto"/>
          <w:spacing w:val="-1"/>
          <w:position w:val="16"/>
          <w:sz w:val="21"/>
          <w:szCs w:val="21"/>
          <w:highlight w:val="none"/>
        </w:rPr>
        <w:t>投标报价应根据招标文件中的有关计价要求，并按照下列依据自主报价。</w:t>
      </w:r>
    </w:p>
    <w:p w14:paraId="18F52184">
      <w:pPr>
        <w:spacing w:line="219" w:lineRule="auto"/>
        <w:ind w:left="758"/>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（1）</w:t>
      </w:r>
      <w:r>
        <w:rPr>
          <w:rFonts w:ascii="黑体" w:hAnsi="黑体" w:eastAsia="黑体" w:cs="黑体"/>
          <w:color w:val="auto"/>
          <w:spacing w:val="56"/>
          <w:sz w:val="21"/>
          <w:szCs w:val="21"/>
          <w:highlight w:val="none"/>
        </w:rPr>
        <w:t xml:space="preserve"> </w:t>
      </w:r>
      <w:r>
        <w:rPr>
          <w:rFonts w:ascii="宋体" w:hAnsi="宋体" w:eastAsia="宋体" w:cs="宋体"/>
          <w:color w:val="auto"/>
          <w:spacing w:val="-6"/>
          <w:sz w:val="21"/>
          <w:szCs w:val="21"/>
          <w:highlight w:val="none"/>
        </w:rPr>
        <w:t>《建设工程工程量清单计价规范》（</w:t>
      </w:r>
      <w:r>
        <w:rPr>
          <w:rFonts w:hint="eastAsia" w:ascii="宋体" w:hAnsi="宋体" w:eastAsia="宋体" w:cs="宋体"/>
          <w:color w:val="auto"/>
          <w:spacing w:val="-6"/>
          <w:sz w:val="21"/>
          <w:szCs w:val="21"/>
          <w:highlight w:val="none"/>
          <w:lang w:eastAsia="zh-CN"/>
        </w:rPr>
        <w:t>GB/T50500-2024</w:t>
      </w:r>
      <w:r>
        <w:rPr>
          <w:rFonts w:ascii="宋体" w:hAnsi="宋体" w:eastAsia="宋体" w:cs="宋体"/>
          <w:color w:val="auto"/>
          <w:spacing w:val="-37"/>
          <w:sz w:val="21"/>
          <w:szCs w:val="21"/>
          <w:highlight w:val="none"/>
        </w:rPr>
        <w:t>）；</w:t>
      </w:r>
    </w:p>
    <w:p w14:paraId="720B43FA">
      <w:pPr>
        <w:spacing w:before="182" w:line="219" w:lineRule="auto"/>
        <w:ind w:left="75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  </w:t>
      </w:r>
      <w:r>
        <w:rPr>
          <w:rFonts w:ascii="宋体" w:hAnsi="宋体" w:eastAsia="宋体" w:cs="宋体"/>
          <w:color w:val="auto"/>
          <w:spacing w:val="-2"/>
          <w:sz w:val="21"/>
          <w:szCs w:val="21"/>
          <w:highlight w:val="none"/>
        </w:rPr>
        <w:t>国家或省级、行业建设主管部门颁发的计价办法；</w:t>
      </w:r>
    </w:p>
    <w:p w14:paraId="67A1F237">
      <w:pPr>
        <w:spacing w:before="177" w:line="433" w:lineRule="exact"/>
        <w:ind w:left="758"/>
        <w:rPr>
          <w:rFonts w:ascii="宋体" w:hAnsi="宋体" w:eastAsia="宋体" w:cs="宋体"/>
          <w:color w:val="auto"/>
          <w:sz w:val="21"/>
          <w:szCs w:val="21"/>
          <w:highlight w:val="none"/>
        </w:rPr>
      </w:pPr>
      <w:r>
        <w:rPr>
          <w:rFonts w:ascii="黑体" w:hAnsi="黑体" w:eastAsia="黑体" w:cs="黑体"/>
          <w:color w:val="auto"/>
          <w:spacing w:val="-2"/>
          <w:position w:val="17"/>
          <w:sz w:val="21"/>
          <w:szCs w:val="21"/>
          <w:highlight w:val="none"/>
        </w:rPr>
        <w:t xml:space="preserve">（3）  </w:t>
      </w:r>
      <w:r>
        <w:rPr>
          <w:rFonts w:ascii="宋体" w:hAnsi="宋体" w:eastAsia="宋体" w:cs="宋体"/>
          <w:color w:val="auto"/>
          <w:spacing w:val="-2"/>
          <w:position w:val="17"/>
          <w:sz w:val="21"/>
          <w:szCs w:val="21"/>
          <w:highlight w:val="none"/>
        </w:rPr>
        <w:t>企业定额，国家或省级、行业建设主管部门颁发的计价定额和计价办法；</w:t>
      </w:r>
    </w:p>
    <w:p w14:paraId="7AFC00B8">
      <w:pPr>
        <w:spacing w:line="220" w:lineRule="auto"/>
        <w:ind w:left="75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（4）  </w:t>
      </w:r>
      <w:r>
        <w:rPr>
          <w:rFonts w:ascii="宋体" w:hAnsi="宋体" w:eastAsia="宋体" w:cs="宋体"/>
          <w:color w:val="auto"/>
          <w:spacing w:val="-1"/>
          <w:sz w:val="21"/>
          <w:szCs w:val="21"/>
          <w:highlight w:val="none"/>
        </w:rPr>
        <w:t>招标文件（包括招标工程量清单）及其澄清、修改文件；</w:t>
      </w:r>
    </w:p>
    <w:p w14:paraId="4B372214">
      <w:pPr>
        <w:spacing w:before="176" w:line="221" w:lineRule="auto"/>
        <w:ind w:left="75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 xml:space="preserve">（5）  </w:t>
      </w:r>
      <w:r>
        <w:rPr>
          <w:rFonts w:ascii="宋体" w:hAnsi="宋体" w:eastAsia="宋体" w:cs="宋体"/>
          <w:color w:val="auto"/>
          <w:spacing w:val="-3"/>
          <w:sz w:val="21"/>
          <w:szCs w:val="21"/>
          <w:highlight w:val="none"/>
        </w:rPr>
        <w:t>建设工程设计文件及相关资料；</w:t>
      </w:r>
    </w:p>
    <w:p w14:paraId="5958266F">
      <w:pPr>
        <w:spacing w:before="181" w:line="423" w:lineRule="exact"/>
        <w:ind w:left="758"/>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 xml:space="preserve">（6）  </w:t>
      </w:r>
      <w:r>
        <w:rPr>
          <w:rFonts w:ascii="宋体" w:hAnsi="宋体" w:eastAsia="宋体" w:cs="宋体"/>
          <w:color w:val="auto"/>
          <w:spacing w:val="-1"/>
          <w:position w:val="16"/>
          <w:sz w:val="21"/>
          <w:szCs w:val="21"/>
          <w:highlight w:val="none"/>
        </w:rPr>
        <w:t>施工现场情况、工程特点及投标时拟定的施</w:t>
      </w:r>
      <w:r>
        <w:rPr>
          <w:rFonts w:ascii="宋体" w:hAnsi="宋体" w:eastAsia="宋体" w:cs="宋体"/>
          <w:color w:val="auto"/>
          <w:spacing w:val="-2"/>
          <w:position w:val="16"/>
          <w:sz w:val="21"/>
          <w:szCs w:val="21"/>
          <w:highlight w:val="none"/>
        </w:rPr>
        <w:t>工组织设计或施工方案；</w:t>
      </w:r>
    </w:p>
    <w:p w14:paraId="5424FB7C">
      <w:pPr>
        <w:spacing w:line="220" w:lineRule="auto"/>
        <w:ind w:left="75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（7） </w:t>
      </w:r>
      <w:r>
        <w:rPr>
          <w:rFonts w:ascii="宋体" w:hAnsi="宋体" w:eastAsia="宋体" w:cs="宋体"/>
          <w:color w:val="auto"/>
          <w:spacing w:val="-1"/>
          <w:sz w:val="21"/>
          <w:szCs w:val="21"/>
          <w:highlight w:val="none"/>
        </w:rPr>
        <w:t>与建设项目相关的标准、规范等技术资料；</w:t>
      </w:r>
    </w:p>
    <w:p w14:paraId="3ED32F19">
      <w:pPr>
        <w:spacing w:before="172" w:line="418" w:lineRule="exact"/>
        <w:ind w:left="758"/>
        <w:rPr>
          <w:rFonts w:ascii="宋体" w:hAnsi="宋体" w:eastAsia="宋体" w:cs="宋体"/>
          <w:color w:val="auto"/>
          <w:sz w:val="21"/>
          <w:szCs w:val="21"/>
          <w:highlight w:val="none"/>
        </w:rPr>
      </w:pPr>
      <w:r>
        <w:rPr>
          <w:rFonts w:ascii="黑体" w:hAnsi="黑体" w:eastAsia="黑体" w:cs="黑体"/>
          <w:color w:val="auto"/>
          <w:spacing w:val="-1"/>
          <w:position w:val="15"/>
          <w:sz w:val="21"/>
          <w:szCs w:val="21"/>
          <w:highlight w:val="none"/>
        </w:rPr>
        <w:t xml:space="preserve">（8） </w:t>
      </w:r>
      <w:r>
        <w:rPr>
          <w:rFonts w:ascii="宋体" w:hAnsi="宋体" w:eastAsia="宋体" w:cs="宋体"/>
          <w:color w:val="auto"/>
          <w:spacing w:val="-1"/>
          <w:position w:val="15"/>
          <w:sz w:val="21"/>
          <w:szCs w:val="21"/>
          <w:highlight w:val="none"/>
        </w:rPr>
        <w:t>市场价格信息或官方机构发布的工程造价信息；</w:t>
      </w:r>
    </w:p>
    <w:p w14:paraId="5B9C5DCD">
      <w:pPr>
        <w:spacing w:line="221" w:lineRule="auto"/>
        <w:ind w:left="75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 xml:space="preserve">（9）  </w:t>
      </w:r>
      <w:r>
        <w:rPr>
          <w:rFonts w:ascii="宋体" w:hAnsi="宋体" w:eastAsia="宋体" w:cs="宋体"/>
          <w:color w:val="auto"/>
          <w:spacing w:val="-3"/>
          <w:sz w:val="21"/>
          <w:szCs w:val="21"/>
          <w:highlight w:val="none"/>
        </w:rPr>
        <w:t>其他的相关资料。</w:t>
      </w:r>
    </w:p>
    <w:p w14:paraId="1447112B">
      <w:pPr>
        <w:spacing w:before="172" w:line="294" w:lineRule="auto"/>
        <w:ind w:left="755" w:right="175" w:hanging="739"/>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2.2  </w:t>
      </w:r>
      <w:r>
        <w:rPr>
          <w:rFonts w:ascii="宋体" w:hAnsi="宋体" w:eastAsia="宋体" w:cs="宋体"/>
          <w:color w:val="auto"/>
          <w:sz w:val="21"/>
          <w:szCs w:val="21"/>
          <w:highlight w:val="none"/>
        </w:rPr>
        <w:t>投标人必须按招标工程量清单填报价格。项目编码、项目名称、项目特征、计量单位</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必须与招标工程量清单一致。</w:t>
      </w:r>
    </w:p>
    <w:p w14:paraId="51686E30">
      <w:pPr>
        <w:spacing w:before="169" w:line="340" w:lineRule="auto"/>
        <w:ind w:left="786" w:right="175" w:hanging="77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2.3  </w:t>
      </w:r>
      <w:r>
        <w:rPr>
          <w:rFonts w:ascii="宋体" w:hAnsi="宋体" w:eastAsia="宋体" w:cs="宋体"/>
          <w:color w:val="auto"/>
          <w:sz w:val="21"/>
          <w:szCs w:val="21"/>
          <w:highlight w:val="none"/>
        </w:rPr>
        <w:t>工程量清单应采用综合单价计价。综合单价中应包括招标文件中划分的应由投标人承</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担的风险范围及其费用，招标文件中没有明确的，</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应提请招标人</w:t>
      </w:r>
      <w:r>
        <w:rPr>
          <w:rFonts w:ascii="宋体" w:hAnsi="宋体" w:eastAsia="宋体" w:cs="宋体"/>
          <w:color w:val="auto"/>
          <w:spacing w:val="2"/>
          <w:sz w:val="21"/>
          <w:szCs w:val="21"/>
          <w:highlight w:val="none"/>
        </w:rPr>
        <w:t>明确。即工程量</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清单中标价的单价或金额，应包括所需人工费、材料费、施工机械使用费和企业</w:t>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管理费及利润，以及一定范围内的风险费用。所谓“一定范围内的风险”是指合</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同约定的风险。</w:t>
      </w:r>
    </w:p>
    <w:p w14:paraId="56B9010A">
      <w:pPr>
        <w:spacing w:before="167" w:line="332" w:lineRule="auto"/>
        <w:ind w:left="777" w:right="175" w:hanging="74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2.4  </w:t>
      </w:r>
      <w:r>
        <w:rPr>
          <w:rFonts w:ascii="宋体" w:hAnsi="宋体" w:eastAsia="宋体" w:cs="宋体"/>
          <w:color w:val="auto"/>
          <w:sz w:val="21"/>
          <w:szCs w:val="21"/>
          <w:highlight w:val="none"/>
        </w:rPr>
        <w:t>招标工程量清单与计价表中列明的所有需要填写单价和合价的项目，投标人均应填写</w:t>
      </w:r>
      <w:r>
        <w:rPr>
          <w:rFonts w:ascii="宋体" w:hAnsi="宋体" w:eastAsia="宋体" w:cs="宋体"/>
          <w:color w:val="auto"/>
          <w:spacing w:val="1"/>
          <w:sz w:val="21"/>
          <w:szCs w:val="21"/>
          <w:highlight w:val="none"/>
        </w:rPr>
        <w:t xml:space="preserve"> </w:t>
      </w:r>
      <w:r>
        <w:rPr>
          <w:rFonts w:ascii="宋体" w:hAnsi="宋体" w:eastAsia="宋体" w:cs="宋体"/>
          <w:color w:val="auto"/>
          <w:spacing w:val="6"/>
          <w:sz w:val="21"/>
          <w:szCs w:val="21"/>
          <w:highlight w:val="none"/>
        </w:rPr>
        <w:t>且只允许有一个报价。未填写单价和合价的项</w:t>
      </w:r>
      <w:r>
        <w:rPr>
          <w:rFonts w:ascii="宋体" w:hAnsi="宋体" w:eastAsia="宋体" w:cs="宋体"/>
          <w:color w:val="auto"/>
          <w:spacing w:val="5"/>
          <w:sz w:val="21"/>
          <w:szCs w:val="21"/>
          <w:highlight w:val="none"/>
        </w:rPr>
        <w:t>目，可视为此项费用已经包含在已</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标价工程量清单中其他项目的单价或合价之中</w:t>
      </w:r>
      <w:r>
        <w:rPr>
          <w:rFonts w:ascii="宋体" w:hAnsi="宋体" w:eastAsia="宋体" w:cs="宋体"/>
          <w:color w:val="auto"/>
          <w:spacing w:val="5"/>
          <w:sz w:val="21"/>
          <w:szCs w:val="21"/>
          <w:highlight w:val="none"/>
        </w:rPr>
        <w:t>。当竣工结算时，此项目不得重新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组价予以调整。</w:t>
      </w:r>
    </w:p>
    <w:p w14:paraId="242235FB">
      <w:pPr>
        <w:spacing w:before="168" w:line="320" w:lineRule="auto"/>
        <w:ind w:left="786" w:hanging="77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2.5  </w:t>
      </w:r>
      <w:r>
        <w:rPr>
          <w:rFonts w:ascii="宋体" w:hAnsi="宋体" w:eastAsia="宋体" w:cs="宋体"/>
          <w:color w:val="auto"/>
          <w:sz w:val="21"/>
          <w:szCs w:val="21"/>
          <w:highlight w:val="none"/>
        </w:rPr>
        <w:t xml:space="preserve">“投标报价汇总表”中的投标总价由分部分项工程费、措施项目费、其他项目费、规  </w:t>
      </w:r>
      <w:r>
        <w:rPr>
          <w:rFonts w:ascii="宋体" w:hAnsi="宋体" w:eastAsia="宋体" w:cs="宋体"/>
          <w:color w:val="auto"/>
          <w:spacing w:val="5"/>
          <w:sz w:val="21"/>
          <w:szCs w:val="21"/>
          <w:highlight w:val="none"/>
        </w:rPr>
        <w:t>费和税金组成，并且“投标报价汇总表”中的投标总价应当与构</w:t>
      </w:r>
      <w:r>
        <w:rPr>
          <w:rFonts w:ascii="宋体" w:hAnsi="宋体" w:eastAsia="宋体" w:cs="宋体"/>
          <w:color w:val="auto"/>
          <w:spacing w:val="4"/>
          <w:sz w:val="21"/>
          <w:szCs w:val="21"/>
          <w:highlight w:val="none"/>
        </w:rPr>
        <w:t>成已标价工程量  清单的分部分项工程费、措施项目费、其他项目费、规费、税金的合计金额一致。</w:t>
      </w:r>
    </w:p>
    <w:p w14:paraId="6D2A5AA7">
      <w:pPr>
        <w:spacing w:before="171"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  </w:t>
      </w:r>
      <w:r>
        <w:rPr>
          <w:rFonts w:ascii="宋体" w:hAnsi="宋体" w:eastAsia="宋体" w:cs="宋体"/>
          <w:color w:val="auto"/>
          <w:sz w:val="21"/>
          <w:szCs w:val="21"/>
          <w:highlight w:val="none"/>
        </w:rPr>
        <w:t>分部分项工程和单价措施项目按下列要</w:t>
      </w:r>
      <w:r>
        <w:rPr>
          <w:rFonts w:ascii="宋体" w:hAnsi="宋体" w:eastAsia="宋体" w:cs="宋体"/>
          <w:color w:val="auto"/>
          <w:spacing w:val="-1"/>
          <w:sz w:val="21"/>
          <w:szCs w:val="21"/>
          <w:highlight w:val="none"/>
        </w:rPr>
        <w:t>求报价：</w:t>
      </w:r>
    </w:p>
    <w:p w14:paraId="7CF50DAC">
      <w:pPr>
        <w:spacing w:before="170" w:line="295" w:lineRule="auto"/>
        <w:ind w:left="752" w:right="195" w:hanging="73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2.6.1</w:t>
      </w:r>
      <w:r>
        <w:rPr>
          <w:rFonts w:ascii="黑体" w:hAnsi="黑体" w:eastAsia="黑体" w:cs="黑体"/>
          <w:color w:val="auto"/>
          <w:spacing w:val="59"/>
          <w:sz w:val="21"/>
          <w:szCs w:val="21"/>
          <w:highlight w:val="none"/>
        </w:rPr>
        <w:t xml:space="preserve"> </w:t>
      </w:r>
      <w:r>
        <w:rPr>
          <w:rFonts w:ascii="宋体" w:hAnsi="宋体" w:eastAsia="宋体" w:cs="宋体"/>
          <w:color w:val="auto"/>
          <w:spacing w:val="1"/>
          <w:sz w:val="21"/>
          <w:szCs w:val="21"/>
          <w:highlight w:val="none"/>
        </w:rPr>
        <w:t>分部分项工程和单价措施项目，应根据招标文件和招标工程量清单中的项目特征描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述确定综合单价。</w:t>
      </w:r>
    </w:p>
    <w:p w14:paraId="1C9BF431">
      <w:pPr>
        <w:spacing w:before="169" w:line="295" w:lineRule="auto"/>
        <w:ind w:left="790" w:right="183" w:hanging="774"/>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2.6.2</w:t>
      </w:r>
      <w:r>
        <w:rPr>
          <w:rFonts w:ascii="黑体" w:hAnsi="黑体" w:eastAsia="黑体" w:cs="黑体"/>
          <w:color w:val="auto"/>
          <w:spacing w:val="71"/>
          <w:sz w:val="21"/>
          <w:szCs w:val="21"/>
          <w:highlight w:val="none"/>
        </w:rPr>
        <w:t xml:space="preserve"> </w:t>
      </w:r>
      <w:r>
        <w:rPr>
          <w:rFonts w:ascii="宋体" w:hAnsi="宋体" w:eastAsia="宋体" w:cs="宋体"/>
          <w:color w:val="auto"/>
          <w:spacing w:val="1"/>
          <w:sz w:val="21"/>
          <w:szCs w:val="21"/>
          <w:highlight w:val="none"/>
        </w:rPr>
        <w:t>如果分部分项工程和单价措施项目清单中涉及“材料（工程设备）暂估单价表”中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列出的材料和工程设备，则按照本节第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3.3.2 </w:t>
      </w:r>
      <w:r>
        <w:rPr>
          <w:rFonts w:ascii="宋体" w:hAnsi="宋体" w:eastAsia="宋体" w:cs="宋体"/>
          <w:color w:val="auto"/>
          <w:spacing w:val="-1"/>
          <w:sz w:val="21"/>
          <w:szCs w:val="21"/>
          <w:highlight w:val="none"/>
        </w:rPr>
        <w:t>项的报价原则计价。</w:t>
      </w:r>
    </w:p>
    <w:p w14:paraId="26A9D3C6">
      <w:pPr>
        <w:spacing w:before="168"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2.6.3  </w:t>
      </w:r>
      <w:r>
        <w:rPr>
          <w:rFonts w:ascii="宋体" w:hAnsi="宋体" w:eastAsia="宋体" w:cs="宋体"/>
          <w:color w:val="auto"/>
          <w:sz w:val="21"/>
          <w:szCs w:val="21"/>
          <w:highlight w:val="none"/>
        </w:rPr>
        <w:t>如果分部分项工程和单价措施项目清单中涉及“发包人提供的材料和工程设备一览</w:t>
      </w:r>
    </w:p>
    <w:p w14:paraId="3FCAABA7">
      <w:pPr>
        <w:spacing w:line="219" w:lineRule="auto"/>
        <w:rPr>
          <w:rFonts w:ascii="宋体" w:hAnsi="宋体" w:eastAsia="宋体" w:cs="宋体"/>
          <w:color w:val="auto"/>
          <w:sz w:val="21"/>
          <w:szCs w:val="21"/>
          <w:highlight w:val="none"/>
        </w:rPr>
        <w:sectPr>
          <w:footerReference r:id="rId117" w:type="default"/>
          <w:pgSz w:w="11905" w:h="16839"/>
          <w:pgMar w:top="400" w:right="1614" w:bottom="1004" w:left="1785" w:header="0" w:footer="828" w:gutter="0"/>
          <w:pgNumType w:fmt="decimal"/>
          <w:cols w:space="720" w:num="1"/>
        </w:sectPr>
      </w:pPr>
    </w:p>
    <w:p w14:paraId="07589E8A">
      <w:pPr>
        <w:pStyle w:val="5"/>
        <w:spacing w:line="281" w:lineRule="auto"/>
        <w:rPr>
          <w:color w:val="auto"/>
          <w:highlight w:val="none"/>
        </w:rPr>
      </w:pPr>
    </w:p>
    <w:p w14:paraId="01984048">
      <w:pPr>
        <w:pStyle w:val="5"/>
        <w:spacing w:line="281" w:lineRule="auto"/>
        <w:rPr>
          <w:color w:val="auto"/>
          <w:highlight w:val="none"/>
        </w:rPr>
      </w:pPr>
    </w:p>
    <w:p w14:paraId="5CA77618">
      <w:pPr>
        <w:pStyle w:val="5"/>
        <w:spacing w:line="281" w:lineRule="auto"/>
        <w:rPr>
          <w:color w:val="auto"/>
          <w:highlight w:val="none"/>
        </w:rPr>
      </w:pPr>
    </w:p>
    <w:p w14:paraId="74217461">
      <w:pPr>
        <w:pStyle w:val="5"/>
        <w:spacing w:line="281" w:lineRule="auto"/>
        <w:rPr>
          <w:color w:val="auto"/>
          <w:highlight w:val="none"/>
        </w:rPr>
      </w:pPr>
    </w:p>
    <w:p w14:paraId="29D2C82A">
      <w:pPr>
        <w:spacing w:before="68" w:line="220" w:lineRule="auto"/>
        <w:ind w:left="78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表”</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列出的材料和工程设备。</w:t>
      </w:r>
    </w:p>
    <w:p w14:paraId="272C69D6">
      <w:pPr>
        <w:spacing w:before="167" w:line="423" w:lineRule="exact"/>
        <w:ind w:left="785"/>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采用一般计税方法的，甲供材不计入除税工程造价。</w:t>
      </w:r>
    </w:p>
    <w:p w14:paraId="20ED5D3B">
      <w:pPr>
        <w:spacing w:line="219" w:lineRule="auto"/>
        <w:ind w:left="752"/>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采用简易计税方法的，甲供材计入除税工程</w:t>
      </w:r>
      <w:r>
        <w:rPr>
          <w:rFonts w:ascii="宋体" w:hAnsi="宋体" w:eastAsia="宋体" w:cs="宋体"/>
          <w:color w:val="auto"/>
          <w:spacing w:val="-1"/>
          <w:sz w:val="21"/>
          <w:szCs w:val="21"/>
          <w:highlight w:val="none"/>
        </w:rPr>
        <w:t>造价。</w:t>
      </w:r>
    </w:p>
    <w:p w14:paraId="678EB4EC">
      <w:pPr>
        <w:spacing w:before="168"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2.6.4  </w:t>
      </w:r>
      <w:r>
        <w:rPr>
          <w:rFonts w:ascii="宋体" w:hAnsi="宋体" w:eastAsia="宋体" w:cs="宋体"/>
          <w:color w:val="auto"/>
          <w:sz w:val="21"/>
          <w:szCs w:val="21"/>
          <w:highlight w:val="none"/>
        </w:rPr>
        <w:t>“分部分项工程和单价措施项目清单与计价表”所列各项目的综合单价组成中</w:t>
      </w:r>
      <w:r>
        <w:rPr>
          <w:rFonts w:ascii="宋体" w:hAnsi="宋体" w:eastAsia="宋体" w:cs="宋体"/>
          <w:color w:val="auto"/>
          <w:spacing w:val="-1"/>
          <w:sz w:val="21"/>
          <w:szCs w:val="21"/>
          <w:highlight w:val="none"/>
        </w:rPr>
        <w:t>，各</w:t>
      </w:r>
    </w:p>
    <w:p w14:paraId="7D180F6B">
      <w:pPr>
        <w:spacing w:before="173" w:line="417" w:lineRule="exact"/>
        <w:ind w:right="8"/>
        <w:jc w:val="right"/>
        <w:rPr>
          <w:rFonts w:ascii="宋体" w:hAnsi="宋体" w:eastAsia="宋体" w:cs="宋体"/>
          <w:color w:val="auto"/>
          <w:sz w:val="21"/>
          <w:szCs w:val="21"/>
          <w:highlight w:val="none"/>
        </w:rPr>
      </w:pPr>
      <w:r>
        <w:rPr>
          <w:rFonts w:ascii="宋体" w:hAnsi="宋体" w:eastAsia="宋体" w:cs="宋体"/>
          <w:color w:val="auto"/>
          <w:spacing w:val="5"/>
          <w:position w:val="15"/>
          <w:sz w:val="21"/>
          <w:szCs w:val="21"/>
          <w:highlight w:val="none"/>
        </w:rPr>
        <w:t>项目的人工、材料和机械台班消耗量由投标人按照其自身情况做充分的竞争性考</w:t>
      </w:r>
    </w:p>
    <w:p w14:paraId="5017AC05">
      <w:pPr>
        <w:spacing w:before="1" w:line="219" w:lineRule="auto"/>
        <w:ind w:left="78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虑。材料消耗量包括损耗量。</w:t>
      </w:r>
    </w:p>
    <w:p w14:paraId="07AA375F">
      <w:pPr>
        <w:spacing w:before="172" w:line="418" w:lineRule="exact"/>
        <w:ind w:left="16"/>
        <w:rPr>
          <w:rFonts w:ascii="宋体" w:hAnsi="宋体" w:eastAsia="宋体" w:cs="宋体"/>
          <w:color w:val="auto"/>
          <w:sz w:val="21"/>
          <w:szCs w:val="21"/>
          <w:highlight w:val="none"/>
        </w:rPr>
      </w:pPr>
      <w:r>
        <w:rPr>
          <w:rFonts w:ascii="黑体" w:hAnsi="黑体" w:eastAsia="黑体" w:cs="黑体"/>
          <w:color w:val="auto"/>
          <w:spacing w:val="1"/>
          <w:position w:val="15"/>
          <w:sz w:val="21"/>
          <w:szCs w:val="21"/>
          <w:highlight w:val="none"/>
        </w:rPr>
        <w:t>2.6.5</w:t>
      </w:r>
      <w:r>
        <w:rPr>
          <w:rFonts w:ascii="黑体" w:hAnsi="黑体" w:eastAsia="黑体" w:cs="黑体"/>
          <w:color w:val="auto"/>
          <w:spacing w:val="71"/>
          <w:position w:val="15"/>
          <w:sz w:val="21"/>
          <w:szCs w:val="21"/>
          <w:highlight w:val="none"/>
        </w:rPr>
        <w:t xml:space="preserve"> </w:t>
      </w:r>
      <w:r>
        <w:rPr>
          <w:rFonts w:ascii="宋体" w:hAnsi="宋体" w:eastAsia="宋体" w:cs="宋体"/>
          <w:color w:val="auto"/>
          <w:spacing w:val="1"/>
          <w:position w:val="15"/>
          <w:sz w:val="21"/>
          <w:szCs w:val="21"/>
          <w:highlight w:val="none"/>
        </w:rPr>
        <w:t>投标人在投标文件中提交并构成合同文件的“承包人提供主要材料和工程设备一览</w:t>
      </w:r>
    </w:p>
    <w:p w14:paraId="7092F25F">
      <w:pPr>
        <w:spacing w:before="1" w:line="220" w:lineRule="auto"/>
        <w:ind w:left="78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表”应符合下列要求。</w:t>
      </w:r>
    </w:p>
    <w:p w14:paraId="6386AE29">
      <w:pPr>
        <w:spacing w:before="172" w:line="417" w:lineRule="exact"/>
        <w:ind w:left="752"/>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采用一般计税方法的，进入综合单价的材料和工程设备的价格为除</w:t>
      </w:r>
      <w:r>
        <w:rPr>
          <w:rFonts w:ascii="宋体" w:hAnsi="宋体" w:eastAsia="宋体" w:cs="宋体"/>
          <w:color w:val="auto"/>
          <w:spacing w:val="-1"/>
          <w:position w:val="15"/>
          <w:sz w:val="21"/>
          <w:szCs w:val="21"/>
          <w:highlight w:val="none"/>
        </w:rPr>
        <w:t>税价格。</w:t>
      </w:r>
    </w:p>
    <w:p w14:paraId="50D2E393">
      <w:pPr>
        <w:spacing w:line="219" w:lineRule="auto"/>
        <w:ind w:left="752"/>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采用简易计税方法的，进入综合单价的材料和工程设备的价格为含</w:t>
      </w:r>
      <w:r>
        <w:rPr>
          <w:rFonts w:ascii="宋体" w:hAnsi="宋体" w:eastAsia="宋体" w:cs="宋体"/>
          <w:color w:val="auto"/>
          <w:spacing w:val="-1"/>
          <w:sz w:val="21"/>
          <w:szCs w:val="21"/>
          <w:highlight w:val="none"/>
        </w:rPr>
        <w:t>税价格。</w:t>
      </w:r>
    </w:p>
    <w:p w14:paraId="1EE1932D">
      <w:pPr>
        <w:spacing w:before="174"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2.6.6   </w:t>
      </w:r>
      <w:r>
        <w:rPr>
          <w:rFonts w:ascii="宋体" w:hAnsi="宋体" w:eastAsia="宋体" w:cs="宋体"/>
          <w:color w:val="auto"/>
          <w:spacing w:val="-2"/>
          <w:sz w:val="21"/>
          <w:szCs w:val="21"/>
          <w:highlight w:val="none"/>
        </w:rPr>
        <w:t>投标人应对每一个分部分项工程和单价措施项目编制“综合单价分析表”</w:t>
      </w:r>
      <w:r>
        <w:rPr>
          <w:rFonts w:ascii="宋体" w:hAnsi="宋体" w:eastAsia="宋体" w:cs="宋体"/>
          <w:color w:val="auto"/>
          <w:spacing w:val="-3"/>
          <w:sz w:val="21"/>
          <w:szCs w:val="21"/>
          <w:highlight w:val="none"/>
        </w:rPr>
        <w:t>，并按分</w:t>
      </w:r>
    </w:p>
    <w:p w14:paraId="012E6B79">
      <w:pPr>
        <w:spacing w:before="169" w:line="369" w:lineRule="auto"/>
        <w:ind w:left="787" w:right="5" w:firstLine="1"/>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部分项工程和单价措施项目的顺序附在“分部分项工程和单价措施项目清单与计</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价表”之后，“综合单价分析表”中的综合单价应与“分部分项工程和单价措施项</w:t>
      </w:r>
    </w:p>
    <w:p w14:paraId="3D462AAA">
      <w:pPr>
        <w:spacing w:line="219" w:lineRule="auto"/>
        <w:ind w:left="8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目清单与计价表”中相应的综合单价一致。</w:t>
      </w:r>
    </w:p>
    <w:p w14:paraId="0BD16EF0">
      <w:pPr>
        <w:spacing w:before="135"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2.7  </w:t>
      </w:r>
      <w:r>
        <w:rPr>
          <w:rFonts w:ascii="宋体" w:hAnsi="宋体" w:eastAsia="宋体" w:cs="宋体"/>
          <w:color w:val="auto"/>
          <w:spacing w:val="-2"/>
          <w:sz w:val="21"/>
          <w:szCs w:val="21"/>
          <w:highlight w:val="none"/>
        </w:rPr>
        <w:t>总价措施项目按下列要求报价：</w:t>
      </w:r>
    </w:p>
    <w:p w14:paraId="1582C6F1">
      <w:pPr>
        <w:spacing w:before="169" w:line="293" w:lineRule="auto"/>
        <w:ind w:left="787" w:right="1" w:hanging="771"/>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2.7.1</w:t>
      </w:r>
      <w:r>
        <w:rPr>
          <w:rFonts w:ascii="黑体" w:hAnsi="黑体" w:eastAsia="黑体" w:cs="黑体"/>
          <w:color w:val="auto"/>
          <w:spacing w:val="63"/>
          <w:sz w:val="21"/>
          <w:szCs w:val="21"/>
          <w:highlight w:val="none"/>
        </w:rPr>
        <w:t xml:space="preserve"> </w:t>
      </w:r>
      <w:r>
        <w:rPr>
          <w:rFonts w:ascii="宋体" w:hAnsi="宋体" w:eastAsia="宋体" w:cs="宋体"/>
          <w:color w:val="auto"/>
          <w:spacing w:val="1"/>
          <w:sz w:val="21"/>
          <w:szCs w:val="21"/>
          <w:highlight w:val="none"/>
        </w:rPr>
        <w:t>总价措施项目应根据招标文件及投标时拟定的施工组织设计或施工方案，</w:t>
      </w:r>
      <w:r>
        <w:rPr>
          <w:rFonts w:ascii="宋体" w:hAnsi="宋体" w:eastAsia="宋体" w:cs="宋体"/>
          <w:color w:val="auto"/>
          <w:spacing w:val="-63"/>
          <w:sz w:val="21"/>
          <w:szCs w:val="21"/>
          <w:highlight w:val="none"/>
        </w:rPr>
        <w:t xml:space="preserve"> </w:t>
      </w:r>
      <w:r>
        <w:rPr>
          <w:rFonts w:ascii="宋体" w:hAnsi="宋体" w:eastAsia="宋体" w:cs="宋体"/>
          <w:color w:val="auto"/>
          <w:spacing w:val="1"/>
          <w:sz w:val="21"/>
          <w:szCs w:val="21"/>
          <w:highlight w:val="none"/>
        </w:rPr>
        <w:t>以</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项</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为</w:t>
      </w:r>
      <w:r>
        <w:rPr>
          <w:rFonts w:ascii="宋体" w:hAnsi="宋体" w:eastAsia="宋体" w:cs="宋体"/>
          <w:color w:val="auto"/>
          <w:sz w:val="21"/>
          <w:szCs w:val="21"/>
          <w:highlight w:val="none"/>
        </w:rPr>
        <w:t xml:space="preserve"> 单位自主确定价格</w:t>
      </w:r>
      <w:r>
        <w:rPr>
          <w:rFonts w:ascii="宋体" w:hAnsi="宋体" w:eastAsia="宋体" w:cs="宋体"/>
          <w:color w:val="auto"/>
          <w:sz w:val="19"/>
          <w:szCs w:val="19"/>
          <w:highlight w:val="none"/>
        </w:rPr>
        <w:t>。</w:t>
      </w:r>
      <w:r>
        <w:rPr>
          <w:rFonts w:ascii="宋体" w:hAnsi="宋体" w:eastAsia="宋体" w:cs="宋体"/>
          <w:color w:val="auto"/>
          <w:sz w:val="21"/>
          <w:szCs w:val="21"/>
          <w:highlight w:val="none"/>
        </w:rPr>
        <w:t>投标人所填报价格应包括除规费、税金外的</w:t>
      </w:r>
      <w:r>
        <w:rPr>
          <w:rFonts w:ascii="宋体" w:hAnsi="宋体" w:eastAsia="宋体" w:cs="宋体"/>
          <w:color w:val="auto"/>
          <w:spacing w:val="-1"/>
          <w:sz w:val="21"/>
          <w:szCs w:val="21"/>
          <w:highlight w:val="none"/>
        </w:rPr>
        <w:t>全部费用。</w:t>
      </w:r>
    </w:p>
    <w:p w14:paraId="3980B71C">
      <w:pPr>
        <w:spacing w:before="173" w:line="294" w:lineRule="auto"/>
        <w:ind w:left="791" w:right="14" w:hanging="775"/>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2.7.2</w:t>
      </w:r>
      <w:r>
        <w:rPr>
          <w:rFonts w:ascii="黑体" w:hAnsi="黑体" w:eastAsia="黑体" w:cs="黑体"/>
          <w:color w:val="auto"/>
          <w:spacing w:val="70"/>
          <w:sz w:val="21"/>
          <w:szCs w:val="21"/>
          <w:highlight w:val="none"/>
        </w:rPr>
        <w:t xml:space="preserve"> </w:t>
      </w:r>
      <w:r>
        <w:rPr>
          <w:rFonts w:ascii="宋体" w:hAnsi="宋体" w:eastAsia="宋体" w:cs="宋体"/>
          <w:color w:val="auto"/>
          <w:spacing w:val="1"/>
          <w:sz w:val="21"/>
          <w:szCs w:val="21"/>
          <w:highlight w:val="none"/>
        </w:rPr>
        <w:t>总价措施项目清单中的安全文明施工费必须按国家或省级、行业建设主管部门的规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定计算，不得作为竞争性费用。</w:t>
      </w:r>
    </w:p>
    <w:p w14:paraId="73BAA9E1">
      <w:pPr>
        <w:spacing w:before="172"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2.7.3</w:t>
      </w:r>
      <w:r>
        <w:rPr>
          <w:rFonts w:ascii="黑体" w:hAnsi="黑体" w:eastAsia="黑体" w:cs="黑体"/>
          <w:color w:val="auto"/>
          <w:spacing w:val="50"/>
          <w:sz w:val="21"/>
          <w:szCs w:val="21"/>
          <w:highlight w:val="none"/>
        </w:rPr>
        <w:t xml:space="preserve"> </w:t>
      </w:r>
      <w:r>
        <w:rPr>
          <w:rFonts w:ascii="宋体" w:hAnsi="宋体" w:eastAsia="宋体" w:cs="宋体"/>
          <w:color w:val="auto"/>
          <w:spacing w:val="2"/>
          <w:sz w:val="21"/>
          <w:szCs w:val="21"/>
          <w:highlight w:val="none"/>
        </w:rPr>
        <w:t>“总价措施项目清单与计价表”中</w:t>
      </w:r>
      <w:r>
        <w:rPr>
          <w:rFonts w:ascii="宋体" w:hAnsi="宋体" w:eastAsia="宋体" w:cs="宋体"/>
          <w:color w:val="auto"/>
          <w:spacing w:val="1"/>
          <w:sz w:val="21"/>
          <w:szCs w:val="21"/>
          <w:highlight w:val="none"/>
        </w:rPr>
        <w:t>所填写的报价金额，应全面涵盖招标文件约定的</w:t>
      </w:r>
    </w:p>
    <w:p w14:paraId="25FBF991">
      <w:pPr>
        <w:spacing w:before="168" w:line="423" w:lineRule="exact"/>
        <w:ind w:right="8"/>
        <w:jc w:val="right"/>
        <w:rPr>
          <w:rFonts w:ascii="宋体" w:hAnsi="宋体" w:eastAsia="宋体" w:cs="宋体"/>
          <w:color w:val="auto"/>
          <w:sz w:val="21"/>
          <w:szCs w:val="21"/>
          <w:highlight w:val="none"/>
        </w:rPr>
      </w:pPr>
      <w:r>
        <w:rPr>
          <w:rFonts w:ascii="宋体" w:hAnsi="宋体" w:eastAsia="宋体" w:cs="宋体"/>
          <w:color w:val="auto"/>
          <w:spacing w:val="5"/>
          <w:position w:val="16"/>
          <w:sz w:val="21"/>
          <w:szCs w:val="21"/>
          <w:highlight w:val="none"/>
        </w:rPr>
        <w:t>投标人中标后施工、竣工、交付本工程并维修其任何缺陷所需要履行的责任和义</w:t>
      </w:r>
    </w:p>
    <w:p w14:paraId="03EFBE6A">
      <w:pPr>
        <w:spacing w:line="220" w:lineRule="auto"/>
        <w:ind w:left="78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务的全部费用。</w:t>
      </w:r>
    </w:p>
    <w:p w14:paraId="2E573539">
      <w:pPr>
        <w:spacing w:before="134"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2.8  </w:t>
      </w:r>
      <w:r>
        <w:rPr>
          <w:rFonts w:ascii="宋体" w:hAnsi="宋体" w:eastAsia="宋体" w:cs="宋体"/>
          <w:color w:val="auto"/>
          <w:spacing w:val="-2"/>
          <w:sz w:val="21"/>
          <w:szCs w:val="21"/>
          <w:highlight w:val="none"/>
        </w:rPr>
        <w:t>其他项目应按下列规定报价：</w:t>
      </w:r>
    </w:p>
    <w:p w14:paraId="2D5198D1">
      <w:pPr>
        <w:spacing w:before="163" w:line="221" w:lineRule="auto"/>
        <w:ind w:left="21"/>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2.8.1 </w:t>
      </w:r>
      <w:r>
        <w:rPr>
          <w:rFonts w:ascii="宋体" w:hAnsi="宋体" w:eastAsia="宋体" w:cs="宋体"/>
          <w:color w:val="auto"/>
          <w:spacing w:val="-1"/>
          <w:sz w:val="21"/>
          <w:szCs w:val="21"/>
          <w:highlight w:val="none"/>
        </w:rPr>
        <w:t>暂列金额应按招标工程量清单“暂列金额明细表”中列出的金额填写，不得变动。</w:t>
      </w:r>
    </w:p>
    <w:p w14:paraId="416C9915">
      <w:pPr>
        <w:spacing w:before="171" w:line="344" w:lineRule="auto"/>
        <w:ind w:left="737" w:right="2" w:hanging="71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2.8.2</w:t>
      </w:r>
      <w:r>
        <w:rPr>
          <w:rFonts w:ascii="黑体" w:hAnsi="黑体" w:eastAsia="黑体" w:cs="黑体"/>
          <w:color w:val="auto"/>
          <w:spacing w:val="65"/>
          <w:sz w:val="21"/>
          <w:szCs w:val="21"/>
          <w:highlight w:val="none"/>
        </w:rPr>
        <w:t xml:space="preserve"> </w:t>
      </w:r>
      <w:r>
        <w:rPr>
          <w:rFonts w:ascii="宋体" w:hAnsi="宋体" w:eastAsia="宋体" w:cs="宋体"/>
          <w:color w:val="auto"/>
          <w:spacing w:val="1"/>
          <w:sz w:val="21"/>
          <w:szCs w:val="21"/>
          <w:highlight w:val="none"/>
        </w:rPr>
        <w:t>暂估价分为材料（工程设备）暂估单价和专业工程暂估价两类。其中材料、工程设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备暂估单价应按招标工程量清单“材料（工程设备） 暂估单价表”中列出的单</w:t>
      </w:r>
      <w:r>
        <w:rPr>
          <w:rFonts w:ascii="宋体" w:hAnsi="宋体" w:eastAsia="宋体" w:cs="宋体"/>
          <w:color w:val="auto"/>
          <w:spacing w:val="-3"/>
          <w:sz w:val="21"/>
          <w:szCs w:val="21"/>
          <w:highlight w:val="none"/>
        </w:rPr>
        <w:t>价和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本节第 </w:t>
      </w:r>
      <w:r>
        <w:rPr>
          <w:rFonts w:ascii="Times New Roman" w:hAnsi="Times New Roman" w:eastAsia="Times New Roman" w:cs="Times New Roman"/>
          <w:color w:val="auto"/>
          <w:spacing w:val="1"/>
          <w:sz w:val="21"/>
          <w:szCs w:val="21"/>
          <w:highlight w:val="none"/>
        </w:rPr>
        <w:t xml:space="preserve">3.3.2  </w:t>
      </w:r>
      <w:r>
        <w:rPr>
          <w:rFonts w:ascii="宋体" w:hAnsi="宋体" w:eastAsia="宋体" w:cs="宋体"/>
          <w:color w:val="auto"/>
          <w:spacing w:val="1"/>
          <w:sz w:val="21"/>
          <w:szCs w:val="21"/>
          <w:highlight w:val="none"/>
        </w:rPr>
        <w:t>项的报价原则进入分部分</w:t>
      </w:r>
      <w:r>
        <w:rPr>
          <w:rFonts w:ascii="宋体" w:hAnsi="宋体" w:eastAsia="宋体" w:cs="宋体"/>
          <w:color w:val="auto"/>
          <w:sz w:val="21"/>
          <w:szCs w:val="21"/>
          <w:highlight w:val="none"/>
        </w:rPr>
        <w:t xml:space="preserve">项工程和单价措施项目清单之综合单价，不 </w:t>
      </w:r>
      <w:r>
        <w:rPr>
          <w:rFonts w:ascii="宋体" w:hAnsi="宋体" w:eastAsia="宋体" w:cs="宋体"/>
          <w:color w:val="auto"/>
          <w:spacing w:val="1"/>
          <w:sz w:val="21"/>
          <w:szCs w:val="21"/>
          <w:highlight w:val="none"/>
        </w:rPr>
        <w:t>得变动，不在“其他项目清单与计价汇总表”中汇总；专业工程暂估价</w:t>
      </w:r>
      <w:r>
        <w:rPr>
          <w:rFonts w:ascii="宋体" w:hAnsi="宋体" w:eastAsia="宋体" w:cs="宋体"/>
          <w:color w:val="auto"/>
          <w:sz w:val="21"/>
          <w:szCs w:val="21"/>
          <w:highlight w:val="none"/>
        </w:rPr>
        <w:t xml:space="preserve">应按招标工 </w:t>
      </w:r>
      <w:r>
        <w:rPr>
          <w:rFonts w:ascii="宋体" w:hAnsi="宋体" w:eastAsia="宋体" w:cs="宋体"/>
          <w:color w:val="auto"/>
          <w:spacing w:val="-2"/>
          <w:sz w:val="21"/>
          <w:szCs w:val="21"/>
          <w:highlight w:val="none"/>
        </w:rPr>
        <w:t>程量清单</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“专业工程暂估价表”中列出的金额</w:t>
      </w:r>
      <w:r>
        <w:rPr>
          <w:rFonts w:ascii="宋体" w:hAnsi="宋体" w:eastAsia="宋体" w:cs="宋体"/>
          <w:color w:val="auto"/>
          <w:spacing w:val="-3"/>
          <w:sz w:val="21"/>
          <w:szCs w:val="21"/>
          <w:highlight w:val="none"/>
        </w:rPr>
        <w:t xml:space="preserve">和本节第 </w:t>
      </w:r>
      <w:r>
        <w:rPr>
          <w:rFonts w:ascii="Times New Roman" w:hAnsi="Times New Roman" w:eastAsia="Times New Roman" w:cs="Times New Roman"/>
          <w:color w:val="auto"/>
          <w:spacing w:val="-3"/>
          <w:sz w:val="21"/>
          <w:szCs w:val="21"/>
          <w:highlight w:val="none"/>
        </w:rPr>
        <w:t>3.3.3</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3"/>
          <w:sz w:val="21"/>
          <w:szCs w:val="21"/>
          <w:highlight w:val="none"/>
        </w:rPr>
        <w:t>项的报价原则计入其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他项目清单报价，不得变动。</w:t>
      </w:r>
    </w:p>
    <w:p w14:paraId="0C5B78A6">
      <w:pPr>
        <w:spacing w:before="174" w:line="319" w:lineRule="auto"/>
        <w:ind w:left="757" w:right="8" w:hanging="73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2.8.3</w:t>
      </w:r>
      <w:r>
        <w:rPr>
          <w:rFonts w:ascii="黑体" w:hAnsi="黑体" w:eastAsia="黑体" w:cs="黑体"/>
          <w:color w:val="auto"/>
          <w:spacing w:val="65"/>
          <w:sz w:val="21"/>
          <w:szCs w:val="21"/>
          <w:highlight w:val="none"/>
        </w:rPr>
        <w:t xml:space="preserve"> </w:t>
      </w:r>
      <w:r>
        <w:rPr>
          <w:rFonts w:ascii="宋体" w:hAnsi="宋体" w:eastAsia="宋体" w:cs="宋体"/>
          <w:color w:val="auto"/>
          <w:spacing w:val="1"/>
          <w:sz w:val="21"/>
          <w:szCs w:val="21"/>
          <w:highlight w:val="none"/>
        </w:rPr>
        <w:t>计日工应按招标工程量清单“计日工表”中列出的项目和数量，自主确定单价并计</w:t>
      </w:r>
      <w:r>
        <w:rPr>
          <w:rFonts w:ascii="宋体" w:hAnsi="宋体" w:eastAsia="宋体" w:cs="宋体"/>
          <w:color w:val="auto"/>
          <w:sz w:val="21"/>
          <w:szCs w:val="21"/>
          <w:highlight w:val="none"/>
        </w:rPr>
        <w:t xml:space="preserve"> 取企业管理费与利润。计日工单价不包括规费和税金。总承包服务费应按招标工程</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量清单“总承包服务费计价表”中列出的内容和提出的要求自主报价。</w:t>
      </w:r>
    </w:p>
    <w:p w14:paraId="06D86D1B">
      <w:pPr>
        <w:spacing w:line="319" w:lineRule="auto"/>
        <w:rPr>
          <w:rFonts w:ascii="宋体" w:hAnsi="宋体" w:eastAsia="宋体" w:cs="宋体"/>
          <w:color w:val="auto"/>
          <w:sz w:val="21"/>
          <w:szCs w:val="21"/>
          <w:highlight w:val="none"/>
        </w:rPr>
        <w:sectPr>
          <w:footerReference r:id="rId118" w:type="default"/>
          <w:pgSz w:w="11905" w:h="16839"/>
          <w:pgMar w:top="400" w:right="1785" w:bottom="1004" w:left="1785" w:header="0" w:footer="828" w:gutter="0"/>
          <w:pgNumType w:fmt="decimal"/>
          <w:cols w:space="720" w:num="1"/>
        </w:sectPr>
      </w:pPr>
    </w:p>
    <w:p w14:paraId="42F49891">
      <w:pPr>
        <w:pStyle w:val="5"/>
        <w:spacing w:line="281" w:lineRule="auto"/>
        <w:rPr>
          <w:color w:val="auto"/>
          <w:highlight w:val="none"/>
        </w:rPr>
      </w:pPr>
    </w:p>
    <w:p w14:paraId="701143CB">
      <w:pPr>
        <w:pStyle w:val="5"/>
        <w:spacing w:line="281" w:lineRule="auto"/>
        <w:rPr>
          <w:color w:val="auto"/>
          <w:highlight w:val="none"/>
        </w:rPr>
      </w:pPr>
    </w:p>
    <w:p w14:paraId="03AC4630">
      <w:pPr>
        <w:pStyle w:val="5"/>
        <w:spacing w:line="281" w:lineRule="auto"/>
        <w:rPr>
          <w:color w:val="auto"/>
          <w:highlight w:val="none"/>
        </w:rPr>
      </w:pPr>
    </w:p>
    <w:p w14:paraId="44797FDE">
      <w:pPr>
        <w:pStyle w:val="5"/>
        <w:spacing w:line="281" w:lineRule="auto"/>
        <w:rPr>
          <w:color w:val="auto"/>
          <w:highlight w:val="none"/>
        </w:rPr>
      </w:pPr>
    </w:p>
    <w:p w14:paraId="40F18EF2">
      <w:pPr>
        <w:spacing w:before="69" w:line="219" w:lineRule="auto"/>
        <w:ind w:left="21"/>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2.9</w:t>
      </w:r>
      <w:r>
        <w:rPr>
          <w:rFonts w:ascii="黑体" w:hAnsi="黑体" w:eastAsia="黑体" w:cs="黑体"/>
          <w:color w:val="auto"/>
          <w:spacing w:val="69"/>
          <w:sz w:val="21"/>
          <w:szCs w:val="21"/>
          <w:highlight w:val="none"/>
        </w:rPr>
        <w:t xml:space="preserve"> </w:t>
      </w:r>
      <w:r>
        <w:rPr>
          <w:rFonts w:ascii="宋体" w:hAnsi="宋体" w:eastAsia="宋体" w:cs="宋体"/>
          <w:color w:val="auto"/>
          <w:spacing w:val="-3"/>
          <w:sz w:val="21"/>
          <w:szCs w:val="21"/>
          <w:highlight w:val="none"/>
        </w:rPr>
        <w:t>规费和税金项目按下列要求报价：</w:t>
      </w:r>
    </w:p>
    <w:p w14:paraId="0F5FDA3C">
      <w:pPr>
        <w:spacing w:before="168" w:line="423" w:lineRule="exact"/>
        <w:ind w:left="653"/>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规费和税金必须按国家或省级、行业建设主管部门的规定计算， 不得作为竞争性费</w:t>
      </w:r>
    </w:p>
    <w:p w14:paraId="5A59B5C9">
      <w:pPr>
        <w:spacing w:line="222" w:lineRule="auto"/>
        <w:ind w:left="654"/>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用。</w:t>
      </w:r>
    </w:p>
    <w:p w14:paraId="12F0E940">
      <w:pPr>
        <w:spacing w:before="165" w:line="219" w:lineRule="auto"/>
        <w:ind w:left="21"/>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2.10   </w:t>
      </w:r>
      <w:r>
        <w:rPr>
          <w:rFonts w:ascii="宋体" w:hAnsi="宋体" w:eastAsia="宋体" w:cs="宋体"/>
          <w:color w:val="auto"/>
          <w:sz w:val="21"/>
          <w:szCs w:val="21"/>
          <w:highlight w:val="none"/>
        </w:rPr>
        <w:t>除招标文件有强制性规定以及不可竞争部分以外，投标报价由投标人自主确定，但</w:t>
      </w:r>
    </w:p>
    <w:p w14:paraId="05F35FB0">
      <w:pPr>
        <w:spacing w:before="172" w:line="220" w:lineRule="auto"/>
        <w:ind w:left="6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不得低于其工程成本。</w:t>
      </w:r>
    </w:p>
    <w:p w14:paraId="3E12FBD7">
      <w:pPr>
        <w:spacing w:before="166" w:line="333" w:lineRule="auto"/>
        <w:ind w:left="649" w:hanging="633"/>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2.11 </w:t>
      </w:r>
      <w:r>
        <w:rPr>
          <w:rFonts w:ascii="宋体" w:hAnsi="宋体" w:eastAsia="宋体" w:cs="宋体"/>
          <w:color w:val="auto"/>
          <w:sz w:val="21"/>
          <w:szCs w:val="21"/>
          <w:highlight w:val="none"/>
        </w:rPr>
        <w:t>工程量清单计价所涉及的生产资源（包括各类人工、材料、工程</w:t>
      </w:r>
      <w:r>
        <w:rPr>
          <w:rFonts w:ascii="宋体" w:hAnsi="宋体" w:eastAsia="宋体" w:cs="宋体"/>
          <w:color w:val="auto"/>
          <w:spacing w:val="-1"/>
          <w:sz w:val="21"/>
          <w:szCs w:val="21"/>
          <w:highlight w:val="none"/>
        </w:rPr>
        <w:t xml:space="preserve">设备、施工设备、临  </w:t>
      </w:r>
      <w:r>
        <w:rPr>
          <w:rFonts w:ascii="宋体" w:hAnsi="宋体" w:eastAsia="宋体" w:cs="宋体"/>
          <w:color w:val="auto"/>
          <w:spacing w:val="2"/>
          <w:sz w:val="21"/>
          <w:szCs w:val="21"/>
          <w:highlight w:val="none"/>
        </w:rPr>
        <w:t>时设施、临时用水、临时用电等）的投标价格，应根据自身的信息渠道和采购</w:t>
      </w:r>
      <w:r>
        <w:rPr>
          <w:rFonts w:ascii="宋体" w:hAnsi="宋体" w:eastAsia="宋体" w:cs="宋体"/>
          <w:color w:val="auto"/>
          <w:spacing w:val="1"/>
          <w:sz w:val="21"/>
          <w:szCs w:val="21"/>
          <w:highlight w:val="none"/>
        </w:rPr>
        <w:t>渠道，</w:t>
      </w:r>
      <w:r>
        <w:rPr>
          <w:rFonts w:ascii="宋体" w:hAnsi="宋体" w:eastAsia="宋体" w:cs="宋体"/>
          <w:color w:val="auto"/>
          <w:sz w:val="21"/>
          <w:szCs w:val="21"/>
          <w:highlight w:val="none"/>
        </w:rPr>
        <w:t xml:space="preserve"> 分析其市场价格水平并判断其整个施工周期内的变化趋势</w:t>
      </w:r>
      <w:r>
        <w:rPr>
          <w:rFonts w:ascii="宋体" w:hAnsi="宋体" w:eastAsia="宋体" w:cs="宋体"/>
          <w:color w:val="auto"/>
          <w:spacing w:val="-1"/>
          <w:sz w:val="21"/>
          <w:szCs w:val="21"/>
          <w:highlight w:val="none"/>
        </w:rPr>
        <w:t xml:space="preserve">， 体现投标人自身的管理  </w:t>
      </w:r>
      <w:r>
        <w:rPr>
          <w:rFonts w:ascii="宋体" w:hAnsi="宋体" w:eastAsia="宋体" w:cs="宋体"/>
          <w:color w:val="auto"/>
          <w:spacing w:val="-3"/>
          <w:sz w:val="21"/>
          <w:szCs w:val="21"/>
          <w:highlight w:val="none"/>
        </w:rPr>
        <w:t>水平、技术水平和综合实力。</w:t>
      </w:r>
    </w:p>
    <w:p w14:paraId="4CCEDC6D">
      <w:pPr>
        <w:spacing w:before="167" w:line="295" w:lineRule="auto"/>
        <w:ind w:left="681" w:right="163" w:hanging="66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2.12 </w:t>
      </w:r>
      <w:r>
        <w:rPr>
          <w:rFonts w:ascii="宋体" w:hAnsi="宋体" w:eastAsia="宋体" w:cs="宋体"/>
          <w:color w:val="auto"/>
          <w:sz w:val="21"/>
          <w:szCs w:val="21"/>
          <w:highlight w:val="none"/>
        </w:rPr>
        <w:t>企业管理费应由投标人在保证不低于其成本的基础上合理报价；利润由投标人根据自</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身情况和综合实力合理报价。</w:t>
      </w:r>
    </w:p>
    <w:p w14:paraId="0154E52F">
      <w:pPr>
        <w:spacing w:before="135" w:line="219" w:lineRule="auto"/>
        <w:ind w:left="1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2.13 </w:t>
      </w:r>
      <w:r>
        <w:rPr>
          <w:rFonts w:ascii="宋体" w:hAnsi="宋体" w:eastAsia="宋体" w:cs="宋体"/>
          <w:color w:val="auto"/>
          <w:spacing w:val="-1"/>
          <w:sz w:val="21"/>
          <w:szCs w:val="21"/>
          <w:highlight w:val="none"/>
        </w:rPr>
        <w:t>投标报价中应考虑招标文件中要求投标人承担的风险范围以及相关的费用。</w:t>
      </w:r>
    </w:p>
    <w:p w14:paraId="65E767A6">
      <w:pPr>
        <w:spacing w:before="163" w:line="320" w:lineRule="auto"/>
        <w:ind w:left="705" w:right="163" w:hanging="684"/>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2.14 </w:t>
      </w:r>
      <w:r>
        <w:rPr>
          <w:rFonts w:ascii="宋体" w:hAnsi="宋体" w:eastAsia="宋体" w:cs="宋体"/>
          <w:color w:val="auto"/>
          <w:sz w:val="21"/>
          <w:szCs w:val="21"/>
          <w:highlight w:val="none"/>
        </w:rPr>
        <w:t>投标总价为投标人在投标文件中提出的各项支付金额的总和，为实施、完成招标工程</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并修补缺陷以及履行招标文件中约定的风险范围内的所有责任和义务所发生的全部</w:t>
      </w:r>
      <w:r>
        <w:rPr>
          <w:rFonts w:ascii="宋体" w:hAnsi="宋体" w:eastAsia="宋体" w:cs="宋体"/>
          <w:color w:val="auto"/>
          <w:spacing w:val="11"/>
          <w:sz w:val="21"/>
          <w:szCs w:val="21"/>
          <w:highlight w:val="none"/>
        </w:rPr>
        <w:t xml:space="preserve"> </w:t>
      </w:r>
      <w:r>
        <w:rPr>
          <w:rFonts w:ascii="宋体" w:hAnsi="宋体" w:eastAsia="宋体" w:cs="宋体"/>
          <w:color w:val="auto"/>
          <w:spacing w:val="-10"/>
          <w:sz w:val="21"/>
          <w:szCs w:val="21"/>
          <w:highlight w:val="none"/>
        </w:rPr>
        <w:t>费用。</w:t>
      </w:r>
    </w:p>
    <w:p w14:paraId="2942B7A3">
      <w:pPr>
        <w:spacing w:before="133"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2.15 </w:t>
      </w:r>
      <w:r>
        <w:rPr>
          <w:rFonts w:ascii="宋体" w:hAnsi="宋体" w:eastAsia="宋体" w:cs="宋体"/>
          <w:color w:val="auto"/>
          <w:sz w:val="21"/>
          <w:szCs w:val="21"/>
          <w:highlight w:val="none"/>
        </w:rPr>
        <w:t>有关投标报价的其他说明：</w:t>
      </w:r>
    </w:p>
    <w:p w14:paraId="7B8E0D93">
      <w:pPr>
        <w:pStyle w:val="5"/>
        <w:tabs>
          <w:tab w:val="left" w:pos="4370"/>
        </w:tabs>
        <w:spacing w:before="143" w:line="242" w:lineRule="exact"/>
        <w:ind w:left="432"/>
        <w:rPr>
          <w:color w:val="auto"/>
          <w:highlight w:val="none"/>
        </w:rPr>
      </w:pPr>
      <w:r>
        <w:rPr>
          <w:color w:val="auto"/>
          <w:highlight w:val="none"/>
          <w:u w:val="single" w:color="auto"/>
        </w:rPr>
        <w:tab/>
      </w:r>
    </w:p>
    <w:p w14:paraId="5B625FC9">
      <w:pPr>
        <w:spacing w:before="219" w:line="409" w:lineRule="exact"/>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5"/>
          <w:position w:val="12"/>
          <w:sz w:val="24"/>
          <w:szCs w:val="24"/>
          <w:highlight w:val="none"/>
        </w:rPr>
        <w:t>3</w:t>
      </w:r>
      <w:r>
        <w:rPr>
          <w:rFonts w:ascii="黑体" w:hAnsi="黑体" w:eastAsia="黑体" w:cs="黑体"/>
          <w:color w:val="auto"/>
          <w:spacing w:val="-5"/>
          <w:position w:val="12"/>
          <w:sz w:val="24"/>
          <w:szCs w:val="24"/>
          <w:highlight w:val="none"/>
        </w:rPr>
        <w:t>、其他说明</w:t>
      </w:r>
    </w:p>
    <w:p w14:paraId="381EECF0">
      <w:pPr>
        <w:spacing w:before="1"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3.1</w:t>
      </w:r>
      <w:r>
        <w:rPr>
          <w:rFonts w:ascii="黑体" w:hAnsi="黑体" w:eastAsia="黑体" w:cs="黑体"/>
          <w:color w:val="auto"/>
          <w:spacing w:val="-39"/>
          <w:sz w:val="21"/>
          <w:szCs w:val="21"/>
          <w:highlight w:val="none"/>
        </w:rPr>
        <w:t xml:space="preserve"> </w:t>
      </w:r>
      <w:r>
        <w:rPr>
          <w:rFonts w:ascii="黑体" w:hAnsi="黑体" w:eastAsia="黑体" w:cs="黑体"/>
          <w:color w:val="auto"/>
          <w:spacing w:val="-2"/>
          <w:sz w:val="21"/>
          <w:szCs w:val="21"/>
          <w:highlight w:val="none"/>
        </w:rPr>
        <w:t>词语和定义</w:t>
      </w:r>
    </w:p>
    <w:p w14:paraId="25C8D5F0">
      <w:pPr>
        <w:spacing w:before="249"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3.1.1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工程量清单</w:t>
      </w:r>
    </w:p>
    <w:p w14:paraId="6373F740">
      <w:pPr>
        <w:spacing w:before="175" w:line="379" w:lineRule="exact"/>
        <w:ind w:left="756"/>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是表现建设工程分部分项工程项目、措施项目、其他项目的名称和相应数量以及规</w:t>
      </w:r>
    </w:p>
    <w:p w14:paraId="6A3A73BC">
      <w:pPr>
        <w:spacing w:before="1" w:line="220" w:lineRule="auto"/>
        <w:ind w:left="76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费和税金项目等内容的明细清单。</w:t>
      </w:r>
    </w:p>
    <w:p w14:paraId="001D6F68">
      <w:pPr>
        <w:spacing w:before="167" w:line="221" w:lineRule="auto"/>
        <w:ind w:left="18"/>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3.1.2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招标工程量清单</w:t>
      </w:r>
    </w:p>
    <w:p w14:paraId="3FC71ED9">
      <w:pPr>
        <w:spacing w:before="167" w:line="369" w:lineRule="auto"/>
        <w:ind w:left="754" w:right="166" w:firstLine="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是招标人依据国家标准、招标文件、设计文件以及施工现场实际情况编制的，随招</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标文件发布供投标报价的工程量清单，包括其说明和表格，同时也是编制招标控制</w:t>
      </w:r>
    </w:p>
    <w:p w14:paraId="04B1C4DD">
      <w:pPr>
        <w:spacing w:line="219" w:lineRule="auto"/>
        <w:ind w:left="7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价的依据之一。</w:t>
      </w:r>
    </w:p>
    <w:p w14:paraId="575600E7">
      <w:pPr>
        <w:spacing w:before="159"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3.1.3</w:t>
      </w:r>
      <w:r>
        <w:rPr>
          <w:rFonts w:ascii="黑体" w:hAnsi="黑体" w:eastAsia="黑体" w:cs="黑体"/>
          <w:color w:val="auto"/>
          <w:spacing w:val="67"/>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总价项目</w:t>
      </w:r>
    </w:p>
    <w:p w14:paraId="6B103396">
      <w:pPr>
        <w:spacing w:before="177" w:line="336" w:lineRule="auto"/>
        <w:ind w:left="753" w:right="168" w:firstLine="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工程量清单中以总价计价的项目，即此类项目在相关工程国家计量规范中无工程量</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计算规则以总价（或计算基础乘费率）计算的项目，通常以“项”为计量单位，除</w:t>
      </w:r>
    </w:p>
    <w:p w14:paraId="2F06A71E">
      <w:pPr>
        <w:spacing w:line="219" w:lineRule="auto"/>
        <w:ind w:left="75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专用合同条款另有约定外，总价固定包干。</w:t>
      </w:r>
    </w:p>
    <w:p w14:paraId="64FFC530">
      <w:pPr>
        <w:spacing w:before="155" w:line="219"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3.1.4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单价项目</w:t>
      </w:r>
    </w:p>
    <w:p w14:paraId="738F6338">
      <w:pPr>
        <w:spacing w:before="177" w:line="380" w:lineRule="exact"/>
        <w:ind w:left="755"/>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工程量清单中以单价计价的项目，即根据合同工程图纸（含设计变更）和相关工程</w:t>
      </w:r>
    </w:p>
    <w:p w14:paraId="1060E362">
      <w:pPr>
        <w:spacing w:line="219" w:lineRule="auto"/>
        <w:ind w:left="773"/>
        <w:rPr>
          <w:rFonts w:ascii="宋体" w:hAnsi="宋体" w:eastAsia="宋体" w:cs="宋体"/>
          <w:color w:val="auto"/>
          <w:sz w:val="21"/>
          <w:szCs w:val="21"/>
          <w:highlight w:val="none"/>
        </w:rPr>
      </w:pPr>
      <w:r>
        <w:rPr>
          <w:rFonts w:ascii="宋体" w:hAnsi="宋体" w:eastAsia="宋体" w:cs="宋体"/>
          <w:color w:val="auto"/>
          <w:sz w:val="21"/>
          <w:szCs w:val="21"/>
          <w:highlight w:val="none"/>
        </w:rPr>
        <w:t>国家计量规范规定的工程量计算规则进行计量，与已标</w:t>
      </w:r>
      <w:r>
        <w:rPr>
          <w:rFonts w:ascii="宋体" w:hAnsi="宋体" w:eastAsia="宋体" w:cs="宋体"/>
          <w:color w:val="auto"/>
          <w:spacing w:val="-1"/>
          <w:sz w:val="21"/>
          <w:szCs w:val="21"/>
          <w:highlight w:val="none"/>
        </w:rPr>
        <w:t>价工程量清单相应综合单价</w:t>
      </w:r>
    </w:p>
    <w:p w14:paraId="352E4023">
      <w:pPr>
        <w:spacing w:line="219" w:lineRule="auto"/>
        <w:rPr>
          <w:rFonts w:ascii="宋体" w:hAnsi="宋体" w:eastAsia="宋体" w:cs="宋体"/>
          <w:color w:val="auto"/>
          <w:sz w:val="21"/>
          <w:szCs w:val="21"/>
          <w:highlight w:val="none"/>
        </w:rPr>
        <w:sectPr>
          <w:footerReference r:id="rId119" w:type="default"/>
          <w:pgSz w:w="11905" w:h="16839"/>
          <w:pgMar w:top="400" w:right="1626" w:bottom="1004" w:left="1785" w:header="0" w:footer="828" w:gutter="0"/>
          <w:pgNumType w:fmt="decimal"/>
          <w:cols w:space="720" w:num="1"/>
        </w:sectPr>
      </w:pPr>
    </w:p>
    <w:p w14:paraId="2730E293">
      <w:pPr>
        <w:pStyle w:val="5"/>
        <w:spacing w:line="271" w:lineRule="auto"/>
        <w:rPr>
          <w:color w:val="auto"/>
          <w:highlight w:val="none"/>
        </w:rPr>
      </w:pPr>
    </w:p>
    <w:p w14:paraId="48BA6D9E">
      <w:pPr>
        <w:pStyle w:val="5"/>
        <w:spacing w:line="271" w:lineRule="auto"/>
        <w:rPr>
          <w:color w:val="auto"/>
          <w:highlight w:val="none"/>
        </w:rPr>
      </w:pPr>
    </w:p>
    <w:p w14:paraId="0E182142">
      <w:pPr>
        <w:pStyle w:val="5"/>
        <w:spacing w:line="272" w:lineRule="auto"/>
        <w:rPr>
          <w:color w:val="auto"/>
          <w:highlight w:val="none"/>
        </w:rPr>
      </w:pPr>
    </w:p>
    <w:p w14:paraId="689DC1AC">
      <w:pPr>
        <w:pStyle w:val="5"/>
        <w:spacing w:line="272" w:lineRule="auto"/>
        <w:rPr>
          <w:color w:val="auto"/>
          <w:highlight w:val="none"/>
        </w:rPr>
      </w:pPr>
    </w:p>
    <w:p w14:paraId="3105BEC5">
      <w:pPr>
        <w:spacing w:before="68" w:line="219" w:lineRule="auto"/>
        <w:ind w:left="75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进行价款计算的项目。</w:t>
      </w:r>
    </w:p>
    <w:p w14:paraId="12CFE9E0">
      <w:pPr>
        <w:spacing w:before="153"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3.1.5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项目编码</w:t>
      </w:r>
    </w:p>
    <w:p w14:paraId="72706131">
      <w:pPr>
        <w:spacing w:before="176" w:line="220" w:lineRule="auto"/>
        <w:ind w:left="7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分部分项工程和措施项目清单名称的阿拉伯数字标识。项目编码与子目编码同义。</w:t>
      </w:r>
    </w:p>
    <w:p w14:paraId="7C053067">
      <w:pPr>
        <w:spacing w:before="177"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3.1.6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项目特征</w:t>
      </w:r>
    </w:p>
    <w:p w14:paraId="7E26E399">
      <w:pPr>
        <w:spacing w:before="181" w:line="379" w:lineRule="exact"/>
        <w:ind w:left="774"/>
        <w:rPr>
          <w:rFonts w:ascii="宋体" w:hAnsi="宋体" w:eastAsia="宋体" w:cs="宋体"/>
          <w:color w:val="auto"/>
          <w:sz w:val="21"/>
          <w:szCs w:val="21"/>
          <w:highlight w:val="none"/>
        </w:rPr>
      </w:pPr>
      <w:r>
        <w:rPr>
          <w:rFonts w:ascii="宋体" w:hAnsi="宋体" w:eastAsia="宋体" w:cs="宋体"/>
          <w:color w:val="auto"/>
          <w:spacing w:val="5"/>
          <w:position w:val="12"/>
          <w:sz w:val="21"/>
          <w:szCs w:val="21"/>
          <w:highlight w:val="none"/>
        </w:rPr>
        <w:t>构成分部分项工程项目、措施项目自身价值的本质特征，项目特征与子目特征同</w:t>
      </w:r>
    </w:p>
    <w:p w14:paraId="5F713499">
      <w:pPr>
        <w:spacing w:line="221" w:lineRule="auto"/>
        <w:ind w:left="74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义。</w:t>
      </w:r>
    </w:p>
    <w:p w14:paraId="7013F3D8">
      <w:pPr>
        <w:spacing w:before="176"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3.1.7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规费</w:t>
      </w:r>
    </w:p>
    <w:p w14:paraId="31DD62EC">
      <w:pPr>
        <w:spacing w:before="175" w:line="380"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根据国家法律、法规规定，由省级政府或省级有关权力部门规定承包人必须缴纳的，</w:t>
      </w:r>
    </w:p>
    <w:p w14:paraId="19C56A4C">
      <w:pPr>
        <w:spacing w:line="219" w:lineRule="auto"/>
        <w:ind w:left="75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应计入建筑安装工程造价的费用。</w:t>
      </w:r>
    </w:p>
    <w:p w14:paraId="681C6F6B">
      <w:pPr>
        <w:spacing w:before="178"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3.1.8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税金</w:t>
      </w:r>
    </w:p>
    <w:p w14:paraId="760949B3">
      <w:pPr>
        <w:spacing w:before="180" w:line="380" w:lineRule="exact"/>
        <w:ind w:left="773"/>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国家税法规定的应计入建筑安装工程造价内的营业税、</w:t>
      </w:r>
      <w:r>
        <w:rPr>
          <w:rFonts w:ascii="宋体" w:hAnsi="宋体" w:eastAsia="宋体" w:cs="宋体"/>
          <w:color w:val="auto"/>
          <w:spacing w:val="-1"/>
          <w:position w:val="12"/>
          <w:sz w:val="21"/>
          <w:szCs w:val="21"/>
          <w:highlight w:val="none"/>
        </w:rPr>
        <w:t>城市维护建设税及教育费附</w:t>
      </w:r>
    </w:p>
    <w:p w14:paraId="5D5DE694">
      <w:pPr>
        <w:spacing w:before="1" w:line="220" w:lineRule="auto"/>
        <w:ind w:left="75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加等。</w:t>
      </w:r>
    </w:p>
    <w:p w14:paraId="674A2BDD">
      <w:pPr>
        <w:spacing w:before="176"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3.1.9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总承包服务费</w:t>
      </w:r>
    </w:p>
    <w:p w14:paraId="1B9429FC">
      <w:pPr>
        <w:spacing w:before="186" w:line="388" w:lineRule="exact"/>
        <w:ind w:left="792"/>
        <w:rPr>
          <w:rFonts w:ascii="宋体" w:hAnsi="宋体" w:eastAsia="宋体" w:cs="宋体"/>
          <w:color w:val="auto"/>
          <w:sz w:val="21"/>
          <w:szCs w:val="21"/>
          <w:highlight w:val="none"/>
        </w:rPr>
      </w:pPr>
      <w:r>
        <w:rPr>
          <w:rFonts w:ascii="宋体" w:hAnsi="宋体" w:eastAsia="宋体" w:cs="宋体"/>
          <w:color w:val="auto"/>
          <w:spacing w:val="3"/>
          <w:position w:val="13"/>
          <w:sz w:val="21"/>
          <w:szCs w:val="21"/>
          <w:highlight w:val="none"/>
        </w:rPr>
        <w:t>总承包人为配合协调发包人进行的专业工程发包，</w:t>
      </w:r>
      <w:r>
        <w:rPr>
          <w:rFonts w:ascii="宋体" w:hAnsi="宋体" w:eastAsia="宋体" w:cs="宋体"/>
          <w:color w:val="auto"/>
          <w:spacing w:val="-18"/>
          <w:position w:val="13"/>
          <w:sz w:val="21"/>
          <w:szCs w:val="21"/>
          <w:highlight w:val="none"/>
        </w:rPr>
        <w:t xml:space="preserve"> </w:t>
      </w:r>
      <w:r>
        <w:rPr>
          <w:rFonts w:ascii="宋体" w:hAnsi="宋体" w:eastAsia="宋体" w:cs="宋体"/>
          <w:color w:val="auto"/>
          <w:spacing w:val="3"/>
          <w:position w:val="13"/>
          <w:sz w:val="21"/>
          <w:szCs w:val="21"/>
          <w:highlight w:val="none"/>
        </w:rPr>
        <w:t>对</w:t>
      </w:r>
      <w:r>
        <w:rPr>
          <w:rFonts w:ascii="宋体" w:hAnsi="宋体" w:eastAsia="宋体" w:cs="宋体"/>
          <w:color w:val="auto"/>
          <w:spacing w:val="2"/>
          <w:position w:val="13"/>
          <w:sz w:val="21"/>
          <w:szCs w:val="21"/>
          <w:highlight w:val="none"/>
        </w:rPr>
        <w:t>发包人自行采购的材料、工</w:t>
      </w:r>
    </w:p>
    <w:p w14:paraId="7C45934B">
      <w:pPr>
        <w:spacing w:before="1" w:line="220" w:lineRule="auto"/>
        <w:ind w:left="80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程设备等进行保管以及施工现场管理、竣工资料汇总整理等服务所需的费用。</w:t>
      </w:r>
    </w:p>
    <w:p w14:paraId="29B53A22">
      <w:pPr>
        <w:spacing w:before="182" w:line="221" w:lineRule="auto"/>
        <w:ind w:left="1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3.1.10</w:t>
      </w:r>
      <w:r>
        <w:rPr>
          <w:rFonts w:ascii="黑体" w:hAnsi="黑体" w:eastAsia="黑体" w:cs="黑体"/>
          <w:color w:val="auto"/>
          <w:spacing w:val="-22"/>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同义词语</w:t>
      </w:r>
    </w:p>
    <w:p w14:paraId="39229C4B">
      <w:pPr>
        <w:spacing w:before="185" w:line="389" w:lineRule="exact"/>
        <w:ind w:left="859"/>
        <w:rPr>
          <w:rFonts w:ascii="宋体" w:hAnsi="宋体" w:eastAsia="宋体" w:cs="宋体"/>
          <w:color w:val="auto"/>
          <w:sz w:val="21"/>
          <w:szCs w:val="21"/>
          <w:highlight w:val="none"/>
        </w:rPr>
      </w:pPr>
      <w:r>
        <w:rPr>
          <w:rFonts w:ascii="宋体" w:hAnsi="宋体" w:eastAsia="宋体" w:cs="宋体"/>
          <w:color w:val="auto"/>
          <w:spacing w:val="6"/>
          <w:position w:val="13"/>
          <w:sz w:val="21"/>
          <w:szCs w:val="21"/>
          <w:highlight w:val="none"/>
        </w:rPr>
        <w:t>本章中使用的词语“招标人”和“投标人”分别与合同条款中定义的“发包人”</w:t>
      </w:r>
    </w:p>
    <w:p w14:paraId="2EE72993">
      <w:pPr>
        <w:spacing w:line="220" w:lineRule="auto"/>
        <w:ind w:left="7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和“承包人”同义；就工程量清单而言，“项目”与</w:t>
      </w:r>
      <w:r>
        <w:rPr>
          <w:rFonts w:ascii="宋体" w:hAnsi="宋体" w:eastAsia="宋体" w:cs="宋体"/>
          <w:color w:val="auto"/>
          <w:spacing w:val="-5"/>
          <w:sz w:val="21"/>
          <w:szCs w:val="21"/>
          <w:highlight w:val="none"/>
        </w:rPr>
        <w:t>“子目”同义。</w:t>
      </w:r>
    </w:p>
    <w:p w14:paraId="36DE5B7E">
      <w:pPr>
        <w:spacing w:before="176"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3.2</w:t>
      </w:r>
      <w:r>
        <w:rPr>
          <w:rFonts w:ascii="黑体" w:hAnsi="黑体" w:eastAsia="黑体" w:cs="黑体"/>
          <w:color w:val="auto"/>
          <w:spacing w:val="-36"/>
          <w:sz w:val="21"/>
          <w:szCs w:val="21"/>
          <w:highlight w:val="none"/>
        </w:rPr>
        <w:t xml:space="preserve"> </w:t>
      </w:r>
      <w:r>
        <w:rPr>
          <w:rFonts w:ascii="黑体" w:hAnsi="黑体" w:eastAsia="黑体" w:cs="黑体"/>
          <w:color w:val="auto"/>
          <w:spacing w:val="-2"/>
          <w:sz w:val="21"/>
          <w:szCs w:val="21"/>
          <w:highlight w:val="none"/>
        </w:rPr>
        <w:t>工程量差异调整</w:t>
      </w:r>
    </w:p>
    <w:p w14:paraId="29968FE1">
      <w:pPr>
        <w:spacing w:before="179" w:line="297" w:lineRule="auto"/>
        <w:ind w:left="737" w:right="155" w:hanging="734"/>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3.2.1</w:t>
      </w:r>
      <w:r>
        <w:rPr>
          <w:rFonts w:ascii="黑体" w:hAnsi="黑体" w:eastAsia="黑体" w:cs="黑体"/>
          <w:color w:val="auto"/>
          <w:spacing w:val="58"/>
          <w:sz w:val="21"/>
          <w:szCs w:val="21"/>
          <w:highlight w:val="none"/>
        </w:rPr>
        <w:t xml:space="preserve"> </w:t>
      </w:r>
      <w:r>
        <w:rPr>
          <w:rFonts w:ascii="宋体" w:hAnsi="宋体" w:eastAsia="宋体" w:cs="宋体"/>
          <w:color w:val="auto"/>
          <w:spacing w:val="2"/>
          <w:sz w:val="21"/>
          <w:szCs w:val="21"/>
          <w:highlight w:val="none"/>
        </w:rPr>
        <w:t>招标工程量清单中的工作内容分类、项目列项、特征描述以及“分部分项</w:t>
      </w:r>
      <w:r>
        <w:rPr>
          <w:rFonts w:ascii="宋体" w:hAnsi="宋体" w:eastAsia="宋体" w:cs="宋体"/>
          <w:color w:val="auto"/>
          <w:spacing w:val="1"/>
          <w:sz w:val="21"/>
          <w:szCs w:val="21"/>
          <w:highlight w:val="none"/>
        </w:rPr>
        <w:t>工程和单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价措施项目清单与计价表”中附带的工程量都不应理解为是对承</w:t>
      </w:r>
      <w:r>
        <w:rPr>
          <w:rFonts w:ascii="宋体" w:hAnsi="宋体" w:eastAsia="宋体" w:cs="宋体"/>
          <w:color w:val="auto"/>
          <w:sz w:val="21"/>
          <w:szCs w:val="21"/>
          <w:highlight w:val="none"/>
        </w:rPr>
        <w:t>包（招标）范围以 及合同工作内容的唯一的、最终的或全部的</w:t>
      </w:r>
      <w:r>
        <w:rPr>
          <w:rFonts w:ascii="宋体" w:hAnsi="宋体" w:eastAsia="宋体" w:cs="宋体"/>
          <w:color w:val="auto"/>
          <w:spacing w:val="-1"/>
          <w:sz w:val="21"/>
          <w:szCs w:val="21"/>
          <w:highlight w:val="none"/>
        </w:rPr>
        <w:t>定义。</w:t>
      </w:r>
    </w:p>
    <w:p w14:paraId="017F59E7">
      <w:pPr>
        <w:spacing w:before="127" w:line="318" w:lineRule="auto"/>
        <w:ind w:left="738" w:right="156" w:hanging="720"/>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3.2.2</w:t>
      </w:r>
      <w:r>
        <w:rPr>
          <w:rFonts w:ascii="黑体" w:hAnsi="黑体" w:eastAsia="黑体" w:cs="黑体"/>
          <w:color w:val="auto"/>
          <w:spacing w:val="68"/>
          <w:sz w:val="21"/>
          <w:szCs w:val="21"/>
          <w:highlight w:val="none"/>
        </w:rPr>
        <w:t xml:space="preserve"> </w:t>
      </w:r>
      <w:r>
        <w:rPr>
          <w:rFonts w:ascii="宋体" w:hAnsi="宋体" w:eastAsia="宋体" w:cs="宋体"/>
          <w:color w:val="auto"/>
          <w:spacing w:val="1"/>
          <w:sz w:val="21"/>
          <w:szCs w:val="21"/>
          <w:highlight w:val="none"/>
        </w:rPr>
        <w:t>投标人可以对招标工程量清单进行复核。这种复核包括对招标工程量清单中的项目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编码、项目名称、项目特征描述、计量单位、工程量的准确性以及</w:t>
      </w:r>
      <w:r>
        <w:rPr>
          <w:rFonts w:ascii="宋体" w:hAnsi="宋体" w:eastAsia="宋体" w:cs="宋体"/>
          <w:color w:val="auto"/>
          <w:sz w:val="21"/>
          <w:szCs w:val="21"/>
          <w:highlight w:val="none"/>
        </w:rPr>
        <w:t xml:space="preserve">可能存在的任何 </w:t>
      </w:r>
      <w:r>
        <w:rPr>
          <w:rFonts w:ascii="宋体" w:hAnsi="宋体" w:eastAsia="宋体" w:cs="宋体"/>
          <w:color w:val="auto"/>
          <w:spacing w:val="1"/>
          <w:sz w:val="21"/>
          <w:szCs w:val="21"/>
          <w:highlight w:val="none"/>
        </w:rPr>
        <w:t>书写、打印错误进行检查和复核。如果投标人经过检查和复核以后</w:t>
      </w:r>
      <w:r>
        <w:rPr>
          <w:rFonts w:ascii="宋体" w:hAnsi="宋体" w:eastAsia="宋体" w:cs="宋体"/>
          <w:color w:val="auto"/>
          <w:sz w:val="21"/>
          <w:szCs w:val="21"/>
          <w:highlight w:val="none"/>
        </w:rPr>
        <w:t xml:space="preserve">认为招标工程量 </w:t>
      </w:r>
      <w:r>
        <w:rPr>
          <w:rFonts w:ascii="宋体" w:hAnsi="宋体" w:eastAsia="宋体" w:cs="宋体"/>
          <w:color w:val="auto"/>
          <w:spacing w:val="-2"/>
          <w:sz w:val="21"/>
          <w:szCs w:val="21"/>
          <w:highlight w:val="none"/>
        </w:rPr>
        <w:t>清单存在差异，这种差异的存在可能对造价产生重大影响的， 则投标人应将此类差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异的详细情况连同按投标人须知规定提交的要求招标人澄清的其他</w:t>
      </w:r>
      <w:r>
        <w:rPr>
          <w:rFonts w:ascii="宋体" w:hAnsi="宋体" w:eastAsia="宋体" w:cs="宋体"/>
          <w:color w:val="auto"/>
          <w:sz w:val="21"/>
          <w:szCs w:val="21"/>
          <w:highlight w:val="none"/>
        </w:rPr>
        <w:t xml:space="preserve">问题一起提交给 </w:t>
      </w:r>
      <w:r>
        <w:rPr>
          <w:rFonts w:ascii="宋体" w:hAnsi="宋体" w:eastAsia="宋体" w:cs="宋体"/>
          <w:color w:val="auto"/>
          <w:spacing w:val="1"/>
          <w:sz w:val="21"/>
          <w:szCs w:val="21"/>
          <w:highlight w:val="none"/>
        </w:rPr>
        <w:t>招标人，招标人在核实差异后将根据实际情况决定是否颁发招标工程</w:t>
      </w:r>
      <w:r>
        <w:rPr>
          <w:rFonts w:ascii="宋体" w:hAnsi="宋体" w:eastAsia="宋体" w:cs="宋体"/>
          <w:color w:val="auto"/>
          <w:sz w:val="21"/>
          <w:szCs w:val="21"/>
          <w:highlight w:val="none"/>
        </w:rPr>
        <w:t xml:space="preserve">量清单的澄清 </w:t>
      </w:r>
      <w:r>
        <w:rPr>
          <w:rFonts w:ascii="宋体" w:hAnsi="宋体" w:eastAsia="宋体" w:cs="宋体"/>
          <w:color w:val="auto"/>
          <w:spacing w:val="-3"/>
          <w:sz w:val="21"/>
          <w:szCs w:val="21"/>
          <w:highlight w:val="none"/>
        </w:rPr>
        <w:t>和（或）修改文件。</w:t>
      </w:r>
    </w:p>
    <w:p w14:paraId="36426833">
      <w:pPr>
        <w:spacing w:before="131" w:line="311" w:lineRule="auto"/>
        <w:ind w:left="737" w:right="157" w:hanging="734"/>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3.2.3</w:t>
      </w:r>
      <w:r>
        <w:rPr>
          <w:rFonts w:ascii="黑体" w:hAnsi="黑体" w:eastAsia="黑体" w:cs="黑体"/>
          <w:color w:val="auto"/>
          <w:spacing w:val="64"/>
          <w:sz w:val="21"/>
          <w:szCs w:val="21"/>
          <w:highlight w:val="none"/>
        </w:rPr>
        <w:t xml:space="preserve"> </w:t>
      </w:r>
      <w:r>
        <w:rPr>
          <w:rFonts w:ascii="宋体" w:hAnsi="宋体" w:eastAsia="宋体" w:cs="宋体"/>
          <w:color w:val="auto"/>
          <w:spacing w:val="-1"/>
          <w:sz w:val="21"/>
          <w:szCs w:val="21"/>
          <w:highlight w:val="none"/>
        </w:rPr>
        <w:t>如果招标人在检查投标人根据上文第</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3.2.2 </w:t>
      </w:r>
      <w:r>
        <w:rPr>
          <w:rFonts w:ascii="宋体" w:hAnsi="宋体" w:eastAsia="宋体" w:cs="宋体"/>
          <w:color w:val="auto"/>
          <w:spacing w:val="-1"/>
          <w:sz w:val="21"/>
          <w:szCs w:val="21"/>
          <w:highlight w:val="none"/>
        </w:rPr>
        <w:t>项提交的差异问题后认为没有必要对招标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工程量清单进行澄清和（或）修改，或者招标人根据上文第</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 xml:space="preserve">3.2.2  </w:t>
      </w:r>
      <w:r>
        <w:rPr>
          <w:rFonts w:ascii="宋体" w:hAnsi="宋体" w:eastAsia="宋体" w:cs="宋体"/>
          <w:color w:val="auto"/>
          <w:sz w:val="21"/>
          <w:szCs w:val="21"/>
          <w:highlight w:val="none"/>
        </w:rPr>
        <w:t xml:space="preserve">项对招标工程量 </w:t>
      </w:r>
      <w:r>
        <w:rPr>
          <w:rFonts w:ascii="宋体" w:hAnsi="宋体" w:eastAsia="宋体" w:cs="宋体"/>
          <w:color w:val="auto"/>
          <w:spacing w:val="1"/>
          <w:sz w:val="21"/>
          <w:szCs w:val="21"/>
          <w:highlight w:val="none"/>
        </w:rPr>
        <w:t>清单进行了澄清和（或）修改，但投标人认为招标工程量</w:t>
      </w:r>
      <w:r>
        <w:rPr>
          <w:rFonts w:ascii="宋体" w:hAnsi="宋体" w:eastAsia="宋体" w:cs="宋体"/>
          <w:color w:val="auto"/>
          <w:sz w:val="21"/>
          <w:szCs w:val="21"/>
          <w:highlight w:val="none"/>
        </w:rPr>
        <w:t xml:space="preserve">清单依然存在差异，则此 </w:t>
      </w:r>
      <w:r>
        <w:rPr>
          <w:rFonts w:ascii="宋体" w:hAnsi="宋体" w:eastAsia="宋体" w:cs="宋体"/>
          <w:color w:val="auto"/>
          <w:spacing w:val="1"/>
          <w:sz w:val="21"/>
          <w:szCs w:val="21"/>
          <w:highlight w:val="none"/>
        </w:rPr>
        <w:t>类差异不再提交招标人要求澄清和（或）修改，而是直接按招</w:t>
      </w:r>
      <w:r>
        <w:rPr>
          <w:rFonts w:ascii="宋体" w:hAnsi="宋体" w:eastAsia="宋体" w:cs="宋体"/>
          <w:color w:val="auto"/>
          <w:sz w:val="21"/>
          <w:szCs w:val="21"/>
          <w:highlight w:val="none"/>
        </w:rPr>
        <w:t xml:space="preserve">标工程量清单（包括 </w:t>
      </w:r>
      <w:r>
        <w:rPr>
          <w:rFonts w:ascii="宋体" w:hAnsi="宋体" w:eastAsia="宋体" w:cs="宋体"/>
          <w:color w:val="auto"/>
          <w:spacing w:val="-2"/>
          <w:sz w:val="21"/>
          <w:szCs w:val="21"/>
          <w:highlight w:val="none"/>
        </w:rPr>
        <w:t>招标人可能的澄清和（或）修改）进行报价。</w:t>
      </w:r>
    </w:p>
    <w:p w14:paraId="192FC6F6">
      <w:pPr>
        <w:spacing w:line="311" w:lineRule="auto"/>
        <w:rPr>
          <w:rFonts w:ascii="宋体" w:hAnsi="宋体" w:eastAsia="宋体" w:cs="宋体"/>
          <w:color w:val="auto"/>
          <w:sz w:val="21"/>
          <w:szCs w:val="21"/>
          <w:highlight w:val="none"/>
        </w:rPr>
        <w:sectPr>
          <w:footerReference r:id="rId120" w:type="default"/>
          <w:pgSz w:w="11905" w:h="16839"/>
          <w:pgMar w:top="400" w:right="1630" w:bottom="1004" w:left="1785" w:header="0" w:footer="828" w:gutter="0"/>
          <w:pgNumType w:fmt="decimal"/>
          <w:cols w:space="720" w:num="1"/>
        </w:sectPr>
      </w:pPr>
    </w:p>
    <w:p w14:paraId="7CCD2024">
      <w:pPr>
        <w:pStyle w:val="5"/>
        <w:spacing w:line="271" w:lineRule="auto"/>
        <w:rPr>
          <w:color w:val="auto"/>
          <w:highlight w:val="none"/>
        </w:rPr>
      </w:pPr>
    </w:p>
    <w:p w14:paraId="3B4C7C02">
      <w:pPr>
        <w:pStyle w:val="5"/>
        <w:spacing w:line="271" w:lineRule="auto"/>
        <w:rPr>
          <w:color w:val="auto"/>
          <w:highlight w:val="none"/>
        </w:rPr>
      </w:pPr>
    </w:p>
    <w:p w14:paraId="523EABC7">
      <w:pPr>
        <w:pStyle w:val="5"/>
        <w:spacing w:line="272" w:lineRule="auto"/>
        <w:rPr>
          <w:color w:val="auto"/>
          <w:highlight w:val="none"/>
        </w:rPr>
      </w:pPr>
    </w:p>
    <w:p w14:paraId="017C4F31">
      <w:pPr>
        <w:pStyle w:val="5"/>
        <w:spacing w:line="272" w:lineRule="auto"/>
        <w:rPr>
          <w:color w:val="auto"/>
          <w:highlight w:val="none"/>
        </w:rPr>
      </w:pPr>
    </w:p>
    <w:p w14:paraId="1E6C8223">
      <w:pPr>
        <w:spacing w:before="68" w:line="219" w:lineRule="auto"/>
        <w:ind w:left="1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 xml:space="preserve">3.2.4  </w:t>
      </w:r>
      <w:r>
        <w:rPr>
          <w:rFonts w:ascii="宋体" w:hAnsi="宋体" w:eastAsia="宋体" w:cs="宋体"/>
          <w:color w:val="auto"/>
          <w:spacing w:val="-3"/>
          <w:sz w:val="21"/>
          <w:szCs w:val="21"/>
          <w:highlight w:val="none"/>
        </w:rPr>
        <w:t>投标人在按照招标工程量清单进行报价时， 不得改变招标工程量清单的项目编码、</w:t>
      </w:r>
    </w:p>
    <w:p w14:paraId="1E14605C">
      <w:pPr>
        <w:spacing w:before="129" w:line="335" w:lineRule="auto"/>
        <w:ind w:left="765" w:right="8" w:hanging="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项目名称、项目特征描述、计量单位以及工程量，</w:t>
      </w:r>
      <w:r>
        <w:rPr>
          <w:rFonts w:ascii="宋体" w:hAnsi="宋体" w:eastAsia="宋体" w:cs="宋体"/>
          <w:color w:val="auto"/>
          <w:spacing w:val="56"/>
          <w:sz w:val="21"/>
          <w:szCs w:val="21"/>
          <w:highlight w:val="none"/>
        </w:rPr>
        <w:t xml:space="preserve"> </w:t>
      </w:r>
      <w:r>
        <w:rPr>
          <w:rFonts w:ascii="宋体" w:hAnsi="宋体" w:eastAsia="宋体" w:cs="宋体"/>
          <w:color w:val="auto"/>
          <w:spacing w:val="-4"/>
          <w:sz w:val="21"/>
          <w:szCs w:val="21"/>
          <w:highlight w:val="none"/>
        </w:rPr>
        <w:t>也不得</w:t>
      </w:r>
      <w:r>
        <w:rPr>
          <w:rFonts w:ascii="宋体" w:hAnsi="宋体" w:eastAsia="宋体" w:cs="宋体"/>
          <w:color w:val="auto"/>
          <w:spacing w:val="-5"/>
          <w:sz w:val="21"/>
          <w:szCs w:val="21"/>
          <w:highlight w:val="none"/>
        </w:rPr>
        <w:t>改变其他项目清单及其载</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明的暂列金额和暂估价等内容。即使按照图纸和</w:t>
      </w:r>
      <w:r>
        <w:rPr>
          <w:rFonts w:ascii="宋体" w:hAnsi="宋体" w:eastAsia="宋体" w:cs="宋体"/>
          <w:color w:val="auto"/>
          <w:spacing w:val="-2"/>
          <w:sz w:val="21"/>
          <w:szCs w:val="21"/>
          <w:highlight w:val="none"/>
        </w:rPr>
        <w:t>招标范围的约定并不存在的项目，</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只要在招标人提供的招标工程量清单中已经列明，</w:t>
      </w:r>
      <w:r>
        <w:rPr>
          <w:rFonts w:ascii="宋体" w:hAnsi="宋体" w:eastAsia="宋体" w:cs="宋体"/>
          <w:color w:val="auto"/>
          <w:spacing w:val="65"/>
          <w:sz w:val="21"/>
          <w:szCs w:val="21"/>
          <w:highlight w:val="none"/>
        </w:rPr>
        <w:t xml:space="preserve"> </w:t>
      </w:r>
      <w:r>
        <w:rPr>
          <w:rFonts w:ascii="宋体" w:hAnsi="宋体" w:eastAsia="宋体" w:cs="宋体"/>
          <w:color w:val="auto"/>
          <w:spacing w:val="-5"/>
          <w:sz w:val="21"/>
          <w:szCs w:val="21"/>
          <w:highlight w:val="none"/>
        </w:rPr>
        <w:t>投标人都需要对其报价，并纳入</w:t>
      </w:r>
    </w:p>
    <w:p w14:paraId="570EA01F">
      <w:pPr>
        <w:spacing w:line="219" w:lineRule="auto"/>
        <w:ind w:left="75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投标总价的计算。</w:t>
      </w:r>
    </w:p>
    <w:p w14:paraId="02AFEE2B">
      <w:pPr>
        <w:spacing w:before="129"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3.3</w:t>
      </w:r>
      <w:r>
        <w:rPr>
          <w:rFonts w:ascii="黑体" w:hAnsi="黑体" w:eastAsia="黑体" w:cs="黑体"/>
          <w:color w:val="auto"/>
          <w:spacing w:val="-34"/>
          <w:sz w:val="21"/>
          <w:szCs w:val="21"/>
          <w:highlight w:val="none"/>
        </w:rPr>
        <w:t xml:space="preserve"> </w:t>
      </w:r>
      <w:r>
        <w:rPr>
          <w:rFonts w:ascii="黑体" w:hAnsi="黑体" w:eastAsia="黑体" w:cs="黑体"/>
          <w:color w:val="auto"/>
          <w:spacing w:val="-2"/>
          <w:sz w:val="21"/>
          <w:szCs w:val="21"/>
          <w:highlight w:val="none"/>
        </w:rPr>
        <w:t>暂列金额和暂估价</w:t>
      </w:r>
    </w:p>
    <w:p w14:paraId="7283C860">
      <w:pPr>
        <w:spacing w:before="129" w:line="220"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3.3.1   </w:t>
      </w:r>
      <w:r>
        <w:rPr>
          <w:rFonts w:ascii="宋体" w:hAnsi="宋体" w:eastAsia="宋体" w:cs="宋体"/>
          <w:color w:val="auto"/>
          <w:spacing w:val="-2"/>
          <w:sz w:val="21"/>
          <w:szCs w:val="21"/>
          <w:highlight w:val="none"/>
        </w:rPr>
        <w:t>采用一般计税方法的，“暂列金额明细表”中所列暂列金额为不含进项税</w:t>
      </w:r>
      <w:r>
        <w:rPr>
          <w:rFonts w:ascii="宋体" w:hAnsi="宋体" w:eastAsia="宋体" w:cs="宋体"/>
          <w:color w:val="auto"/>
          <w:spacing w:val="-3"/>
          <w:sz w:val="21"/>
          <w:szCs w:val="21"/>
          <w:highlight w:val="none"/>
        </w:rPr>
        <w:t>额和销项</w:t>
      </w:r>
    </w:p>
    <w:p w14:paraId="4C0F4847">
      <w:pPr>
        <w:spacing w:before="129" w:line="380" w:lineRule="exact"/>
        <w:ind w:right="8"/>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税额的金额。投标人应按本招标文件规定将此类暂列金额直接纳入其他项目清单的</w:t>
      </w:r>
    </w:p>
    <w:p w14:paraId="764195D6">
      <w:pPr>
        <w:spacing w:line="219" w:lineRule="auto"/>
        <w:ind w:left="75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投标价格，</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并计取相应的销项税额。</w:t>
      </w:r>
    </w:p>
    <w:p w14:paraId="2FC6C3C8">
      <w:pPr>
        <w:spacing w:before="135" w:line="333" w:lineRule="auto"/>
        <w:ind w:left="752" w:right="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采用简易计税方法，</w:t>
      </w:r>
      <w:r>
        <w:rPr>
          <w:rFonts w:ascii="宋体" w:hAnsi="宋体" w:eastAsia="宋体" w:cs="宋体"/>
          <w:color w:val="auto"/>
          <w:spacing w:val="-61"/>
          <w:sz w:val="21"/>
          <w:szCs w:val="21"/>
          <w:highlight w:val="none"/>
        </w:rPr>
        <w:t xml:space="preserve"> </w:t>
      </w:r>
      <w:r>
        <w:rPr>
          <w:rFonts w:ascii="宋体" w:hAnsi="宋体" w:eastAsia="宋体" w:cs="宋体"/>
          <w:color w:val="auto"/>
          <w:spacing w:val="-1"/>
          <w:sz w:val="21"/>
          <w:szCs w:val="21"/>
          <w:highlight w:val="none"/>
        </w:rPr>
        <w:t>“暂列金额明细表”中所列暂列金额为含进项税额但不含销项</w:t>
      </w:r>
      <w:r>
        <w:rPr>
          <w:rFonts w:ascii="宋体" w:hAnsi="宋体" w:eastAsia="宋体" w:cs="宋体"/>
          <w:color w:val="auto"/>
          <w:sz w:val="21"/>
          <w:szCs w:val="21"/>
          <w:highlight w:val="none"/>
        </w:rPr>
        <w:t xml:space="preserve"> 税额的金额。投标人应按本招标文件规定将此类暂列金额直接纳入其他项目清单的</w:t>
      </w:r>
    </w:p>
    <w:p w14:paraId="6B872933">
      <w:pPr>
        <w:spacing w:before="1" w:line="219" w:lineRule="auto"/>
        <w:ind w:left="75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投标价格，</w:t>
      </w:r>
      <w:r>
        <w:rPr>
          <w:rFonts w:ascii="宋体" w:hAnsi="宋体" w:eastAsia="宋体" w:cs="宋体"/>
          <w:color w:val="auto"/>
          <w:spacing w:val="69"/>
          <w:sz w:val="21"/>
          <w:szCs w:val="21"/>
          <w:highlight w:val="none"/>
        </w:rPr>
        <w:t xml:space="preserve"> </w:t>
      </w:r>
      <w:r>
        <w:rPr>
          <w:rFonts w:ascii="宋体" w:hAnsi="宋体" w:eastAsia="宋体" w:cs="宋体"/>
          <w:color w:val="auto"/>
          <w:spacing w:val="-10"/>
          <w:sz w:val="21"/>
          <w:szCs w:val="21"/>
          <w:highlight w:val="none"/>
        </w:rPr>
        <w:t>并计取相应的增值税征收率。</w:t>
      </w:r>
    </w:p>
    <w:p w14:paraId="28DF3801">
      <w:pPr>
        <w:spacing w:before="130"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3.3.2   </w:t>
      </w:r>
      <w:r>
        <w:rPr>
          <w:rFonts w:ascii="宋体" w:hAnsi="宋体" w:eastAsia="宋体" w:cs="宋体"/>
          <w:color w:val="auto"/>
          <w:spacing w:val="-2"/>
          <w:sz w:val="21"/>
          <w:szCs w:val="21"/>
          <w:highlight w:val="none"/>
        </w:rPr>
        <w:t>“材料（工程设备）暂估单价表”中所列的材料和工程设备暂估价是此类材</w:t>
      </w:r>
      <w:r>
        <w:rPr>
          <w:rFonts w:ascii="宋体" w:hAnsi="宋体" w:eastAsia="宋体" w:cs="宋体"/>
          <w:color w:val="auto"/>
          <w:spacing w:val="-3"/>
          <w:sz w:val="21"/>
          <w:szCs w:val="21"/>
          <w:highlight w:val="none"/>
        </w:rPr>
        <w:t>料、工</w:t>
      </w:r>
    </w:p>
    <w:p w14:paraId="351D5830">
      <w:pPr>
        <w:spacing w:before="129" w:line="335" w:lineRule="auto"/>
        <w:ind w:left="754" w:right="5" w:hanging="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程设备本身运至施工现场内的工地地面价，除应按本招标文件规定将此类暂估价本</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身纳入分部分项工程和单价措施项目清单相应项目的综合单价以外，投标人还应将</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上述材料和工程设备的安装及辅助工作所发生的费用以及与此类费用有关的企业管</w:t>
      </w:r>
    </w:p>
    <w:p w14:paraId="546825BC">
      <w:pPr>
        <w:spacing w:before="1" w:line="219" w:lineRule="auto"/>
        <w:ind w:left="75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理费和利润包含在分部分项工程和单价措施项目清单相应项目的综合单价中。</w:t>
      </w:r>
    </w:p>
    <w:p w14:paraId="49DF5DBE">
      <w:pPr>
        <w:spacing w:before="130"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3.3.3   </w:t>
      </w:r>
      <w:r>
        <w:rPr>
          <w:rFonts w:ascii="宋体" w:hAnsi="宋体" w:eastAsia="宋体" w:cs="宋体"/>
          <w:color w:val="auto"/>
          <w:spacing w:val="-2"/>
          <w:sz w:val="21"/>
          <w:szCs w:val="21"/>
          <w:highlight w:val="none"/>
        </w:rPr>
        <w:t>采用一般计税方法的，“专业工程暂估价表”中所列专业工程暂估价为不</w:t>
      </w:r>
      <w:r>
        <w:rPr>
          <w:rFonts w:ascii="宋体" w:hAnsi="宋体" w:eastAsia="宋体" w:cs="宋体"/>
          <w:color w:val="auto"/>
          <w:spacing w:val="-3"/>
          <w:sz w:val="21"/>
          <w:szCs w:val="21"/>
          <w:highlight w:val="none"/>
        </w:rPr>
        <w:t>含进项税</w:t>
      </w:r>
    </w:p>
    <w:p w14:paraId="0363B06B">
      <w:pPr>
        <w:spacing w:before="130" w:line="379" w:lineRule="exact"/>
        <w:ind w:right="18"/>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额和销项税额的金额。投标人应按本招标文件规定将此类专业工程暂估金额直接纳</w:t>
      </w:r>
    </w:p>
    <w:p w14:paraId="5E167870">
      <w:pPr>
        <w:spacing w:line="219" w:lineRule="auto"/>
        <w:ind w:left="75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入其他项目清单的投标价格， 并计取相应的销项税额。</w:t>
      </w:r>
    </w:p>
    <w:p w14:paraId="77255B75">
      <w:pPr>
        <w:spacing w:before="129" w:line="336" w:lineRule="auto"/>
        <w:ind w:left="751" w:right="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采用简易计税方法的，“专业工程暂估价表”中所列专业工程暂估价为含进项税额</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但不含销项税额的金额。投标人应按本招标文件规定将此类专业工程暂估金额直接</w:t>
      </w:r>
    </w:p>
    <w:p w14:paraId="46D88D8A">
      <w:pPr>
        <w:spacing w:before="1" w:line="219" w:lineRule="auto"/>
        <w:ind w:left="7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纳入其他项目清单的投标价格，并计取相应的增值</w:t>
      </w:r>
      <w:r>
        <w:rPr>
          <w:rFonts w:ascii="宋体" w:hAnsi="宋体" w:eastAsia="宋体" w:cs="宋体"/>
          <w:color w:val="auto"/>
          <w:spacing w:val="-2"/>
          <w:sz w:val="21"/>
          <w:szCs w:val="21"/>
          <w:highlight w:val="none"/>
        </w:rPr>
        <w:t>税征收率。</w:t>
      </w:r>
    </w:p>
    <w:p w14:paraId="5B9E1CD9">
      <w:pPr>
        <w:spacing w:before="130" w:line="219"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3.4</w:t>
      </w:r>
      <w:r>
        <w:rPr>
          <w:rFonts w:ascii="黑体" w:hAnsi="黑体" w:eastAsia="黑体" w:cs="黑体"/>
          <w:color w:val="auto"/>
          <w:spacing w:val="-38"/>
          <w:sz w:val="21"/>
          <w:szCs w:val="21"/>
          <w:highlight w:val="none"/>
        </w:rPr>
        <w:t xml:space="preserve"> </w:t>
      </w:r>
      <w:r>
        <w:rPr>
          <w:rFonts w:ascii="黑体" w:hAnsi="黑体" w:eastAsia="黑体" w:cs="黑体"/>
          <w:color w:val="auto"/>
          <w:spacing w:val="-2"/>
          <w:sz w:val="21"/>
          <w:szCs w:val="21"/>
          <w:highlight w:val="none"/>
        </w:rPr>
        <w:t>其他补充说明</w:t>
      </w:r>
    </w:p>
    <w:p w14:paraId="638FBA8F">
      <w:pPr>
        <w:pStyle w:val="5"/>
        <w:spacing w:line="338" w:lineRule="auto"/>
        <w:rPr>
          <w:color w:val="auto"/>
          <w:highlight w:val="none"/>
        </w:rPr>
      </w:pPr>
    </w:p>
    <w:p w14:paraId="78A447FB">
      <w:pPr>
        <w:spacing w:line="389" w:lineRule="exact"/>
        <w:ind w:firstLine="432"/>
        <w:rPr>
          <w:color w:val="auto"/>
          <w:highlight w:val="none"/>
        </w:rPr>
      </w:pPr>
      <w:r>
        <w:rPr>
          <w:color w:val="auto"/>
          <w:position w:val="-7"/>
          <w:highlight w:val="none"/>
        </w:rPr>
        <w:pict>
          <v:shape id="_x0000_s2073" o:spid="_x0000_s2073" style="height:19.45pt;width:394.75pt;" fillcolor="#000000" filled="t" stroked="f" coordsize="7895,389" path="m0,9l7894,9,7894,0,0,0,0,9xem0,388l7894,388,7894,379,0,379,0,388xe">
            <v:path/>
            <v:fill on="t" focussize="0,0"/>
            <v:stroke on="f"/>
            <v:imagedata o:title=""/>
            <o:lock v:ext="edit"/>
            <w10:wrap type="none"/>
            <w10:anchorlock/>
          </v:shape>
        </w:pict>
      </w:r>
    </w:p>
    <w:p w14:paraId="6FD79396">
      <w:pPr>
        <w:pStyle w:val="5"/>
        <w:spacing w:line="326" w:lineRule="auto"/>
        <w:rPr>
          <w:color w:val="auto"/>
          <w:highlight w:val="none"/>
        </w:rPr>
      </w:pPr>
    </w:p>
    <w:p w14:paraId="586A80F2">
      <w:pPr>
        <w:pStyle w:val="5"/>
        <w:spacing w:line="327" w:lineRule="auto"/>
        <w:rPr>
          <w:color w:val="auto"/>
          <w:highlight w:val="none"/>
        </w:rPr>
      </w:pPr>
    </w:p>
    <w:p w14:paraId="477374E0">
      <w:pPr>
        <w:spacing w:before="87" w:line="225"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4</w:t>
      </w:r>
      <w:r>
        <w:rPr>
          <w:rFonts w:ascii="黑体" w:hAnsi="黑体" w:eastAsia="黑体" w:cs="黑体"/>
          <w:color w:val="auto"/>
          <w:spacing w:val="7"/>
          <w:sz w:val="27"/>
          <w:szCs w:val="27"/>
          <w:highlight w:val="none"/>
        </w:rPr>
        <w:t>、工程量清单与计价表</w:t>
      </w:r>
    </w:p>
    <w:p w14:paraId="10805C3D">
      <w:pPr>
        <w:pStyle w:val="5"/>
        <w:spacing w:line="264" w:lineRule="auto"/>
        <w:rPr>
          <w:color w:val="auto"/>
          <w:highlight w:val="none"/>
        </w:rPr>
      </w:pPr>
    </w:p>
    <w:p w14:paraId="6625A58E">
      <w:pPr>
        <w:pStyle w:val="5"/>
        <w:spacing w:line="265" w:lineRule="auto"/>
        <w:rPr>
          <w:color w:val="auto"/>
          <w:highlight w:val="none"/>
        </w:rPr>
      </w:pPr>
    </w:p>
    <w:p w14:paraId="41368D34">
      <w:pPr>
        <w:pStyle w:val="5"/>
        <w:spacing w:line="265" w:lineRule="auto"/>
        <w:rPr>
          <w:color w:val="auto"/>
          <w:highlight w:val="none"/>
        </w:rPr>
      </w:pPr>
    </w:p>
    <w:p w14:paraId="0917A855">
      <w:pPr>
        <w:spacing w:before="69" w:line="22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备注： 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0"/>
          <w:sz w:val="21"/>
          <w:szCs w:val="21"/>
          <w:highlight w:val="none"/>
        </w:rPr>
        <w:t>以下表格供招标人参考。</w:t>
      </w:r>
    </w:p>
    <w:p w14:paraId="1ADC0460">
      <w:pPr>
        <w:spacing w:before="129" w:line="384" w:lineRule="exact"/>
        <w:ind w:left="650"/>
        <w:rPr>
          <w:rFonts w:ascii="宋体" w:hAnsi="宋体" w:eastAsia="宋体" w:cs="宋体"/>
          <w:color w:val="auto"/>
          <w:sz w:val="21"/>
          <w:szCs w:val="21"/>
          <w:highlight w:val="none"/>
        </w:rPr>
      </w:pPr>
      <w:r>
        <w:rPr>
          <w:rFonts w:ascii="宋体" w:hAnsi="宋体" w:eastAsia="宋体" w:cs="宋体"/>
          <w:color w:val="auto"/>
          <w:spacing w:val="-3"/>
          <w:position w:val="13"/>
          <w:sz w:val="21"/>
          <w:szCs w:val="21"/>
          <w:highlight w:val="none"/>
        </w:rPr>
        <w:t>2.</w:t>
      </w:r>
      <w:r>
        <w:rPr>
          <w:rFonts w:ascii="宋体" w:hAnsi="宋体" w:eastAsia="宋体" w:cs="宋体"/>
          <w:color w:val="auto"/>
          <w:spacing w:val="48"/>
          <w:position w:val="13"/>
          <w:sz w:val="21"/>
          <w:szCs w:val="21"/>
          <w:highlight w:val="none"/>
        </w:rPr>
        <w:t xml:space="preserve"> </w:t>
      </w:r>
      <w:r>
        <w:rPr>
          <w:rFonts w:ascii="宋体" w:hAnsi="宋体" w:eastAsia="宋体" w:cs="宋体"/>
          <w:color w:val="auto"/>
          <w:spacing w:val="-3"/>
          <w:position w:val="13"/>
          <w:sz w:val="21"/>
          <w:szCs w:val="21"/>
          <w:highlight w:val="none"/>
        </w:rPr>
        <w:t>以下表格中的单价应根据所选用计税方法不同进行调整。</w:t>
      </w:r>
    </w:p>
    <w:p w14:paraId="513CCC72">
      <w:pPr>
        <w:spacing w:line="219" w:lineRule="auto"/>
        <w:ind w:left="65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一般计税方法应为除税价格， 简易计税方法应为含税价格。</w:t>
      </w:r>
    </w:p>
    <w:p w14:paraId="57838F67">
      <w:pPr>
        <w:spacing w:line="219" w:lineRule="auto"/>
        <w:rPr>
          <w:rFonts w:ascii="宋体" w:hAnsi="宋体" w:eastAsia="宋体" w:cs="宋体"/>
          <w:color w:val="auto"/>
          <w:sz w:val="21"/>
          <w:szCs w:val="21"/>
          <w:highlight w:val="none"/>
        </w:rPr>
        <w:sectPr>
          <w:footerReference r:id="rId121" w:type="default"/>
          <w:pgSz w:w="11905" w:h="16839"/>
          <w:pgMar w:top="400" w:right="1785" w:bottom="1004" w:left="1785" w:header="0" w:footer="828" w:gutter="0"/>
          <w:pgNumType w:fmt="decimal"/>
          <w:cols w:space="720" w:num="1"/>
        </w:sectPr>
      </w:pPr>
    </w:p>
    <w:p w14:paraId="49536662">
      <w:pPr>
        <w:pStyle w:val="5"/>
        <w:spacing w:line="267" w:lineRule="auto"/>
        <w:rPr>
          <w:color w:val="auto"/>
          <w:highlight w:val="none"/>
        </w:rPr>
      </w:pPr>
    </w:p>
    <w:p w14:paraId="55A88D66">
      <w:pPr>
        <w:pStyle w:val="5"/>
        <w:spacing w:line="267" w:lineRule="auto"/>
        <w:rPr>
          <w:color w:val="auto"/>
          <w:highlight w:val="none"/>
        </w:rPr>
      </w:pPr>
    </w:p>
    <w:p w14:paraId="7FDCCE92">
      <w:pPr>
        <w:pStyle w:val="5"/>
        <w:spacing w:line="268" w:lineRule="auto"/>
        <w:rPr>
          <w:color w:val="auto"/>
          <w:highlight w:val="none"/>
        </w:rPr>
      </w:pPr>
    </w:p>
    <w:p w14:paraId="7366D331">
      <w:pPr>
        <w:pStyle w:val="5"/>
        <w:spacing w:line="268" w:lineRule="auto"/>
        <w:rPr>
          <w:color w:val="auto"/>
          <w:highlight w:val="none"/>
        </w:rPr>
      </w:pPr>
    </w:p>
    <w:p w14:paraId="2C14790E">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 </w:t>
      </w:r>
      <w:r>
        <w:rPr>
          <w:rFonts w:ascii="黑体" w:hAnsi="黑体" w:eastAsia="黑体" w:cs="黑体"/>
          <w:color w:val="auto"/>
          <w:spacing w:val="-1"/>
          <w:sz w:val="24"/>
          <w:szCs w:val="24"/>
          <w:highlight w:val="none"/>
        </w:rPr>
        <w:t>招标工程量清单封面</w:t>
      </w:r>
    </w:p>
    <w:p w14:paraId="02BC64DD">
      <w:pPr>
        <w:pStyle w:val="5"/>
        <w:spacing w:line="277" w:lineRule="auto"/>
        <w:rPr>
          <w:color w:val="auto"/>
          <w:highlight w:val="none"/>
        </w:rPr>
      </w:pPr>
    </w:p>
    <w:p w14:paraId="0F4F2B89">
      <w:pPr>
        <w:pStyle w:val="5"/>
        <w:spacing w:line="277" w:lineRule="auto"/>
        <w:rPr>
          <w:color w:val="auto"/>
          <w:highlight w:val="none"/>
        </w:rPr>
      </w:pPr>
    </w:p>
    <w:p w14:paraId="358BA9E8">
      <w:pPr>
        <w:pStyle w:val="5"/>
        <w:spacing w:line="278" w:lineRule="auto"/>
        <w:rPr>
          <w:color w:val="auto"/>
          <w:highlight w:val="none"/>
        </w:rPr>
      </w:pPr>
    </w:p>
    <w:p w14:paraId="2E6B2BAB">
      <w:pPr>
        <w:pStyle w:val="5"/>
        <w:spacing w:line="278" w:lineRule="auto"/>
        <w:rPr>
          <w:color w:val="auto"/>
          <w:highlight w:val="none"/>
        </w:rPr>
      </w:pPr>
    </w:p>
    <w:p w14:paraId="39863FEB">
      <w:pPr>
        <w:tabs>
          <w:tab w:val="left" w:pos="6352"/>
        </w:tabs>
        <w:spacing w:before="87" w:line="226" w:lineRule="auto"/>
        <w:ind w:left="1734"/>
        <w:rPr>
          <w:rFonts w:ascii="宋体" w:hAnsi="宋体" w:eastAsia="宋体" w:cs="宋体"/>
          <w:color w:val="auto"/>
          <w:sz w:val="27"/>
          <w:szCs w:val="27"/>
          <w:highlight w:val="none"/>
        </w:rPr>
      </w:pPr>
      <w:r>
        <w:rPr>
          <w:rFonts w:ascii="宋体" w:hAnsi="宋体" w:eastAsia="宋体" w:cs="宋体"/>
          <w:color w:val="auto"/>
          <w:sz w:val="27"/>
          <w:szCs w:val="27"/>
          <w:highlight w:val="none"/>
          <w:u w:val="single" w:color="auto"/>
        </w:rPr>
        <w:tab/>
      </w:r>
      <w:r>
        <w:rPr>
          <w:rFonts w:ascii="宋体" w:hAnsi="宋体" w:eastAsia="宋体" w:cs="宋体"/>
          <w:color w:val="auto"/>
          <w:spacing w:val="-120"/>
          <w:sz w:val="27"/>
          <w:szCs w:val="27"/>
          <w:highlight w:val="none"/>
        </w:rPr>
        <w:t xml:space="preserve"> </w:t>
      </w:r>
      <w:r>
        <w:rPr>
          <w:rFonts w:ascii="宋体" w:hAnsi="宋体" w:eastAsia="宋体" w:cs="宋体"/>
          <w:color w:val="auto"/>
          <w:spacing w:val="3"/>
          <w:sz w:val="27"/>
          <w:szCs w:val="27"/>
          <w:highlight w:val="none"/>
          <w14:textOutline w14:w="5050" w14:cap="flat" w14:cmpd="sng">
            <w14:solidFill>
              <w14:srgbClr w14:val="000000"/>
            </w14:solidFill>
            <w14:prstDash w14:val="solid"/>
            <w14:miter w14:val="0"/>
          </w14:textOutline>
        </w:rPr>
        <w:t>工程</w:t>
      </w:r>
    </w:p>
    <w:p w14:paraId="260A5E6F">
      <w:pPr>
        <w:pStyle w:val="5"/>
        <w:spacing w:line="266" w:lineRule="auto"/>
        <w:rPr>
          <w:color w:val="auto"/>
          <w:highlight w:val="none"/>
        </w:rPr>
      </w:pPr>
    </w:p>
    <w:p w14:paraId="153AF0EA">
      <w:pPr>
        <w:pStyle w:val="5"/>
        <w:spacing w:line="266" w:lineRule="auto"/>
        <w:rPr>
          <w:color w:val="auto"/>
          <w:highlight w:val="none"/>
        </w:rPr>
      </w:pPr>
    </w:p>
    <w:p w14:paraId="43548CC1">
      <w:pPr>
        <w:pStyle w:val="5"/>
        <w:spacing w:line="266" w:lineRule="auto"/>
        <w:rPr>
          <w:color w:val="auto"/>
          <w:highlight w:val="none"/>
        </w:rPr>
      </w:pPr>
    </w:p>
    <w:p w14:paraId="4F27A36F">
      <w:pPr>
        <w:pStyle w:val="5"/>
        <w:spacing w:line="266" w:lineRule="auto"/>
        <w:rPr>
          <w:color w:val="auto"/>
          <w:highlight w:val="none"/>
        </w:rPr>
      </w:pPr>
    </w:p>
    <w:p w14:paraId="1E3F994B">
      <w:pPr>
        <w:pStyle w:val="5"/>
        <w:spacing w:line="266" w:lineRule="auto"/>
        <w:rPr>
          <w:color w:val="auto"/>
          <w:highlight w:val="none"/>
        </w:rPr>
      </w:pPr>
    </w:p>
    <w:p w14:paraId="5CC68AD1">
      <w:pPr>
        <w:pStyle w:val="5"/>
        <w:spacing w:line="266" w:lineRule="auto"/>
        <w:rPr>
          <w:color w:val="auto"/>
          <w:highlight w:val="none"/>
        </w:rPr>
      </w:pPr>
    </w:p>
    <w:p w14:paraId="22F12604">
      <w:pPr>
        <w:pStyle w:val="5"/>
        <w:spacing w:line="266" w:lineRule="auto"/>
        <w:rPr>
          <w:color w:val="auto"/>
          <w:highlight w:val="none"/>
        </w:rPr>
      </w:pPr>
    </w:p>
    <w:p w14:paraId="555932BD">
      <w:pPr>
        <w:pStyle w:val="5"/>
        <w:spacing w:line="266" w:lineRule="auto"/>
        <w:rPr>
          <w:color w:val="auto"/>
          <w:highlight w:val="none"/>
        </w:rPr>
      </w:pPr>
    </w:p>
    <w:p w14:paraId="194F646B">
      <w:pPr>
        <w:spacing w:before="117" w:line="219" w:lineRule="auto"/>
        <w:ind w:left="2740"/>
        <w:rPr>
          <w:rFonts w:ascii="黑体" w:hAnsi="黑体" w:eastAsia="黑体" w:cs="黑体"/>
          <w:color w:val="auto"/>
          <w:sz w:val="36"/>
          <w:szCs w:val="36"/>
          <w:highlight w:val="none"/>
        </w:rPr>
      </w:pPr>
      <w:r>
        <w:rPr>
          <w:rFonts w:ascii="黑体" w:hAnsi="黑体" w:eastAsia="黑体" w:cs="黑体"/>
          <w:color w:val="auto"/>
          <w:spacing w:val="-10"/>
          <w:sz w:val="36"/>
          <w:szCs w:val="36"/>
          <w:highlight w:val="none"/>
        </w:rPr>
        <w:t>招 标</w:t>
      </w:r>
      <w:r>
        <w:rPr>
          <w:rFonts w:ascii="黑体" w:hAnsi="黑体" w:eastAsia="黑体" w:cs="黑体"/>
          <w:color w:val="auto"/>
          <w:spacing w:val="22"/>
          <w:sz w:val="36"/>
          <w:szCs w:val="36"/>
          <w:highlight w:val="none"/>
        </w:rPr>
        <w:t xml:space="preserve"> </w:t>
      </w:r>
      <w:r>
        <w:rPr>
          <w:rFonts w:ascii="黑体" w:hAnsi="黑体" w:eastAsia="黑体" w:cs="黑体"/>
          <w:color w:val="auto"/>
          <w:spacing w:val="-10"/>
          <w:sz w:val="36"/>
          <w:szCs w:val="36"/>
          <w:highlight w:val="none"/>
        </w:rPr>
        <w:t>工</w:t>
      </w:r>
      <w:r>
        <w:rPr>
          <w:rFonts w:ascii="黑体" w:hAnsi="黑体" w:eastAsia="黑体" w:cs="黑体"/>
          <w:color w:val="auto"/>
          <w:spacing w:val="10"/>
          <w:sz w:val="36"/>
          <w:szCs w:val="36"/>
          <w:highlight w:val="none"/>
        </w:rPr>
        <w:t xml:space="preserve"> </w:t>
      </w:r>
      <w:r>
        <w:rPr>
          <w:rFonts w:ascii="黑体" w:hAnsi="黑体" w:eastAsia="黑体" w:cs="黑体"/>
          <w:color w:val="auto"/>
          <w:spacing w:val="-10"/>
          <w:sz w:val="36"/>
          <w:szCs w:val="36"/>
          <w:highlight w:val="none"/>
        </w:rPr>
        <w:t>程</w:t>
      </w:r>
      <w:r>
        <w:rPr>
          <w:rFonts w:ascii="黑体" w:hAnsi="黑体" w:eastAsia="黑体" w:cs="黑体"/>
          <w:color w:val="auto"/>
          <w:spacing w:val="21"/>
          <w:sz w:val="36"/>
          <w:szCs w:val="36"/>
          <w:highlight w:val="none"/>
        </w:rPr>
        <w:t xml:space="preserve"> </w:t>
      </w:r>
      <w:r>
        <w:rPr>
          <w:rFonts w:ascii="黑体" w:hAnsi="黑体" w:eastAsia="黑体" w:cs="黑体"/>
          <w:color w:val="auto"/>
          <w:spacing w:val="-10"/>
          <w:sz w:val="36"/>
          <w:szCs w:val="36"/>
          <w:highlight w:val="none"/>
        </w:rPr>
        <w:t>量</w:t>
      </w:r>
      <w:r>
        <w:rPr>
          <w:rFonts w:ascii="黑体" w:hAnsi="黑体" w:eastAsia="黑体" w:cs="黑体"/>
          <w:color w:val="auto"/>
          <w:spacing w:val="16"/>
          <w:sz w:val="36"/>
          <w:szCs w:val="36"/>
          <w:highlight w:val="none"/>
        </w:rPr>
        <w:t xml:space="preserve"> </w:t>
      </w:r>
      <w:r>
        <w:rPr>
          <w:rFonts w:ascii="黑体" w:hAnsi="黑体" w:eastAsia="黑体" w:cs="黑体"/>
          <w:color w:val="auto"/>
          <w:spacing w:val="-10"/>
          <w:sz w:val="36"/>
          <w:szCs w:val="36"/>
          <w:highlight w:val="none"/>
        </w:rPr>
        <w:t>清</w:t>
      </w:r>
      <w:r>
        <w:rPr>
          <w:rFonts w:ascii="黑体" w:hAnsi="黑体" w:eastAsia="黑体" w:cs="黑体"/>
          <w:color w:val="auto"/>
          <w:spacing w:val="26"/>
          <w:sz w:val="36"/>
          <w:szCs w:val="36"/>
          <w:highlight w:val="none"/>
        </w:rPr>
        <w:t xml:space="preserve"> </w:t>
      </w:r>
      <w:r>
        <w:rPr>
          <w:rFonts w:ascii="黑体" w:hAnsi="黑体" w:eastAsia="黑体" w:cs="黑体"/>
          <w:color w:val="auto"/>
          <w:spacing w:val="-10"/>
          <w:sz w:val="36"/>
          <w:szCs w:val="36"/>
          <w:highlight w:val="none"/>
        </w:rPr>
        <w:t>单</w:t>
      </w:r>
    </w:p>
    <w:p w14:paraId="370978AF">
      <w:pPr>
        <w:pStyle w:val="5"/>
        <w:spacing w:line="249" w:lineRule="auto"/>
        <w:rPr>
          <w:color w:val="auto"/>
          <w:highlight w:val="none"/>
        </w:rPr>
      </w:pPr>
    </w:p>
    <w:p w14:paraId="13C1A157">
      <w:pPr>
        <w:pStyle w:val="5"/>
        <w:spacing w:line="249" w:lineRule="auto"/>
        <w:rPr>
          <w:color w:val="auto"/>
          <w:highlight w:val="none"/>
        </w:rPr>
      </w:pPr>
    </w:p>
    <w:p w14:paraId="18FC075C">
      <w:pPr>
        <w:pStyle w:val="5"/>
        <w:spacing w:line="249" w:lineRule="auto"/>
        <w:rPr>
          <w:color w:val="auto"/>
          <w:highlight w:val="none"/>
        </w:rPr>
      </w:pPr>
    </w:p>
    <w:p w14:paraId="680CF8F5">
      <w:pPr>
        <w:pStyle w:val="5"/>
        <w:spacing w:line="249" w:lineRule="auto"/>
        <w:rPr>
          <w:color w:val="auto"/>
          <w:highlight w:val="none"/>
        </w:rPr>
      </w:pPr>
    </w:p>
    <w:p w14:paraId="34BADFAB">
      <w:pPr>
        <w:pStyle w:val="5"/>
        <w:spacing w:line="249" w:lineRule="auto"/>
        <w:rPr>
          <w:color w:val="auto"/>
          <w:highlight w:val="none"/>
        </w:rPr>
      </w:pPr>
    </w:p>
    <w:p w14:paraId="7847BF7F">
      <w:pPr>
        <w:pStyle w:val="5"/>
        <w:spacing w:line="249" w:lineRule="auto"/>
        <w:rPr>
          <w:color w:val="auto"/>
          <w:highlight w:val="none"/>
        </w:rPr>
      </w:pPr>
    </w:p>
    <w:p w14:paraId="45235E66">
      <w:pPr>
        <w:pStyle w:val="5"/>
        <w:spacing w:line="249" w:lineRule="auto"/>
        <w:rPr>
          <w:color w:val="auto"/>
          <w:highlight w:val="none"/>
        </w:rPr>
      </w:pPr>
    </w:p>
    <w:p w14:paraId="7354407B">
      <w:pPr>
        <w:pStyle w:val="5"/>
        <w:spacing w:line="249" w:lineRule="auto"/>
        <w:rPr>
          <w:color w:val="auto"/>
          <w:highlight w:val="none"/>
        </w:rPr>
      </w:pPr>
    </w:p>
    <w:p w14:paraId="3BAE663B">
      <w:pPr>
        <w:pStyle w:val="5"/>
        <w:spacing w:line="249" w:lineRule="auto"/>
        <w:rPr>
          <w:color w:val="auto"/>
          <w:highlight w:val="none"/>
        </w:rPr>
      </w:pPr>
    </w:p>
    <w:p w14:paraId="2FF668E4">
      <w:pPr>
        <w:pStyle w:val="5"/>
        <w:spacing w:line="249" w:lineRule="auto"/>
        <w:rPr>
          <w:color w:val="auto"/>
          <w:highlight w:val="none"/>
        </w:rPr>
      </w:pPr>
    </w:p>
    <w:p w14:paraId="7BD190C1">
      <w:pPr>
        <w:pStyle w:val="5"/>
        <w:spacing w:line="249" w:lineRule="auto"/>
        <w:rPr>
          <w:color w:val="auto"/>
          <w:highlight w:val="none"/>
        </w:rPr>
      </w:pPr>
    </w:p>
    <w:p w14:paraId="6FA022DB">
      <w:pPr>
        <w:pStyle w:val="5"/>
        <w:spacing w:line="250" w:lineRule="auto"/>
        <w:rPr>
          <w:color w:val="auto"/>
          <w:highlight w:val="none"/>
        </w:rPr>
      </w:pPr>
    </w:p>
    <w:p w14:paraId="109F71D7">
      <w:pPr>
        <w:pStyle w:val="5"/>
        <w:spacing w:line="250" w:lineRule="auto"/>
        <w:rPr>
          <w:color w:val="auto"/>
          <w:highlight w:val="none"/>
        </w:rPr>
      </w:pPr>
    </w:p>
    <w:p w14:paraId="60201D20">
      <w:pPr>
        <w:pStyle w:val="5"/>
        <w:spacing w:line="250" w:lineRule="auto"/>
        <w:rPr>
          <w:color w:val="auto"/>
          <w:highlight w:val="none"/>
        </w:rPr>
      </w:pPr>
    </w:p>
    <w:p w14:paraId="3451231F">
      <w:pPr>
        <w:pStyle w:val="5"/>
        <w:spacing w:line="250" w:lineRule="auto"/>
        <w:rPr>
          <w:color w:val="auto"/>
          <w:highlight w:val="none"/>
        </w:rPr>
      </w:pPr>
    </w:p>
    <w:p w14:paraId="1577C720">
      <w:pPr>
        <w:pStyle w:val="5"/>
        <w:spacing w:line="250" w:lineRule="auto"/>
        <w:rPr>
          <w:color w:val="auto"/>
          <w:highlight w:val="none"/>
        </w:rPr>
      </w:pPr>
    </w:p>
    <w:p w14:paraId="2B168D16">
      <w:pPr>
        <w:pStyle w:val="5"/>
        <w:spacing w:line="250" w:lineRule="auto"/>
        <w:rPr>
          <w:color w:val="auto"/>
          <w:highlight w:val="none"/>
        </w:rPr>
      </w:pPr>
    </w:p>
    <w:p w14:paraId="66F1178E">
      <w:pPr>
        <w:spacing w:before="79" w:line="188" w:lineRule="auto"/>
        <w:ind w:left="1941"/>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招</w:t>
      </w:r>
      <w:r>
        <w:rPr>
          <w:rFonts w:ascii="宋体" w:hAnsi="宋体" w:eastAsia="宋体" w:cs="宋体"/>
          <w:color w:val="auto"/>
          <w:spacing w:val="5"/>
          <w:sz w:val="24"/>
          <w:szCs w:val="24"/>
          <w:highlight w:val="none"/>
        </w:rPr>
        <w:t xml:space="preserve">  </w:t>
      </w:r>
      <w:r>
        <w:rPr>
          <w:rFonts w:ascii="宋体" w:hAnsi="宋体" w:eastAsia="宋体" w:cs="宋体"/>
          <w:color w:val="auto"/>
          <w:spacing w:val="-29"/>
          <w:sz w:val="24"/>
          <w:szCs w:val="24"/>
          <w:highlight w:val="none"/>
        </w:rPr>
        <w:t>标</w:t>
      </w:r>
      <w:r>
        <w:rPr>
          <w:rFonts w:ascii="宋体" w:hAnsi="宋体" w:eastAsia="宋体" w:cs="宋体"/>
          <w:color w:val="auto"/>
          <w:spacing w:val="6"/>
          <w:sz w:val="24"/>
          <w:szCs w:val="24"/>
          <w:highlight w:val="none"/>
        </w:rPr>
        <w:t xml:space="preserve">  </w:t>
      </w:r>
      <w:r>
        <w:rPr>
          <w:rFonts w:ascii="宋体" w:hAnsi="宋体" w:eastAsia="宋体" w:cs="宋体"/>
          <w:color w:val="auto"/>
          <w:spacing w:val="-29"/>
          <w:sz w:val="24"/>
          <w:szCs w:val="24"/>
          <w:highlight w:val="none"/>
        </w:rPr>
        <w:t>人：</w:t>
      </w:r>
      <w:r>
        <w:rPr>
          <w:rFonts w:ascii="宋体" w:hAnsi="宋体" w:eastAsia="宋体" w:cs="宋体"/>
          <w:color w:val="auto"/>
          <w:spacing w:val="-37"/>
          <w:sz w:val="24"/>
          <w:szCs w:val="24"/>
          <w:highlight w:val="none"/>
        </w:rPr>
        <w:t xml:space="preserve"> </w:t>
      </w:r>
      <w:r>
        <w:rPr>
          <w:rFonts w:ascii="宋体" w:hAnsi="宋体" w:eastAsia="宋体" w:cs="宋体"/>
          <w:color w:val="auto"/>
          <w:sz w:val="24"/>
          <w:szCs w:val="24"/>
          <w:highlight w:val="none"/>
          <w:u w:val="single" w:color="auto"/>
        </w:rPr>
        <w:t xml:space="preserve">                           </w:t>
      </w:r>
    </w:p>
    <w:p w14:paraId="2D9A6770">
      <w:pPr>
        <w:spacing w:before="14" w:line="219" w:lineRule="auto"/>
        <w:ind w:left="41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（单位盖章）</w:t>
      </w:r>
    </w:p>
    <w:p w14:paraId="5750A763">
      <w:pPr>
        <w:pStyle w:val="5"/>
        <w:spacing w:line="338" w:lineRule="auto"/>
        <w:rPr>
          <w:color w:val="auto"/>
          <w:highlight w:val="none"/>
        </w:rPr>
      </w:pPr>
    </w:p>
    <w:p w14:paraId="2B719470">
      <w:pPr>
        <w:pStyle w:val="5"/>
        <w:spacing w:line="338" w:lineRule="auto"/>
        <w:rPr>
          <w:color w:val="auto"/>
          <w:highlight w:val="none"/>
        </w:rPr>
      </w:pPr>
    </w:p>
    <w:p w14:paraId="33EC0C08">
      <w:pPr>
        <w:spacing w:before="78" w:line="199" w:lineRule="auto"/>
        <w:ind w:left="1939"/>
        <w:rPr>
          <w:rFonts w:ascii="宋体" w:hAnsi="宋体" w:eastAsia="宋体" w:cs="宋体"/>
          <w:color w:val="auto"/>
          <w:sz w:val="24"/>
          <w:szCs w:val="24"/>
          <w:highlight w:val="none"/>
        </w:rPr>
      </w:pPr>
      <w:r>
        <w:rPr>
          <w:rFonts w:ascii="宋体" w:hAnsi="宋体" w:eastAsia="宋体" w:cs="宋体"/>
          <w:color w:val="auto"/>
          <w:spacing w:val="-25"/>
          <w:w w:val="97"/>
          <w:sz w:val="24"/>
          <w:szCs w:val="24"/>
          <w:highlight w:val="none"/>
        </w:rPr>
        <w:t>造价咨询人：</w:t>
      </w:r>
      <w:r>
        <w:rPr>
          <w:rFonts w:ascii="宋体" w:hAnsi="宋体" w:eastAsia="宋体" w:cs="宋体"/>
          <w:color w:val="auto"/>
          <w:spacing w:val="64"/>
          <w:sz w:val="24"/>
          <w:szCs w:val="24"/>
          <w:highlight w:val="none"/>
        </w:rPr>
        <w:t xml:space="preserve"> </w:t>
      </w:r>
      <w:r>
        <w:rPr>
          <w:rFonts w:ascii="宋体" w:hAnsi="宋体" w:eastAsia="宋体" w:cs="宋体"/>
          <w:color w:val="auto"/>
          <w:sz w:val="24"/>
          <w:szCs w:val="24"/>
          <w:highlight w:val="none"/>
          <w:u w:val="single" w:color="auto"/>
        </w:rPr>
        <w:t xml:space="preserve">                           </w:t>
      </w:r>
    </w:p>
    <w:p w14:paraId="63081565">
      <w:pPr>
        <w:spacing w:before="1" w:line="218" w:lineRule="auto"/>
        <w:ind w:left="41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（单位盖章）</w:t>
      </w:r>
    </w:p>
    <w:p w14:paraId="7A767F98">
      <w:pPr>
        <w:pStyle w:val="5"/>
        <w:spacing w:line="294" w:lineRule="auto"/>
        <w:rPr>
          <w:color w:val="auto"/>
          <w:highlight w:val="none"/>
        </w:rPr>
      </w:pPr>
    </w:p>
    <w:p w14:paraId="5D3BB63A">
      <w:pPr>
        <w:pStyle w:val="5"/>
        <w:spacing w:line="294" w:lineRule="auto"/>
        <w:rPr>
          <w:color w:val="auto"/>
          <w:highlight w:val="none"/>
        </w:rPr>
      </w:pPr>
    </w:p>
    <w:p w14:paraId="52623BE8">
      <w:pPr>
        <w:spacing w:before="78" w:line="220" w:lineRule="auto"/>
        <w:ind w:left="3982"/>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10F17365">
      <w:pPr>
        <w:spacing w:line="220" w:lineRule="auto"/>
        <w:rPr>
          <w:rFonts w:ascii="宋体" w:hAnsi="宋体" w:eastAsia="宋体" w:cs="宋体"/>
          <w:color w:val="auto"/>
          <w:sz w:val="24"/>
          <w:szCs w:val="24"/>
          <w:highlight w:val="none"/>
        </w:rPr>
        <w:sectPr>
          <w:footerReference r:id="rId122" w:type="default"/>
          <w:pgSz w:w="11905" w:h="16839"/>
          <w:pgMar w:top="400" w:right="1785" w:bottom="1004" w:left="1785" w:header="0" w:footer="828" w:gutter="0"/>
          <w:pgNumType w:fmt="decimal"/>
          <w:cols w:space="720" w:num="1"/>
        </w:sectPr>
      </w:pPr>
    </w:p>
    <w:p w14:paraId="305DD94D">
      <w:pPr>
        <w:pStyle w:val="5"/>
        <w:spacing w:line="267" w:lineRule="auto"/>
        <w:rPr>
          <w:color w:val="auto"/>
          <w:highlight w:val="none"/>
        </w:rPr>
      </w:pPr>
    </w:p>
    <w:p w14:paraId="6131F7BB">
      <w:pPr>
        <w:pStyle w:val="5"/>
        <w:spacing w:line="267" w:lineRule="auto"/>
        <w:rPr>
          <w:color w:val="auto"/>
          <w:highlight w:val="none"/>
        </w:rPr>
      </w:pPr>
    </w:p>
    <w:p w14:paraId="2CDFB331">
      <w:pPr>
        <w:pStyle w:val="5"/>
        <w:spacing w:line="268" w:lineRule="auto"/>
        <w:rPr>
          <w:color w:val="auto"/>
          <w:highlight w:val="none"/>
        </w:rPr>
      </w:pPr>
    </w:p>
    <w:p w14:paraId="26C06F7A">
      <w:pPr>
        <w:pStyle w:val="5"/>
        <w:spacing w:line="268" w:lineRule="auto"/>
        <w:rPr>
          <w:color w:val="auto"/>
          <w:highlight w:val="none"/>
        </w:rPr>
      </w:pPr>
    </w:p>
    <w:p w14:paraId="76AF8C0B">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4.2 </w:t>
      </w:r>
      <w:r>
        <w:rPr>
          <w:rFonts w:ascii="黑体" w:hAnsi="黑体" w:eastAsia="黑体" w:cs="黑体"/>
          <w:color w:val="auto"/>
          <w:spacing w:val="-1"/>
          <w:sz w:val="24"/>
          <w:szCs w:val="24"/>
          <w:highlight w:val="none"/>
        </w:rPr>
        <w:t>招标工程量清单扉页</w:t>
      </w:r>
    </w:p>
    <w:p w14:paraId="47243598">
      <w:pPr>
        <w:pStyle w:val="5"/>
        <w:spacing w:line="270" w:lineRule="auto"/>
        <w:rPr>
          <w:color w:val="auto"/>
          <w:highlight w:val="none"/>
        </w:rPr>
      </w:pPr>
    </w:p>
    <w:p w14:paraId="172DBBEF">
      <w:pPr>
        <w:pStyle w:val="5"/>
        <w:spacing w:line="270" w:lineRule="auto"/>
        <w:rPr>
          <w:color w:val="auto"/>
          <w:highlight w:val="none"/>
        </w:rPr>
      </w:pPr>
    </w:p>
    <w:p w14:paraId="1956B11F">
      <w:pPr>
        <w:pStyle w:val="5"/>
        <w:spacing w:line="270" w:lineRule="auto"/>
        <w:rPr>
          <w:color w:val="auto"/>
          <w:highlight w:val="none"/>
        </w:rPr>
      </w:pPr>
    </w:p>
    <w:p w14:paraId="1BA97E06">
      <w:pPr>
        <w:tabs>
          <w:tab w:val="left" w:pos="6477"/>
        </w:tabs>
        <w:spacing w:before="68" w:line="221" w:lineRule="auto"/>
        <w:ind w:left="1858"/>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3"/>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工程</w:t>
      </w:r>
    </w:p>
    <w:p w14:paraId="2BC8FE07">
      <w:pPr>
        <w:pStyle w:val="5"/>
        <w:spacing w:line="341" w:lineRule="auto"/>
        <w:rPr>
          <w:color w:val="auto"/>
          <w:highlight w:val="none"/>
        </w:rPr>
      </w:pPr>
    </w:p>
    <w:p w14:paraId="31F2BB71">
      <w:pPr>
        <w:pStyle w:val="5"/>
        <w:spacing w:line="341" w:lineRule="auto"/>
        <w:rPr>
          <w:color w:val="auto"/>
          <w:highlight w:val="none"/>
        </w:rPr>
      </w:pPr>
    </w:p>
    <w:p w14:paraId="08158A13">
      <w:pPr>
        <w:spacing w:before="104" w:line="220" w:lineRule="auto"/>
        <w:ind w:left="2898"/>
        <w:rPr>
          <w:rFonts w:ascii="黑体" w:hAnsi="黑体" w:eastAsia="黑体" w:cs="黑体"/>
          <w:color w:val="auto"/>
          <w:sz w:val="32"/>
          <w:szCs w:val="32"/>
          <w:highlight w:val="none"/>
        </w:rPr>
      </w:pPr>
      <w:r>
        <w:rPr>
          <w:rFonts w:ascii="黑体" w:hAnsi="黑体" w:eastAsia="黑体" w:cs="黑体"/>
          <w:color w:val="auto"/>
          <w:spacing w:val="-8"/>
          <w:sz w:val="32"/>
          <w:szCs w:val="32"/>
          <w:highlight w:val="none"/>
        </w:rPr>
        <w:t>招 标</w:t>
      </w:r>
      <w:r>
        <w:rPr>
          <w:rFonts w:ascii="黑体" w:hAnsi="黑体" w:eastAsia="黑体" w:cs="黑体"/>
          <w:color w:val="auto"/>
          <w:spacing w:val="19"/>
          <w:sz w:val="32"/>
          <w:szCs w:val="32"/>
          <w:highlight w:val="none"/>
        </w:rPr>
        <w:t xml:space="preserve"> </w:t>
      </w:r>
      <w:r>
        <w:rPr>
          <w:rFonts w:ascii="黑体" w:hAnsi="黑体" w:eastAsia="黑体" w:cs="黑体"/>
          <w:color w:val="auto"/>
          <w:spacing w:val="-8"/>
          <w:sz w:val="32"/>
          <w:szCs w:val="32"/>
          <w:highlight w:val="none"/>
        </w:rPr>
        <w:t>工</w:t>
      </w:r>
      <w:r>
        <w:rPr>
          <w:rFonts w:ascii="黑体" w:hAnsi="黑体" w:eastAsia="黑体" w:cs="黑体"/>
          <w:color w:val="auto"/>
          <w:spacing w:val="9"/>
          <w:sz w:val="32"/>
          <w:szCs w:val="32"/>
          <w:highlight w:val="none"/>
        </w:rPr>
        <w:t xml:space="preserve"> </w:t>
      </w:r>
      <w:r>
        <w:rPr>
          <w:rFonts w:ascii="黑体" w:hAnsi="黑体" w:eastAsia="黑体" w:cs="黑体"/>
          <w:color w:val="auto"/>
          <w:spacing w:val="-8"/>
          <w:sz w:val="32"/>
          <w:szCs w:val="32"/>
          <w:highlight w:val="none"/>
        </w:rPr>
        <w:t>程</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量</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清</w:t>
      </w:r>
      <w:r>
        <w:rPr>
          <w:rFonts w:ascii="黑体" w:hAnsi="黑体" w:eastAsia="黑体" w:cs="黑体"/>
          <w:color w:val="auto"/>
          <w:spacing w:val="20"/>
          <w:sz w:val="32"/>
          <w:szCs w:val="32"/>
          <w:highlight w:val="none"/>
        </w:rPr>
        <w:t xml:space="preserve"> </w:t>
      </w:r>
      <w:r>
        <w:rPr>
          <w:rFonts w:ascii="黑体" w:hAnsi="黑体" w:eastAsia="黑体" w:cs="黑体"/>
          <w:color w:val="auto"/>
          <w:spacing w:val="-8"/>
          <w:sz w:val="32"/>
          <w:szCs w:val="32"/>
          <w:highlight w:val="none"/>
        </w:rPr>
        <w:t>单</w:t>
      </w:r>
    </w:p>
    <w:p w14:paraId="031791ED">
      <w:pPr>
        <w:pStyle w:val="5"/>
        <w:spacing w:line="266" w:lineRule="auto"/>
        <w:rPr>
          <w:color w:val="auto"/>
          <w:highlight w:val="none"/>
        </w:rPr>
      </w:pPr>
    </w:p>
    <w:p w14:paraId="2BB501AE">
      <w:pPr>
        <w:pStyle w:val="5"/>
        <w:spacing w:line="266" w:lineRule="auto"/>
        <w:rPr>
          <w:color w:val="auto"/>
          <w:highlight w:val="none"/>
        </w:rPr>
      </w:pPr>
    </w:p>
    <w:p w14:paraId="1C370BBD">
      <w:pPr>
        <w:pStyle w:val="5"/>
        <w:spacing w:line="266" w:lineRule="auto"/>
        <w:rPr>
          <w:color w:val="auto"/>
          <w:highlight w:val="none"/>
        </w:rPr>
      </w:pPr>
    </w:p>
    <w:p w14:paraId="1EA6BAA4">
      <w:pPr>
        <w:pStyle w:val="5"/>
        <w:spacing w:line="266" w:lineRule="auto"/>
        <w:rPr>
          <w:color w:val="auto"/>
          <w:highlight w:val="none"/>
        </w:rPr>
      </w:pPr>
    </w:p>
    <w:p w14:paraId="4CCD9A27">
      <w:pPr>
        <w:pStyle w:val="5"/>
        <w:spacing w:line="266" w:lineRule="auto"/>
        <w:rPr>
          <w:color w:val="auto"/>
          <w:highlight w:val="none"/>
        </w:rPr>
      </w:pPr>
    </w:p>
    <w:p w14:paraId="0A54A365">
      <w:pPr>
        <w:pStyle w:val="5"/>
        <w:spacing w:line="266" w:lineRule="auto"/>
        <w:rPr>
          <w:color w:val="auto"/>
          <w:highlight w:val="none"/>
        </w:rPr>
      </w:pPr>
    </w:p>
    <w:p w14:paraId="00CD14B3">
      <w:pPr>
        <w:pStyle w:val="5"/>
        <w:spacing w:line="266" w:lineRule="auto"/>
        <w:rPr>
          <w:color w:val="auto"/>
          <w:highlight w:val="none"/>
        </w:rPr>
      </w:pPr>
    </w:p>
    <w:p w14:paraId="62A64720">
      <w:pPr>
        <w:pStyle w:val="5"/>
        <w:spacing w:line="267" w:lineRule="auto"/>
        <w:rPr>
          <w:color w:val="auto"/>
          <w:highlight w:val="none"/>
        </w:rPr>
      </w:pPr>
    </w:p>
    <w:p w14:paraId="06F8A09C">
      <w:pPr>
        <w:pStyle w:val="5"/>
        <w:spacing w:line="267" w:lineRule="auto"/>
        <w:rPr>
          <w:color w:val="auto"/>
          <w:highlight w:val="none"/>
        </w:rPr>
      </w:pPr>
    </w:p>
    <w:p w14:paraId="11F1C391">
      <w:pPr>
        <w:spacing w:before="69" w:line="219" w:lineRule="auto"/>
        <w:ind w:left="1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 xml:space="preserve">招标人：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8"/>
          <w:sz w:val="21"/>
          <w:szCs w:val="21"/>
          <w:highlight w:val="none"/>
        </w:rPr>
        <w:t>造价咨询人：</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
          <w:sz w:val="21"/>
          <w:szCs w:val="21"/>
          <w:highlight w:val="none"/>
          <w:u w:val="single" w:color="auto"/>
        </w:rPr>
        <w:t xml:space="preserve">                    </w:t>
      </w:r>
    </w:p>
    <w:p w14:paraId="26185859">
      <w:pPr>
        <w:spacing w:before="9" w:line="220" w:lineRule="auto"/>
        <w:ind w:left="160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（单位盖章</w:t>
      </w:r>
      <w:r>
        <w:rPr>
          <w:rFonts w:ascii="宋体" w:hAnsi="宋体" w:eastAsia="宋体" w:cs="宋体"/>
          <w:color w:val="auto"/>
          <w:spacing w:val="-12"/>
          <w:sz w:val="21"/>
          <w:szCs w:val="21"/>
          <w:highlight w:val="none"/>
        </w:rPr>
        <w:t>）</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1"/>
          <w:sz w:val="21"/>
          <w:szCs w:val="21"/>
          <w:highlight w:val="none"/>
        </w:rPr>
        <w:t>单位盖章）</w:t>
      </w:r>
    </w:p>
    <w:p w14:paraId="3FAEFEA7">
      <w:pPr>
        <w:pStyle w:val="5"/>
        <w:spacing w:line="247" w:lineRule="auto"/>
        <w:rPr>
          <w:color w:val="auto"/>
          <w:highlight w:val="none"/>
        </w:rPr>
      </w:pPr>
    </w:p>
    <w:p w14:paraId="57D58EC5">
      <w:pPr>
        <w:pStyle w:val="5"/>
        <w:spacing w:line="247" w:lineRule="auto"/>
        <w:rPr>
          <w:color w:val="auto"/>
          <w:highlight w:val="none"/>
        </w:rPr>
      </w:pPr>
    </w:p>
    <w:p w14:paraId="7716DAC0">
      <w:pPr>
        <w:pStyle w:val="5"/>
        <w:spacing w:line="248" w:lineRule="auto"/>
        <w:rPr>
          <w:color w:val="auto"/>
          <w:highlight w:val="none"/>
        </w:rPr>
      </w:pPr>
    </w:p>
    <w:p w14:paraId="2A7DD35C">
      <w:pPr>
        <w:pStyle w:val="5"/>
        <w:spacing w:line="248" w:lineRule="auto"/>
        <w:rPr>
          <w:color w:val="auto"/>
          <w:highlight w:val="none"/>
        </w:rPr>
      </w:pPr>
    </w:p>
    <w:p w14:paraId="3E6A323D">
      <w:pPr>
        <w:pStyle w:val="5"/>
        <w:spacing w:line="248" w:lineRule="auto"/>
        <w:rPr>
          <w:color w:val="auto"/>
          <w:highlight w:val="none"/>
        </w:rPr>
      </w:pPr>
    </w:p>
    <w:p w14:paraId="10491BFA">
      <w:pPr>
        <w:pStyle w:val="5"/>
        <w:spacing w:line="248" w:lineRule="auto"/>
        <w:rPr>
          <w:color w:val="auto"/>
          <w:highlight w:val="none"/>
        </w:rPr>
      </w:pPr>
    </w:p>
    <w:p w14:paraId="6B095030">
      <w:pPr>
        <w:spacing w:before="69" w:line="221"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法定代表人                            </w:t>
      </w:r>
      <w:r>
        <w:rPr>
          <w:rFonts w:ascii="宋体" w:hAnsi="宋体" w:eastAsia="宋体" w:cs="宋体"/>
          <w:color w:val="auto"/>
          <w:spacing w:val="-1"/>
          <w:sz w:val="21"/>
          <w:szCs w:val="21"/>
          <w:highlight w:val="none"/>
        </w:rPr>
        <w:t>法定代表人</w:t>
      </w:r>
    </w:p>
    <w:p w14:paraId="1FBADC5C">
      <w:pPr>
        <w:spacing w:before="157"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 xml:space="preserve">    或其授权人：</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089CE1C3">
      <w:pPr>
        <w:spacing w:before="157" w:line="220" w:lineRule="auto"/>
        <w:ind w:left="160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（签字或盖章</w:t>
      </w:r>
      <w:r>
        <w:rPr>
          <w:rFonts w:ascii="宋体" w:hAnsi="宋体" w:eastAsia="宋体" w:cs="宋体"/>
          <w:color w:val="auto"/>
          <w:spacing w:val="-12"/>
          <w:sz w:val="21"/>
          <w:szCs w:val="21"/>
          <w:highlight w:val="none"/>
        </w:rPr>
        <w:t>）</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1"/>
          <w:sz w:val="21"/>
          <w:szCs w:val="21"/>
          <w:highlight w:val="none"/>
        </w:rPr>
        <w:t>签字或盖章）</w:t>
      </w:r>
    </w:p>
    <w:p w14:paraId="4A77192B">
      <w:pPr>
        <w:pStyle w:val="5"/>
        <w:spacing w:line="266" w:lineRule="auto"/>
        <w:rPr>
          <w:color w:val="auto"/>
          <w:highlight w:val="none"/>
        </w:rPr>
      </w:pPr>
    </w:p>
    <w:p w14:paraId="47BF2608">
      <w:pPr>
        <w:pStyle w:val="5"/>
        <w:spacing w:line="266" w:lineRule="auto"/>
        <w:rPr>
          <w:color w:val="auto"/>
          <w:highlight w:val="none"/>
        </w:rPr>
      </w:pPr>
    </w:p>
    <w:p w14:paraId="12C717BB">
      <w:pPr>
        <w:pStyle w:val="5"/>
        <w:spacing w:line="266" w:lineRule="auto"/>
        <w:rPr>
          <w:color w:val="auto"/>
          <w:highlight w:val="none"/>
        </w:rPr>
      </w:pPr>
    </w:p>
    <w:p w14:paraId="3E5A5BE7">
      <w:pPr>
        <w:pStyle w:val="5"/>
        <w:spacing w:line="266" w:lineRule="auto"/>
        <w:rPr>
          <w:color w:val="auto"/>
          <w:highlight w:val="none"/>
        </w:rPr>
      </w:pPr>
    </w:p>
    <w:p w14:paraId="6B1627B4">
      <w:pPr>
        <w:pStyle w:val="5"/>
        <w:spacing w:line="266" w:lineRule="auto"/>
        <w:rPr>
          <w:color w:val="auto"/>
          <w:highlight w:val="none"/>
        </w:rPr>
      </w:pPr>
    </w:p>
    <w:p w14:paraId="430E705B">
      <w:pPr>
        <w:pStyle w:val="5"/>
        <w:spacing w:line="267" w:lineRule="auto"/>
        <w:rPr>
          <w:color w:val="auto"/>
          <w:highlight w:val="none"/>
        </w:rPr>
      </w:pPr>
    </w:p>
    <w:p w14:paraId="00A1C292">
      <w:pPr>
        <w:spacing w:before="69" w:line="220" w:lineRule="auto"/>
        <w:ind w:left="20"/>
        <w:rPr>
          <w:rFonts w:ascii="宋体" w:hAnsi="宋体" w:eastAsia="宋体" w:cs="宋体"/>
          <w:color w:val="auto"/>
          <w:sz w:val="21"/>
          <w:szCs w:val="21"/>
          <w:highlight w:val="none"/>
        </w:rPr>
      </w:pPr>
      <w:r>
        <w:rPr>
          <w:rFonts w:ascii="宋体" w:hAnsi="宋体" w:eastAsia="宋体" w:cs="宋体"/>
          <w:color w:val="auto"/>
          <w:spacing w:val="-27"/>
          <w:sz w:val="21"/>
          <w:szCs w:val="21"/>
          <w:highlight w:val="none"/>
        </w:rPr>
        <w:t>编制人：</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27"/>
          <w:sz w:val="21"/>
          <w:szCs w:val="21"/>
          <w:highlight w:val="none"/>
        </w:rPr>
        <w:t>复核人：</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182299FC">
      <w:pPr>
        <w:spacing w:before="9" w:line="219" w:lineRule="auto"/>
        <w:ind w:left="1076"/>
        <w:rPr>
          <w:rFonts w:ascii="宋体" w:hAnsi="宋体" w:eastAsia="宋体" w:cs="宋体"/>
          <w:color w:val="auto"/>
          <w:sz w:val="21"/>
          <w:szCs w:val="21"/>
          <w:highlight w:val="none"/>
        </w:rPr>
      </w:pPr>
      <w:r>
        <w:rPr>
          <w:rFonts w:ascii="宋体" w:hAnsi="宋体" w:eastAsia="宋体" w:cs="宋体"/>
          <w:color w:val="auto"/>
          <w:sz w:val="21"/>
          <w:szCs w:val="21"/>
          <w:highlight w:val="none"/>
        </w:rPr>
        <w:t>（造价人员签字盖章</w:t>
      </w:r>
      <w:r>
        <w:rPr>
          <w:rFonts w:ascii="宋体" w:hAnsi="宋体" w:eastAsia="宋体" w:cs="宋体"/>
          <w:color w:val="auto"/>
          <w:spacing w:val="-9"/>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z w:val="21"/>
          <w:szCs w:val="21"/>
          <w:highlight w:val="none"/>
        </w:rPr>
        <w:t>造价人员签字盖章）</w:t>
      </w:r>
    </w:p>
    <w:p w14:paraId="0C3AEB3A">
      <w:pPr>
        <w:pStyle w:val="5"/>
        <w:spacing w:line="269" w:lineRule="auto"/>
        <w:rPr>
          <w:color w:val="auto"/>
          <w:highlight w:val="none"/>
        </w:rPr>
      </w:pPr>
    </w:p>
    <w:p w14:paraId="08769653">
      <w:pPr>
        <w:pStyle w:val="5"/>
        <w:spacing w:line="270" w:lineRule="auto"/>
        <w:rPr>
          <w:color w:val="auto"/>
          <w:highlight w:val="none"/>
        </w:rPr>
      </w:pPr>
    </w:p>
    <w:p w14:paraId="0A2B1B15">
      <w:pPr>
        <w:pStyle w:val="5"/>
        <w:spacing w:line="270" w:lineRule="auto"/>
        <w:rPr>
          <w:color w:val="auto"/>
          <w:highlight w:val="none"/>
        </w:rPr>
      </w:pPr>
    </w:p>
    <w:p w14:paraId="4F312923">
      <w:pPr>
        <w:pStyle w:val="5"/>
        <w:spacing w:line="270" w:lineRule="auto"/>
        <w:rPr>
          <w:color w:val="auto"/>
          <w:highlight w:val="none"/>
        </w:rPr>
      </w:pPr>
    </w:p>
    <w:p w14:paraId="7F0AFD8E">
      <w:pPr>
        <w:pStyle w:val="5"/>
        <w:spacing w:line="270" w:lineRule="auto"/>
        <w:rPr>
          <w:color w:val="auto"/>
          <w:highlight w:val="none"/>
        </w:rPr>
      </w:pPr>
    </w:p>
    <w:p w14:paraId="6227F4AA">
      <w:pPr>
        <w:spacing w:before="69" w:line="221" w:lineRule="auto"/>
        <w:ind w:left="20"/>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6"/>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14"/>
          <w:sz w:val="21"/>
          <w:szCs w:val="21"/>
          <w:highlight w:val="none"/>
        </w:rPr>
        <w:t>日            复核时间：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4"/>
          <w:sz w:val="21"/>
          <w:szCs w:val="21"/>
          <w:highlight w:val="none"/>
        </w:rPr>
        <w:t>月     日</w:t>
      </w:r>
    </w:p>
    <w:p w14:paraId="5788D4A8">
      <w:pPr>
        <w:spacing w:line="221" w:lineRule="auto"/>
        <w:rPr>
          <w:rFonts w:ascii="宋体" w:hAnsi="宋体" w:eastAsia="宋体" w:cs="宋体"/>
          <w:color w:val="auto"/>
          <w:sz w:val="21"/>
          <w:szCs w:val="21"/>
          <w:highlight w:val="none"/>
        </w:rPr>
        <w:sectPr>
          <w:footerReference r:id="rId123" w:type="default"/>
          <w:pgSz w:w="11905" w:h="16839"/>
          <w:pgMar w:top="400" w:right="1785" w:bottom="1004" w:left="1785" w:header="0" w:footer="828" w:gutter="0"/>
          <w:pgNumType w:fmt="decimal"/>
          <w:cols w:space="720" w:num="1"/>
        </w:sectPr>
      </w:pPr>
    </w:p>
    <w:p w14:paraId="1F169441">
      <w:pPr>
        <w:pStyle w:val="5"/>
        <w:spacing w:line="267" w:lineRule="auto"/>
        <w:rPr>
          <w:color w:val="auto"/>
          <w:highlight w:val="none"/>
        </w:rPr>
      </w:pPr>
    </w:p>
    <w:p w14:paraId="105DE210">
      <w:pPr>
        <w:pStyle w:val="5"/>
        <w:spacing w:line="267" w:lineRule="auto"/>
        <w:rPr>
          <w:color w:val="auto"/>
          <w:highlight w:val="none"/>
        </w:rPr>
      </w:pPr>
    </w:p>
    <w:p w14:paraId="22F6310B">
      <w:pPr>
        <w:pStyle w:val="5"/>
        <w:spacing w:line="268" w:lineRule="auto"/>
        <w:rPr>
          <w:color w:val="auto"/>
          <w:highlight w:val="none"/>
        </w:rPr>
      </w:pPr>
    </w:p>
    <w:p w14:paraId="370F3DFC">
      <w:pPr>
        <w:pStyle w:val="5"/>
        <w:spacing w:line="268" w:lineRule="auto"/>
        <w:rPr>
          <w:color w:val="auto"/>
          <w:highlight w:val="none"/>
        </w:rPr>
      </w:pPr>
    </w:p>
    <w:p w14:paraId="767E14F4">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4.3 </w:t>
      </w:r>
      <w:r>
        <w:rPr>
          <w:rFonts w:ascii="黑体" w:hAnsi="黑体" w:eastAsia="黑体" w:cs="黑体"/>
          <w:color w:val="auto"/>
          <w:spacing w:val="-2"/>
          <w:sz w:val="24"/>
          <w:szCs w:val="24"/>
          <w:highlight w:val="none"/>
        </w:rPr>
        <w:t>投标总价封面</w:t>
      </w:r>
    </w:p>
    <w:p w14:paraId="22C3404F">
      <w:pPr>
        <w:pStyle w:val="5"/>
        <w:spacing w:line="247" w:lineRule="auto"/>
        <w:rPr>
          <w:color w:val="auto"/>
          <w:highlight w:val="none"/>
        </w:rPr>
      </w:pPr>
    </w:p>
    <w:p w14:paraId="2860657B">
      <w:pPr>
        <w:pStyle w:val="5"/>
        <w:spacing w:line="247" w:lineRule="auto"/>
        <w:rPr>
          <w:color w:val="auto"/>
          <w:highlight w:val="none"/>
        </w:rPr>
      </w:pPr>
    </w:p>
    <w:p w14:paraId="4344A179">
      <w:pPr>
        <w:pStyle w:val="5"/>
        <w:spacing w:line="247" w:lineRule="auto"/>
        <w:rPr>
          <w:color w:val="auto"/>
          <w:highlight w:val="none"/>
        </w:rPr>
      </w:pPr>
    </w:p>
    <w:p w14:paraId="737DD625">
      <w:pPr>
        <w:pStyle w:val="5"/>
        <w:spacing w:line="247" w:lineRule="auto"/>
        <w:rPr>
          <w:color w:val="auto"/>
          <w:highlight w:val="none"/>
        </w:rPr>
      </w:pPr>
    </w:p>
    <w:p w14:paraId="3447CF80">
      <w:pPr>
        <w:pStyle w:val="5"/>
        <w:spacing w:line="247" w:lineRule="auto"/>
        <w:rPr>
          <w:color w:val="auto"/>
          <w:highlight w:val="none"/>
        </w:rPr>
      </w:pPr>
    </w:p>
    <w:p w14:paraId="7B7D43EE">
      <w:pPr>
        <w:pStyle w:val="5"/>
        <w:spacing w:line="247" w:lineRule="auto"/>
        <w:rPr>
          <w:color w:val="auto"/>
          <w:highlight w:val="none"/>
        </w:rPr>
      </w:pPr>
    </w:p>
    <w:p w14:paraId="1FF24C6F">
      <w:pPr>
        <w:pStyle w:val="5"/>
        <w:spacing w:line="247" w:lineRule="auto"/>
        <w:rPr>
          <w:color w:val="auto"/>
          <w:highlight w:val="none"/>
        </w:rPr>
      </w:pPr>
    </w:p>
    <w:p w14:paraId="67C4341A">
      <w:pPr>
        <w:pStyle w:val="5"/>
        <w:spacing w:line="247" w:lineRule="auto"/>
        <w:rPr>
          <w:color w:val="auto"/>
          <w:highlight w:val="none"/>
        </w:rPr>
      </w:pPr>
    </w:p>
    <w:p w14:paraId="3DD1B775">
      <w:pPr>
        <w:pStyle w:val="5"/>
        <w:spacing w:line="247" w:lineRule="auto"/>
        <w:rPr>
          <w:color w:val="auto"/>
          <w:highlight w:val="none"/>
        </w:rPr>
      </w:pPr>
    </w:p>
    <w:p w14:paraId="1E788B0C">
      <w:pPr>
        <w:pStyle w:val="5"/>
        <w:spacing w:line="248" w:lineRule="auto"/>
        <w:rPr>
          <w:color w:val="auto"/>
          <w:highlight w:val="none"/>
        </w:rPr>
      </w:pPr>
    </w:p>
    <w:p w14:paraId="319F99BA">
      <w:pPr>
        <w:pStyle w:val="5"/>
        <w:spacing w:line="248" w:lineRule="auto"/>
        <w:rPr>
          <w:color w:val="auto"/>
          <w:highlight w:val="none"/>
        </w:rPr>
      </w:pPr>
    </w:p>
    <w:p w14:paraId="0074F565">
      <w:pPr>
        <w:spacing w:before="117" w:line="219" w:lineRule="auto"/>
        <w:ind w:left="3795"/>
        <w:rPr>
          <w:rFonts w:ascii="黑体" w:hAnsi="黑体" w:eastAsia="黑体" w:cs="黑体"/>
          <w:color w:val="auto"/>
          <w:sz w:val="36"/>
          <w:szCs w:val="36"/>
          <w:highlight w:val="none"/>
        </w:rPr>
      </w:pPr>
      <w:r>
        <w:rPr>
          <w:rFonts w:ascii="黑体" w:hAnsi="黑体" w:eastAsia="黑体" w:cs="黑体"/>
          <w:color w:val="auto"/>
          <w:spacing w:val="11"/>
          <w:sz w:val="36"/>
          <w:szCs w:val="36"/>
          <w:highlight w:val="none"/>
        </w:rPr>
        <w:t>投标总价</w:t>
      </w:r>
    </w:p>
    <w:p w14:paraId="2BD0203F">
      <w:pPr>
        <w:pStyle w:val="5"/>
        <w:spacing w:line="245" w:lineRule="auto"/>
        <w:rPr>
          <w:color w:val="auto"/>
          <w:highlight w:val="none"/>
        </w:rPr>
      </w:pPr>
    </w:p>
    <w:p w14:paraId="102071E3">
      <w:pPr>
        <w:pStyle w:val="5"/>
        <w:spacing w:line="245" w:lineRule="auto"/>
        <w:rPr>
          <w:color w:val="auto"/>
          <w:highlight w:val="none"/>
        </w:rPr>
      </w:pPr>
    </w:p>
    <w:p w14:paraId="5D8A458C">
      <w:pPr>
        <w:pStyle w:val="5"/>
        <w:spacing w:line="245" w:lineRule="auto"/>
        <w:rPr>
          <w:color w:val="auto"/>
          <w:highlight w:val="none"/>
        </w:rPr>
      </w:pPr>
    </w:p>
    <w:p w14:paraId="20DF1D1A">
      <w:pPr>
        <w:pStyle w:val="5"/>
        <w:spacing w:line="245" w:lineRule="auto"/>
        <w:rPr>
          <w:color w:val="auto"/>
          <w:highlight w:val="none"/>
        </w:rPr>
      </w:pPr>
    </w:p>
    <w:p w14:paraId="639C163C">
      <w:pPr>
        <w:pStyle w:val="5"/>
        <w:spacing w:line="245" w:lineRule="auto"/>
        <w:rPr>
          <w:color w:val="auto"/>
          <w:highlight w:val="none"/>
        </w:rPr>
      </w:pPr>
    </w:p>
    <w:p w14:paraId="37D251F2">
      <w:pPr>
        <w:pStyle w:val="5"/>
        <w:spacing w:line="245" w:lineRule="auto"/>
        <w:rPr>
          <w:color w:val="auto"/>
          <w:highlight w:val="none"/>
        </w:rPr>
      </w:pPr>
    </w:p>
    <w:p w14:paraId="4F84ACC7">
      <w:pPr>
        <w:pStyle w:val="5"/>
        <w:spacing w:line="245" w:lineRule="auto"/>
        <w:rPr>
          <w:color w:val="auto"/>
          <w:highlight w:val="none"/>
        </w:rPr>
      </w:pPr>
    </w:p>
    <w:p w14:paraId="6340787A">
      <w:pPr>
        <w:pStyle w:val="5"/>
        <w:spacing w:line="245" w:lineRule="auto"/>
        <w:rPr>
          <w:color w:val="auto"/>
          <w:highlight w:val="none"/>
        </w:rPr>
      </w:pPr>
    </w:p>
    <w:p w14:paraId="2D276DF0">
      <w:pPr>
        <w:pStyle w:val="5"/>
        <w:spacing w:line="245" w:lineRule="auto"/>
        <w:rPr>
          <w:color w:val="auto"/>
          <w:highlight w:val="none"/>
        </w:rPr>
      </w:pPr>
    </w:p>
    <w:p w14:paraId="1AAEF868">
      <w:pPr>
        <w:pStyle w:val="5"/>
        <w:spacing w:line="245" w:lineRule="auto"/>
        <w:rPr>
          <w:color w:val="auto"/>
          <w:highlight w:val="none"/>
        </w:rPr>
      </w:pPr>
    </w:p>
    <w:p w14:paraId="443CA4BB">
      <w:pPr>
        <w:pStyle w:val="5"/>
        <w:spacing w:line="245" w:lineRule="auto"/>
        <w:rPr>
          <w:color w:val="auto"/>
          <w:highlight w:val="none"/>
        </w:rPr>
      </w:pPr>
    </w:p>
    <w:p w14:paraId="5CDA1B44">
      <w:pPr>
        <w:pStyle w:val="5"/>
        <w:spacing w:line="245" w:lineRule="auto"/>
        <w:rPr>
          <w:color w:val="auto"/>
          <w:highlight w:val="none"/>
        </w:rPr>
      </w:pPr>
    </w:p>
    <w:p w14:paraId="6631EDC0">
      <w:pPr>
        <w:pStyle w:val="5"/>
        <w:spacing w:line="245" w:lineRule="auto"/>
        <w:rPr>
          <w:color w:val="auto"/>
          <w:highlight w:val="none"/>
        </w:rPr>
      </w:pPr>
    </w:p>
    <w:p w14:paraId="3C484604">
      <w:pPr>
        <w:pStyle w:val="5"/>
        <w:spacing w:line="245" w:lineRule="auto"/>
        <w:rPr>
          <w:color w:val="auto"/>
          <w:highlight w:val="none"/>
        </w:rPr>
      </w:pPr>
    </w:p>
    <w:p w14:paraId="4BCB8B97">
      <w:pPr>
        <w:pStyle w:val="5"/>
        <w:spacing w:line="245" w:lineRule="auto"/>
        <w:rPr>
          <w:color w:val="auto"/>
          <w:highlight w:val="none"/>
        </w:rPr>
      </w:pPr>
    </w:p>
    <w:p w14:paraId="13EBDEF1">
      <w:pPr>
        <w:pStyle w:val="5"/>
        <w:spacing w:line="245" w:lineRule="auto"/>
        <w:rPr>
          <w:color w:val="auto"/>
          <w:highlight w:val="none"/>
        </w:rPr>
      </w:pPr>
    </w:p>
    <w:p w14:paraId="5D72CA56">
      <w:pPr>
        <w:pStyle w:val="5"/>
        <w:spacing w:line="245" w:lineRule="auto"/>
        <w:rPr>
          <w:color w:val="auto"/>
          <w:highlight w:val="none"/>
        </w:rPr>
      </w:pPr>
    </w:p>
    <w:p w14:paraId="2D47785C">
      <w:pPr>
        <w:pStyle w:val="5"/>
        <w:spacing w:line="245" w:lineRule="auto"/>
        <w:rPr>
          <w:color w:val="auto"/>
          <w:highlight w:val="none"/>
        </w:rPr>
      </w:pPr>
    </w:p>
    <w:p w14:paraId="787940CC">
      <w:pPr>
        <w:pStyle w:val="5"/>
        <w:spacing w:line="245" w:lineRule="auto"/>
        <w:rPr>
          <w:color w:val="auto"/>
          <w:highlight w:val="none"/>
        </w:rPr>
      </w:pPr>
    </w:p>
    <w:p w14:paraId="226F1E19">
      <w:pPr>
        <w:pStyle w:val="5"/>
        <w:spacing w:line="246" w:lineRule="auto"/>
        <w:rPr>
          <w:color w:val="auto"/>
          <w:highlight w:val="none"/>
        </w:rPr>
      </w:pPr>
    </w:p>
    <w:p w14:paraId="1A115885">
      <w:pPr>
        <w:pStyle w:val="5"/>
        <w:spacing w:line="246" w:lineRule="auto"/>
        <w:rPr>
          <w:color w:val="auto"/>
          <w:highlight w:val="none"/>
        </w:rPr>
      </w:pPr>
    </w:p>
    <w:p w14:paraId="4B63B50F">
      <w:pPr>
        <w:pStyle w:val="5"/>
        <w:spacing w:line="246" w:lineRule="auto"/>
        <w:rPr>
          <w:color w:val="auto"/>
          <w:highlight w:val="none"/>
        </w:rPr>
      </w:pPr>
    </w:p>
    <w:p w14:paraId="5EC1FA3A">
      <w:pPr>
        <w:pStyle w:val="5"/>
        <w:spacing w:line="246" w:lineRule="auto"/>
        <w:rPr>
          <w:color w:val="auto"/>
          <w:highlight w:val="none"/>
        </w:rPr>
      </w:pPr>
    </w:p>
    <w:p w14:paraId="30AC69E9">
      <w:pPr>
        <w:pStyle w:val="5"/>
        <w:spacing w:line="246" w:lineRule="auto"/>
        <w:rPr>
          <w:color w:val="auto"/>
          <w:highlight w:val="none"/>
        </w:rPr>
      </w:pPr>
    </w:p>
    <w:p w14:paraId="5631BFE6">
      <w:pPr>
        <w:pStyle w:val="5"/>
        <w:spacing w:line="246" w:lineRule="auto"/>
        <w:rPr>
          <w:color w:val="auto"/>
          <w:highlight w:val="none"/>
        </w:rPr>
      </w:pPr>
    </w:p>
    <w:p w14:paraId="3D4A32F6">
      <w:pPr>
        <w:pStyle w:val="5"/>
        <w:spacing w:line="246" w:lineRule="auto"/>
        <w:rPr>
          <w:color w:val="auto"/>
          <w:highlight w:val="none"/>
        </w:rPr>
      </w:pPr>
    </w:p>
    <w:p w14:paraId="1BB3BB8F">
      <w:pPr>
        <w:spacing w:before="78" w:line="233" w:lineRule="auto"/>
        <w:ind w:left="4467" w:right="1359" w:hanging="2404"/>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投</w:t>
      </w:r>
      <w:r>
        <w:rPr>
          <w:rFonts w:ascii="宋体" w:hAnsi="宋体" w:eastAsia="宋体" w:cs="宋体"/>
          <w:color w:val="auto"/>
          <w:spacing w:val="10"/>
          <w:sz w:val="24"/>
          <w:szCs w:val="24"/>
          <w:highlight w:val="none"/>
        </w:rPr>
        <w:t xml:space="preserve"> </w:t>
      </w:r>
      <w:r>
        <w:rPr>
          <w:rFonts w:ascii="宋体" w:hAnsi="宋体" w:eastAsia="宋体" w:cs="宋体"/>
          <w:color w:val="auto"/>
          <w:spacing w:val="-29"/>
          <w:sz w:val="24"/>
          <w:szCs w:val="24"/>
          <w:highlight w:val="none"/>
        </w:rPr>
        <w:t>标</w:t>
      </w:r>
      <w:r>
        <w:rPr>
          <w:rFonts w:ascii="宋体" w:hAnsi="宋体" w:eastAsia="宋体" w:cs="宋体"/>
          <w:color w:val="auto"/>
          <w:spacing w:val="11"/>
          <w:sz w:val="24"/>
          <w:szCs w:val="24"/>
          <w:highlight w:val="none"/>
        </w:rPr>
        <w:t xml:space="preserve"> </w:t>
      </w:r>
      <w:r>
        <w:rPr>
          <w:rFonts w:ascii="宋体" w:hAnsi="宋体" w:eastAsia="宋体" w:cs="宋体"/>
          <w:color w:val="auto"/>
          <w:spacing w:val="-29"/>
          <w:sz w:val="24"/>
          <w:szCs w:val="24"/>
          <w:highlight w:val="none"/>
        </w:rPr>
        <w:t>人：</w:t>
      </w:r>
      <w:r>
        <w:rPr>
          <w:rFonts w:ascii="宋体" w:hAnsi="宋体" w:eastAsia="宋体" w:cs="宋体"/>
          <w:color w:val="auto"/>
          <w:spacing w:val="-38"/>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3"/>
          <w:sz w:val="24"/>
          <w:szCs w:val="24"/>
          <w:highlight w:val="none"/>
        </w:rPr>
        <w:t>（单位盖章）</w:t>
      </w:r>
    </w:p>
    <w:p w14:paraId="681E5063">
      <w:pPr>
        <w:pStyle w:val="5"/>
        <w:spacing w:line="251" w:lineRule="auto"/>
        <w:rPr>
          <w:color w:val="auto"/>
          <w:highlight w:val="none"/>
        </w:rPr>
      </w:pPr>
    </w:p>
    <w:p w14:paraId="58BCB1BC">
      <w:pPr>
        <w:pStyle w:val="5"/>
        <w:spacing w:line="252" w:lineRule="auto"/>
        <w:rPr>
          <w:color w:val="auto"/>
          <w:highlight w:val="none"/>
        </w:rPr>
      </w:pPr>
    </w:p>
    <w:p w14:paraId="540E8184">
      <w:pPr>
        <w:pStyle w:val="5"/>
        <w:spacing w:line="252" w:lineRule="auto"/>
        <w:rPr>
          <w:color w:val="auto"/>
          <w:highlight w:val="none"/>
        </w:rPr>
      </w:pPr>
    </w:p>
    <w:p w14:paraId="5CC46A1B">
      <w:pPr>
        <w:spacing w:before="78" w:line="220" w:lineRule="auto"/>
        <w:ind w:left="4169"/>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1"/>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9"/>
          <w:sz w:val="24"/>
          <w:szCs w:val="24"/>
          <w:highlight w:val="none"/>
        </w:rPr>
        <w:t xml:space="preserve">      </w:t>
      </w:r>
      <w:r>
        <w:rPr>
          <w:rFonts w:ascii="宋体" w:hAnsi="宋体" w:eastAsia="宋体" w:cs="宋体"/>
          <w:color w:val="auto"/>
          <w:spacing w:val="-9"/>
          <w:sz w:val="24"/>
          <w:szCs w:val="24"/>
          <w:highlight w:val="none"/>
        </w:rPr>
        <w:t>日</w:t>
      </w:r>
    </w:p>
    <w:p w14:paraId="77ADB62F">
      <w:pPr>
        <w:spacing w:line="220" w:lineRule="auto"/>
        <w:rPr>
          <w:rFonts w:ascii="宋体" w:hAnsi="宋体" w:eastAsia="宋体" w:cs="宋体"/>
          <w:color w:val="auto"/>
          <w:sz w:val="24"/>
          <w:szCs w:val="24"/>
          <w:highlight w:val="none"/>
        </w:rPr>
        <w:sectPr>
          <w:footerReference r:id="rId124" w:type="default"/>
          <w:pgSz w:w="11905" w:h="16839"/>
          <w:pgMar w:top="400" w:right="1785" w:bottom="1004" w:left="1785" w:header="0" w:footer="828" w:gutter="0"/>
          <w:pgNumType w:fmt="decimal"/>
          <w:cols w:space="720" w:num="1"/>
        </w:sectPr>
      </w:pPr>
    </w:p>
    <w:p w14:paraId="250C61AF">
      <w:pPr>
        <w:pStyle w:val="5"/>
        <w:spacing w:line="267" w:lineRule="auto"/>
        <w:rPr>
          <w:color w:val="auto"/>
          <w:highlight w:val="none"/>
        </w:rPr>
      </w:pPr>
    </w:p>
    <w:p w14:paraId="434313FB">
      <w:pPr>
        <w:pStyle w:val="5"/>
        <w:spacing w:line="267" w:lineRule="auto"/>
        <w:rPr>
          <w:color w:val="auto"/>
          <w:highlight w:val="none"/>
        </w:rPr>
      </w:pPr>
    </w:p>
    <w:p w14:paraId="273B6BB5">
      <w:pPr>
        <w:pStyle w:val="5"/>
        <w:spacing w:line="268" w:lineRule="auto"/>
        <w:rPr>
          <w:color w:val="auto"/>
          <w:highlight w:val="none"/>
        </w:rPr>
      </w:pPr>
    </w:p>
    <w:p w14:paraId="07F7511A">
      <w:pPr>
        <w:pStyle w:val="5"/>
        <w:spacing w:line="268" w:lineRule="auto"/>
        <w:rPr>
          <w:color w:val="auto"/>
          <w:highlight w:val="none"/>
        </w:rPr>
      </w:pPr>
    </w:p>
    <w:p w14:paraId="742105D1">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4.4 </w:t>
      </w:r>
      <w:r>
        <w:rPr>
          <w:rFonts w:ascii="黑体" w:hAnsi="黑体" w:eastAsia="黑体" w:cs="黑体"/>
          <w:color w:val="auto"/>
          <w:spacing w:val="-2"/>
          <w:sz w:val="24"/>
          <w:szCs w:val="24"/>
          <w:highlight w:val="none"/>
        </w:rPr>
        <w:t>投标总价扉页</w:t>
      </w:r>
    </w:p>
    <w:p w14:paraId="31CE5FCC">
      <w:pPr>
        <w:pStyle w:val="5"/>
        <w:spacing w:line="264" w:lineRule="auto"/>
        <w:rPr>
          <w:color w:val="auto"/>
          <w:highlight w:val="none"/>
        </w:rPr>
      </w:pPr>
    </w:p>
    <w:p w14:paraId="39E1A23D">
      <w:pPr>
        <w:pStyle w:val="5"/>
        <w:spacing w:line="264" w:lineRule="auto"/>
        <w:rPr>
          <w:color w:val="auto"/>
          <w:highlight w:val="none"/>
        </w:rPr>
      </w:pPr>
    </w:p>
    <w:p w14:paraId="66D5606D">
      <w:pPr>
        <w:pStyle w:val="5"/>
        <w:spacing w:line="264" w:lineRule="auto"/>
        <w:rPr>
          <w:color w:val="auto"/>
          <w:highlight w:val="none"/>
        </w:rPr>
      </w:pPr>
    </w:p>
    <w:p w14:paraId="0A612E8C">
      <w:pPr>
        <w:pStyle w:val="5"/>
        <w:spacing w:line="264" w:lineRule="auto"/>
        <w:rPr>
          <w:color w:val="auto"/>
          <w:highlight w:val="none"/>
        </w:rPr>
      </w:pPr>
    </w:p>
    <w:p w14:paraId="51CEE13A">
      <w:pPr>
        <w:spacing w:before="104" w:line="220" w:lineRule="auto"/>
        <w:ind w:left="3837"/>
        <w:rPr>
          <w:rFonts w:ascii="黑体" w:hAnsi="黑体" w:eastAsia="黑体" w:cs="黑体"/>
          <w:color w:val="auto"/>
          <w:sz w:val="32"/>
          <w:szCs w:val="32"/>
          <w:highlight w:val="none"/>
        </w:rPr>
      </w:pPr>
      <w:r>
        <w:rPr>
          <w:rFonts w:ascii="黑体" w:hAnsi="黑体" w:eastAsia="黑体" w:cs="黑体"/>
          <w:color w:val="auto"/>
          <w:spacing w:val="13"/>
          <w:sz w:val="32"/>
          <w:szCs w:val="32"/>
          <w:highlight w:val="none"/>
        </w:rPr>
        <w:t>投标总价</w:t>
      </w:r>
    </w:p>
    <w:p w14:paraId="561102CA">
      <w:pPr>
        <w:pStyle w:val="5"/>
        <w:spacing w:line="255" w:lineRule="auto"/>
        <w:rPr>
          <w:color w:val="auto"/>
          <w:highlight w:val="none"/>
        </w:rPr>
      </w:pPr>
    </w:p>
    <w:p w14:paraId="0887C26E">
      <w:pPr>
        <w:pStyle w:val="5"/>
        <w:spacing w:line="255" w:lineRule="auto"/>
        <w:rPr>
          <w:color w:val="auto"/>
          <w:highlight w:val="none"/>
        </w:rPr>
      </w:pPr>
    </w:p>
    <w:p w14:paraId="60E52972">
      <w:pPr>
        <w:pStyle w:val="5"/>
        <w:spacing w:line="255" w:lineRule="auto"/>
        <w:rPr>
          <w:color w:val="auto"/>
          <w:highlight w:val="none"/>
        </w:rPr>
      </w:pPr>
    </w:p>
    <w:p w14:paraId="0BD8E89E">
      <w:pPr>
        <w:pStyle w:val="5"/>
        <w:spacing w:line="256" w:lineRule="auto"/>
        <w:rPr>
          <w:color w:val="auto"/>
          <w:highlight w:val="none"/>
        </w:rPr>
      </w:pPr>
    </w:p>
    <w:p w14:paraId="4D7BA30B">
      <w:pPr>
        <w:pStyle w:val="5"/>
        <w:spacing w:line="256" w:lineRule="auto"/>
        <w:rPr>
          <w:color w:val="auto"/>
          <w:highlight w:val="none"/>
        </w:rPr>
      </w:pPr>
    </w:p>
    <w:p w14:paraId="6938AF9E">
      <w:pPr>
        <w:pStyle w:val="5"/>
        <w:spacing w:line="256" w:lineRule="auto"/>
        <w:rPr>
          <w:color w:val="auto"/>
          <w:highlight w:val="none"/>
        </w:rPr>
      </w:pPr>
    </w:p>
    <w:p w14:paraId="0E9F531A">
      <w:pPr>
        <w:spacing w:before="68" w:line="221" w:lineRule="auto"/>
        <w:ind w:left="44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招</w:t>
      </w:r>
      <w:r>
        <w:rPr>
          <w:rFonts w:ascii="宋体" w:hAnsi="宋体" w:eastAsia="宋体" w:cs="宋体"/>
          <w:color w:val="auto"/>
          <w:spacing w:val="12"/>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0CF25158">
      <w:pPr>
        <w:pStyle w:val="5"/>
        <w:spacing w:line="278" w:lineRule="auto"/>
        <w:rPr>
          <w:color w:val="auto"/>
          <w:highlight w:val="none"/>
        </w:rPr>
      </w:pPr>
    </w:p>
    <w:p w14:paraId="1EF5BDAB">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5"/>
          <w:w w:val="99"/>
          <w:sz w:val="21"/>
          <w:szCs w:val="21"/>
          <w:highlight w:val="none"/>
        </w:rPr>
        <w:t>工程名称：</w:t>
      </w:r>
      <w:r>
        <w:rPr>
          <w:rFonts w:ascii="宋体" w:hAnsi="宋体" w:eastAsia="宋体" w:cs="宋体"/>
          <w:color w:val="auto"/>
          <w:spacing w:val="25"/>
          <w:sz w:val="21"/>
          <w:szCs w:val="21"/>
          <w:highlight w:val="none"/>
        </w:rPr>
        <w:t xml:space="preserve"> </w:t>
      </w:r>
      <w:r>
        <w:rPr>
          <w:rFonts w:ascii="宋体" w:hAnsi="宋体" w:eastAsia="宋体" w:cs="宋体"/>
          <w:color w:val="auto"/>
          <w:sz w:val="21"/>
          <w:szCs w:val="21"/>
          <w:highlight w:val="none"/>
          <w:u w:val="single" w:color="auto"/>
        </w:rPr>
        <w:t xml:space="preserve">                                                               </w:t>
      </w:r>
    </w:p>
    <w:p w14:paraId="77714263">
      <w:pPr>
        <w:pStyle w:val="5"/>
        <w:spacing w:line="279" w:lineRule="auto"/>
        <w:rPr>
          <w:color w:val="auto"/>
          <w:highlight w:val="none"/>
        </w:rPr>
      </w:pPr>
    </w:p>
    <w:p w14:paraId="5742E081">
      <w:pPr>
        <w:spacing w:before="69" w:line="527" w:lineRule="auto"/>
        <w:ind w:left="44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投标总价（小写</w:t>
      </w:r>
      <w:r>
        <w:rPr>
          <w:rFonts w:ascii="宋体" w:hAnsi="宋体" w:eastAsia="宋体" w:cs="宋体"/>
          <w:color w:val="auto"/>
          <w:spacing w:val="-11"/>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元   </w:t>
      </w:r>
    </w:p>
    <w:p w14:paraId="5B8DDF77">
      <w:pPr>
        <w:spacing w:line="221" w:lineRule="auto"/>
        <w:ind w:left="128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（大写</w:t>
      </w:r>
      <w:r>
        <w:rPr>
          <w:rFonts w:ascii="宋体" w:hAnsi="宋体" w:eastAsia="宋体" w:cs="宋体"/>
          <w:color w:val="auto"/>
          <w:spacing w:val="-16"/>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6"/>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元   </w:t>
      </w:r>
    </w:p>
    <w:p w14:paraId="3062C679">
      <w:pPr>
        <w:pStyle w:val="5"/>
        <w:spacing w:line="250" w:lineRule="auto"/>
        <w:rPr>
          <w:color w:val="auto"/>
          <w:highlight w:val="none"/>
        </w:rPr>
      </w:pPr>
    </w:p>
    <w:p w14:paraId="5954E974">
      <w:pPr>
        <w:pStyle w:val="5"/>
        <w:spacing w:line="250" w:lineRule="auto"/>
        <w:rPr>
          <w:color w:val="auto"/>
          <w:highlight w:val="none"/>
        </w:rPr>
      </w:pPr>
    </w:p>
    <w:p w14:paraId="2EB9059C">
      <w:pPr>
        <w:pStyle w:val="5"/>
        <w:spacing w:line="250" w:lineRule="auto"/>
        <w:rPr>
          <w:color w:val="auto"/>
          <w:highlight w:val="none"/>
        </w:rPr>
      </w:pPr>
    </w:p>
    <w:p w14:paraId="17A74283">
      <w:pPr>
        <w:pStyle w:val="5"/>
        <w:spacing w:line="251" w:lineRule="auto"/>
        <w:rPr>
          <w:color w:val="auto"/>
          <w:highlight w:val="none"/>
        </w:rPr>
      </w:pPr>
    </w:p>
    <w:p w14:paraId="514C0A83">
      <w:pPr>
        <w:pStyle w:val="5"/>
        <w:spacing w:line="251" w:lineRule="auto"/>
        <w:rPr>
          <w:color w:val="auto"/>
          <w:highlight w:val="none"/>
        </w:rPr>
      </w:pPr>
    </w:p>
    <w:p w14:paraId="1FC5583A">
      <w:pPr>
        <w:spacing w:before="69" w:line="251" w:lineRule="auto"/>
        <w:ind w:left="4225" w:right="231" w:hanging="378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（单位盖章）</w:t>
      </w:r>
    </w:p>
    <w:p w14:paraId="7CA4FF81">
      <w:pPr>
        <w:pStyle w:val="5"/>
        <w:spacing w:line="422" w:lineRule="auto"/>
        <w:rPr>
          <w:color w:val="auto"/>
          <w:highlight w:val="none"/>
        </w:rPr>
      </w:pPr>
    </w:p>
    <w:p w14:paraId="770C0A28">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p>
    <w:p w14:paraId="771955F4">
      <w:pPr>
        <w:spacing w:before="158" w:line="249" w:lineRule="auto"/>
        <w:ind w:left="4014" w:right="231" w:hanging="3571"/>
        <w:rPr>
          <w:rFonts w:ascii="宋体" w:hAnsi="宋体" w:eastAsia="宋体" w:cs="宋体"/>
          <w:color w:val="auto"/>
          <w:sz w:val="21"/>
          <w:szCs w:val="21"/>
          <w:highlight w:val="none"/>
        </w:rPr>
      </w:pPr>
      <w:r>
        <w:rPr>
          <w:rFonts w:ascii="宋体" w:hAnsi="宋体" w:eastAsia="宋体" w:cs="宋体"/>
          <w:color w:val="auto"/>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（签字或盖章）</w:t>
      </w:r>
    </w:p>
    <w:p w14:paraId="36F4A80D">
      <w:pPr>
        <w:pStyle w:val="5"/>
        <w:spacing w:line="319" w:lineRule="auto"/>
        <w:rPr>
          <w:color w:val="auto"/>
          <w:highlight w:val="none"/>
        </w:rPr>
      </w:pPr>
    </w:p>
    <w:p w14:paraId="06F1A251">
      <w:pPr>
        <w:pStyle w:val="5"/>
        <w:spacing w:line="319" w:lineRule="auto"/>
        <w:rPr>
          <w:color w:val="auto"/>
          <w:highlight w:val="none"/>
        </w:rPr>
      </w:pPr>
    </w:p>
    <w:p w14:paraId="1D0EEAFF">
      <w:pPr>
        <w:spacing w:before="68" w:line="251" w:lineRule="auto"/>
        <w:ind w:left="3596" w:right="231" w:hanging="3154"/>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编制人：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（造价人员签字或盖章）</w:t>
      </w:r>
    </w:p>
    <w:p w14:paraId="7A28B4E8">
      <w:pPr>
        <w:pStyle w:val="5"/>
        <w:spacing w:line="266" w:lineRule="auto"/>
        <w:rPr>
          <w:color w:val="auto"/>
          <w:highlight w:val="none"/>
        </w:rPr>
      </w:pPr>
    </w:p>
    <w:p w14:paraId="521FC3D8">
      <w:pPr>
        <w:pStyle w:val="5"/>
        <w:spacing w:line="267" w:lineRule="auto"/>
        <w:rPr>
          <w:color w:val="auto"/>
          <w:highlight w:val="none"/>
        </w:rPr>
      </w:pPr>
    </w:p>
    <w:p w14:paraId="0BF8EC6E">
      <w:pPr>
        <w:pStyle w:val="5"/>
        <w:spacing w:line="267" w:lineRule="auto"/>
        <w:rPr>
          <w:color w:val="auto"/>
          <w:highlight w:val="none"/>
        </w:rPr>
      </w:pPr>
    </w:p>
    <w:p w14:paraId="720EA382">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1"/>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14"/>
          <w:sz w:val="21"/>
          <w:szCs w:val="21"/>
          <w:highlight w:val="none"/>
        </w:rPr>
        <w:t>月       日</w:t>
      </w:r>
    </w:p>
    <w:p w14:paraId="48B94802">
      <w:pPr>
        <w:spacing w:line="221" w:lineRule="auto"/>
        <w:rPr>
          <w:rFonts w:ascii="宋体" w:hAnsi="宋体" w:eastAsia="宋体" w:cs="宋体"/>
          <w:color w:val="auto"/>
          <w:sz w:val="21"/>
          <w:szCs w:val="21"/>
          <w:highlight w:val="none"/>
        </w:rPr>
        <w:sectPr>
          <w:footerReference r:id="rId125" w:type="default"/>
          <w:pgSz w:w="11905" w:h="16839"/>
          <w:pgMar w:top="400" w:right="1785" w:bottom="1004" w:left="1785" w:header="0" w:footer="828" w:gutter="0"/>
          <w:pgNumType w:fmt="decimal"/>
          <w:cols w:space="720" w:num="1"/>
        </w:sectPr>
      </w:pPr>
    </w:p>
    <w:p w14:paraId="03FACE3D">
      <w:pPr>
        <w:pStyle w:val="5"/>
        <w:spacing w:line="267" w:lineRule="auto"/>
        <w:rPr>
          <w:color w:val="auto"/>
          <w:highlight w:val="none"/>
        </w:rPr>
      </w:pPr>
    </w:p>
    <w:p w14:paraId="4C727122">
      <w:pPr>
        <w:pStyle w:val="5"/>
        <w:spacing w:line="268" w:lineRule="auto"/>
        <w:rPr>
          <w:color w:val="auto"/>
          <w:highlight w:val="none"/>
        </w:rPr>
      </w:pPr>
    </w:p>
    <w:p w14:paraId="4DBA8920">
      <w:pPr>
        <w:pStyle w:val="5"/>
        <w:spacing w:line="268" w:lineRule="auto"/>
        <w:rPr>
          <w:color w:val="auto"/>
          <w:highlight w:val="none"/>
        </w:rPr>
      </w:pPr>
    </w:p>
    <w:p w14:paraId="1C0DCF70">
      <w:pPr>
        <w:pStyle w:val="5"/>
        <w:spacing w:line="268" w:lineRule="auto"/>
        <w:rPr>
          <w:color w:val="auto"/>
          <w:highlight w:val="none"/>
        </w:rPr>
      </w:pPr>
    </w:p>
    <w:p w14:paraId="33EE994D">
      <w:pPr>
        <w:spacing w:before="78"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4.5 </w:t>
      </w:r>
      <w:r>
        <w:rPr>
          <w:rFonts w:ascii="黑体" w:hAnsi="黑体" w:eastAsia="黑体" w:cs="黑体"/>
          <w:color w:val="auto"/>
          <w:spacing w:val="-2"/>
          <w:sz w:val="24"/>
          <w:szCs w:val="24"/>
          <w:highlight w:val="none"/>
        </w:rPr>
        <w:t>总说明表</w:t>
      </w:r>
    </w:p>
    <w:p w14:paraId="0A9AE049">
      <w:pPr>
        <w:spacing w:before="62" w:line="224" w:lineRule="auto"/>
        <w:ind w:left="3906"/>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总</w:t>
      </w:r>
      <w:r>
        <w:rPr>
          <w:rFonts w:ascii="黑体" w:hAnsi="黑体" w:eastAsia="黑体" w:cs="黑体"/>
          <w:color w:val="auto"/>
          <w:spacing w:val="19"/>
          <w:sz w:val="27"/>
          <w:szCs w:val="27"/>
          <w:highlight w:val="none"/>
        </w:rPr>
        <w:t xml:space="preserve"> </w:t>
      </w:r>
      <w:r>
        <w:rPr>
          <w:rFonts w:ascii="黑体" w:hAnsi="黑体" w:eastAsia="黑体" w:cs="黑体"/>
          <w:color w:val="auto"/>
          <w:spacing w:val="-5"/>
          <w:sz w:val="27"/>
          <w:szCs w:val="27"/>
          <w:highlight w:val="none"/>
        </w:rPr>
        <w:t>说</w:t>
      </w:r>
      <w:r>
        <w:rPr>
          <w:rFonts w:ascii="黑体" w:hAnsi="黑体" w:eastAsia="黑体" w:cs="黑体"/>
          <w:color w:val="auto"/>
          <w:spacing w:val="28"/>
          <w:sz w:val="27"/>
          <w:szCs w:val="27"/>
          <w:highlight w:val="none"/>
        </w:rPr>
        <w:t xml:space="preserve"> </w:t>
      </w:r>
      <w:r>
        <w:rPr>
          <w:rFonts w:ascii="黑体" w:hAnsi="黑体" w:eastAsia="黑体" w:cs="黑体"/>
          <w:color w:val="auto"/>
          <w:spacing w:val="-5"/>
          <w:sz w:val="27"/>
          <w:szCs w:val="27"/>
          <w:highlight w:val="none"/>
        </w:rPr>
        <w:t>明</w:t>
      </w:r>
    </w:p>
    <w:p w14:paraId="713B5F3E">
      <w:pPr>
        <w:pStyle w:val="5"/>
        <w:spacing w:line="284" w:lineRule="auto"/>
        <w:rPr>
          <w:color w:val="auto"/>
          <w:highlight w:val="none"/>
        </w:rPr>
      </w:pPr>
    </w:p>
    <w:p w14:paraId="09463ADC">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第</w:t>
      </w:r>
      <w:r>
        <w:rPr>
          <w:rFonts w:ascii="宋体" w:hAnsi="宋体" w:eastAsia="宋体" w:cs="宋体"/>
          <w:color w:val="auto"/>
          <w:spacing w:val="7"/>
          <w:sz w:val="21"/>
          <w:szCs w:val="21"/>
          <w:highlight w:val="none"/>
        </w:rPr>
        <w:t xml:space="preserve">  </w:t>
      </w:r>
      <w:r>
        <w:rPr>
          <w:rFonts w:ascii="宋体" w:hAnsi="宋体" w:eastAsia="宋体" w:cs="宋体"/>
          <w:color w:val="auto"/>
          <w:spacing w:val="-15"/>
          <w:sz w:val="21"/>
          <w:szCs w:val="21"/>
          <w:highlight w:val="none"/>
        </w:rPr>
        <w:t>页 共</w:t>
      </w:r>
      <w:r>
        <w:rPr>
          <w:rFonts w:ascii="宋体" w:hAnsi="宋体" w:eastAsia="宋体" w:cs="宋体"/>
          <w:color w:val="auto"/>
          <w:spacing w:val="8"/>
          <w:sz w:val="21"/>
          <w:szCs w:val="21"/>
          <w:highlight w:val="none"/>
        </w:rPr>
        <w:t xml:space="preserve">  </w:t>
      </w:r>
      <w:r>
        <w:rPr>
          <w:rFonts w:ascii="宋体" w:hAnsi="宋体" w:eastAsia="宋体" w:cs="宋体"/>
          <w:color w:val="auto"/>
          <w:spacing w:val="-15"/>
          <w:sz w:val="21"/>
          <w:szCs w:val="21"/>
          <w:highlight w:val="none"/>
        </w:rPr>
        <w:t>页</w:t>
      </w:r>
    </w:p>
    <w:p w14:paraId="67E8AF5A">
      <w:pPr>
        <w:spacing w:before="127" w:line="10745" w:lineRule="exact"/>
        <w:ind w:firstLine="10"/>
        <w:rPr>
          <w:color w:val="auto"/>
          <w:highlight w:val="none"/>
        </w:rPr>
      </w:pPr>
      <w:r>
        <w:rPr>
          <w:color w:val="auto"/>
          <w:position w:val="-214"/>
          <w:highlight w:val="none"/>
        </w:rPr>
        <w:pict>
          <v:shape id="_x0000_s2074" o:spid="_x0000_s2074"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14:paraId="7949BED8">
      <w:pPr>
        <w:spacing w:line="10745" w:lineRule="exact"/>
        <w:rPr>
          <w:color w:val="auto"/>
          <w:highlight w:val="none"/>
        </w:rPr>
        <w:sectPr>
          <w:footerReference r:id="rId126" w:type="default"/>
          <w:pgSz w:w="11905" w:h="16839"/>
          <w:pgMar w:top="400" w:right="1785" w:bottom="1004" w:left="1785" w:header="0" w:footer="828" w:gutter="0"/>
          <w:pgNumType w:fmt="decimal"/>
          <w:cols w:space="720" w:num="1"/>
        </w:sectPr>
      </w:pPr>
    </w:p>
    <w:p w14:paraId="15F9B416">
      <w:pPr>
        <w:pStyle w:val="5"/>
        <w:spacing w:line="267" w:lineRule="auto"/>
        <w:rPr>
          <w:color w:val="auto"/>
          <w:highlight w:val="none"/>
        </w:rPr>
      </w:pPr>
    </w:p>
    <w:p w14:paraId="5E4710E4">
      <w:pPr>
        <w:pStyle w:val="5"/>
        <w:spacing w:line="267" w:lineRule="auto"/>
        <w:rPr>
          <w:color w:val="auto"/>
          <w:highlight w:val="none"/>
        </w:rPr>
      </w:pPr>
    </w:p>
    <w:p w14:paraId="62A07DF5">
      <w:pPr>
        <w:pStyle w:val="5"/>
        <w:spacing w:line="268" w:lineRule="auto"/>
        <w:rPr>
          <w:color w:val="auto"/>
          <w:highlight w:val="none"/>
        </w:rPr>
      </w:pPr>
    </w:p>
    <w:p w14:paraId="5023AD3F">
      <w:pPr>
        <w:pStyle w:val="5"/>
        <w:spacing w:line="268" w:lineRule="auto"/>
        <w:rPr>
          <w:color w:val="auto"/>
          <w:highlight w:val="none"/>
        </w:rPr>
      </w:pPr>
    </w:p>
    <w:p w14:paraId="1A464D45">
      <w:pPr>
        <w:spacing w:before="78" w:line="219" w:lineRule="auto"/>
        <w:ind w:left="13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4.6 </w:t>
      </w:r>
      <w:r>
        <w:rPr>
          <w:rFonts w:ascii="黑体" w:hAnsi="黑体" w:eastAsia="黑体" w:cs="黑体"/>
          <w:color w:val="auto"/>
          <w:spacing w:val="-1"/>
          <w:sz w:val="24"/>
          <w:szCs w:val="24"/>
          <w:highlight w:val="none"/>
        </w:rPr>
        <w:t>建设项目投标报价汇总表</w:t>
      </w:r>
    </w:p>
    <w:p w14:paraId="02FC7E90">
      <w:pPr>
        <w:spacing w:before="61" w:line="225" w:lineRule="auto"/>
        <w:ind w:left="3041"/>
        <w:rPr>
          <w:rFonts w:ascii="黑体" w:hAnsi="黑体" w:eastAsia="黑体" w:cs="黑体"/>
          <w:color w:val="auto"/>
          <w:sz w:val="27"/>
          <w:szCs w:val="27"/>
          <w:highlight w:val="none"/>
        </w:rPr>
      </w:pPr>
      <w:bookmarkStart w:id="1728" w:name="bookmark249"/>
      <w:bookmarkEnd w:id="1728"/>
      <w:r>
        <w:rPr>
          <w:rFonts w:ascii="黑体" w:hAnsi="黑体" w:eastAsia="黑体" w:cs="黑体"/>
          <w:color w:val="auto"/>
          <w:spacing w:val="8"/>
          <w:sz w:val="27"/>
          <w:szCs w:val="27"/>
          <w:highlight w:val="none"/>
        </w:rPr>
        <w:t>建设项目投标报价汇总表</w:t>
      </w:r>
    </w:p>
    <w:p w14:paraId="7B2FE533">
      <w:pPr>
        <w:pStyle w:val="5"/>
        <w:spacing w:line="283" w:lineRule="auto"/>
        <w:rPr>
          <w:color w:val="auto"/>
          <w:highlight w:val="none"/>
        </w:rPr>
      </w:pPr>
    </w:p>
    <w:p w14:paraId="57B6F1D3">
      <w:pPr>
        <w:spacing w:before="68" w:line="221" w:lineRule="auto"/>
        <w:ind w:left="14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7"/>
          <w:sz w:val="21"/>
          <w:szCs w:val="21"/>
          <w:highlight w:val="none"/>
        </w:rPr>
        <w:t>第</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页</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页</w:t>
      </w:r>
    </w:p>
    <w:p w14:paraId="65D73670">
      <w:pPr>
        <w:spacing w:line="127" w:lineRule="exact"/>
        <w:rPr>
          <w:color w:val="auto"/>
          <w:highlight w:val="none"/>
        </w:rPr>
      </w:pPr>
    </w:p>
    <w:tbl>
      <w:tblPr>
        <w:tblStyle w:val="17"/>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14:paraId="609E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5F266022">
            <w:pPr>
              <w:spacing w:line="410" w:lineRule="auto"/>
              <w:rPr>
                <w:rFonts w:ascii="Arial"/>
                <w:color w:val="auto"/>
                <w:sz w:val="21"/>
                <w:highlight w:val="none"/>
              </w:rPr>
            </w:pPr>
          </w:p>
          <w:p w14:paraId="2C0D6C27">
            <w:pPr>
              <w:pStyle w:val="18"/>
              <w:spacing w:before="68" w:line="222" w:lineRule="auto"/>
              <w:ind w:left="170"/>
              <w:rPr>
                <w:color w:val="auto"/>
                <w:highlight w:val="none"/>
              </w:rPr>
            </w:pPr>
            <w:r>
              <w:rPr>
                <w:color w:val="auto"/>
                <w:spacing w:val="-2"/>
                <w:highlight w:val="none"/>
              </w:rPr>
              <w:t>序号</w:t>
            </w:r>
          </w:p>
        </w:tc>
        <w:tc>
          <w:tcPr>
            <w:tcW w:w="3321" w:type="dxa"/>
            <w:vMerge w:val="restart"/>
            <w:tcBorders>
              <w:bottom w:val="nil"/>
            </w:tcBorders>
            <w:vAlign w:val="top"/>
          </w:tcPr>
          <w:p w14:paraId="6DBEB4C8">
            <w:pPr>
              <w:spacing w:line="410" w:lineRule="auto"/>
              <w:rPr>
                <w:rFonts w:ascii="Arial"/>
                <w:color w:val="auto"/>
                <w:sz w:val="21"/>
                <w:highlight w:val="none"/>
              </w:rPr>
            </w:pPr>
          </w:p>
          <w:p w14:paraId="0CFAA1F9">
            <w:pPr>
              <w:pStyle w:val="18"/>
              <w:spacing w:before="68" w:line="221" w:lineRule="auto"/>
              <w:ind w:left="1037"/>
              <w:rPr>
                <w:color w:val="auto"/>
                <w:highlight w:val="none"/>
              </w:rPr>
            </w:pPr>
            <w:r>
              <w:rPr>
                <w:color w:val="auto"/>
                <w:spacing w:val="-1"/>
                <w:highlight w:val="none"/>
              </w:rPr>
              <w:t>单项工程名称</w:t>
            </w:r>
          </w:p>
        </w:tc>
        <w:tc>
          <w:tcPr>
            <w:tcW w:w="1214" w:type="dxa"/>
            <w:vMerge w:val="restart"/>
            <w:tcBorders>
              <w:bottom w:val="nil"/>
            </w:tcBorders>
            <w:vAlign w:val="top"/>
          </w:tcPr>
          <w:p w14:paraId="5D8F2F1A">
            <w:pPr>
              <w:pStyle w:val="18"/>
              <w:spacing w:before="288" w:line="384" w:lineRule="exact"/>
              <w:ind w:left="405"/>
              <w:rPr>
                <w:color w:val="auto"/>
                <w:highlight w:val="none"/>
              </w:rPr>
            </w:pPr>
            <w:r>
              <w:rPr>
                <w:color w:val="auto"/>
                <w:spacing w:val="-2"/>
                <w:position w:val="13"/>
                <w:highlight w:val="none"/>
              </w:rPr>
              <w:t>金额</w:t>
            </w:r>
          </w:p>
          <w:p w14:paraId="1983B5EE">
            <w:pPr>
              <w:pStyle w:val="18"/>
              <w:spacing w:line="221" w:lineRule="auto"/>
              <w:ind w:left="304"/>
              <w:rPr>
                <w:color w:val="auto"/>
                <w:highlight w:val="none"/>
              </w:rPr>
            </w:pPr>
            <w:r>
              <w:rPr>
                <w:color w:val="auto"/>
                <w:spacing w:val="-6"/>
                <w:highlight w:val="none"/>
              </w:rPr>
              <w:t>（元）</w:t>
            </w:r>
          </w:p>
        </w:tc>
        <w:tc>
          <w:tcPr>
            <w:tcW w:w="3296" w:type="dxa"/>
            <w:gridSpan w:val="3"/>
            <w:vAlign w:val="top"/>
          </w:tcPr>
          <w:p w14:paraId="0B8B289D">
            <w:pPr>
              <w:pStyle w:val="18"/>
              <w:spacing w:before="173" w:line="221" w:lineRule="auto"/>
              <w:ind w:left="971"/>
              <w:rPr>
                <w:color w:val="auto"/>
                <w:highlight w:val="none"/>
              </w:rPr>
            </w:pPr>
            <w:r>
              <w:rPr>
                <w:color w:val="auto"/>
                <w:spacing w:val="-20"/>
                <w:highlight w:val="none"/>
              </w:rPr>
              <w:t>其</w:t>
            </w:r>
            <w:r>
              <w:rPr>
                <w:color w:val="auto"/>
                <w:spacing w:val="15"/>
                <w:highlight w:val="none"/>
              </w:rPr>
              <w:t xml:space="preserve">  </w:t>
            </w:r>
            <w:r>
              <w:rPr>
                <w:color w:val="auto"/>
                <w:spacing w:val="-20"/>
                <w:highlight w:val="none"/>
              </w:rPr>
              <w:t>中</w:t>
            </w:r>
            <w:r>
              <w:rPr>
                <w:color w:val="auto"/>
                <w:spacing w:val="-34"/>
                <w:highlight w:val="none"/>
              </w:rPr>
              <w:t>：（</w:t>
            </w:r>
            <w:r>
              <w:rPr>
                <w:color w:val="auto"/>
                <w:spacing w:val="-20"/>
                <w:highlight w:val="none"/>
              </w:rPr>
              <w:t>元）</w:t>
            </w:r>
          </w:p>
        </w:tc>
      </w:tr>
      <w:tr w14:paraId="4CEF5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3C38DED9">
            <w:pPr>
              <w:rPr>
                <w:rFonts w:ascii="Arial"/>
                <w:color w:val="auto"/>
                <w:sz w:val="21"/>
                <w:highlight w:val="none"/>
              </w:rPr>
            </w:pPr>
          </w:p>
        </w:tc>
        <w:tc>
          <w:tcPr>
            <w:tcW w:w="3321" w:type="dxa"/>
            <w:vMerge w:val="continue"/>
            <w:tcBorders>
              <w:top w:val="nil"/>
            </w:tcBorders>
            <w:vAlign w:val="top"/>
          </w:tcPr>
          <w:p w14:paraId="751BBBBA">
            <w:pPr>
              <w:rPr>
                <w:rFonts w:ascii="Arial"/>
                <w:color w:val="auto"/>
                <w:sz w:val="21"/>
                <w:highlight w:val="none"/>
              </w:rPr>
            </w:pPr>
          </w:p>
        </w:tc>
        <w:tc>
          <w:tcPr>
            <w:tcW w:w="1214" w:type="dxa"/>
            <w:vMerge w:val="continue"/>
            <w:tcBorders>
              <w:top w:val="nil"/>
            </w:tcBorders>
            <w:vAlign w:val="top"/>
          </w:tcPr>
          <w:p w14:paraId="19DFDAEF">
            <w:pPr>
              <w:rPr>
                <w:rFonts w:ascii="Arial"/>
                <w:color w:val="auto"/>
                <w:sz w:val="21"/>
                <w:highlight w:val="none"/>
              </w:rPr>
            </w:pPr>
          </w:p>
        </w:tc>
        <w:tc>
          <w:tcPr>
            <w:tcW w:w="964" w:type="dxa"/>
            <w:vAlign w:val="top"/>
          </w:tcPr>
          <w:p w14:paraId="6F5E86AC">
            <w:pPr>
              <w:pStyle w:val="18"/>
              <w:spacing w:before="207" w:line="219" w:lineRule="auto"/>
              <w:ind w:left="180"/>
              <w:rPr>
                <w:color w:val="auto"/>
                <w:highlight w:val="none"/>
              </w:rPr>
            </w:pPr>
            <w:r>
              <w:rPr>
                <w:color w:val="auto"/>
                <w:spacing w:val="-3"/>
                <w:highlight w:val="none"/>
              </w:rPr>
              <w:t>暂估价</w:t>
            </w:r>
          </w:p>
        </w:tc>
        <w:tc>
          <w:tcPr>
            <w:tcW w:w="1402" w:type="dxa"/>
            <w:vAlign w:val="top"/>
          </w:tcPr>
          <w:p w14:paraId="085E7292">
            <w:pPr>
              <w:pStyle w:val="18"/>
              <w:spacing w:before="59" w:line="235" w:lineRule="auto"/>
              <w:ind w:left="394" w:right="269" w:hanging="100"/>
              <w:rPr>
                <w:color w:val="auto"/>
                <w:highlight w:val="none"/>
              </w:rPr>
            </w:pPr>
            <w:r>
              <w:rPr>
                <w:color w:val="auto"/>
                <w:spacing w:val="-2"/>
                <w:highlight w:val="none"/>
              </w:rPr>
              <w:t>安全文明</w:t>
            </w:r>
            <w:r>
              <w:rPr>
                <w:color w:val="auto"/>
                <w:highlight w:val="none"/>
              </w:rPr>
              <w:t xml:space="preserve"> </w:t>
            </w:r>
            <w:r>
              <w:rPr>
                <w:color w:val="auto"/>
                <w:spacing w:val="-1"/>
                <w:highlight w:val="none"/>
              </w:rPr>
              <w:t>施工费</w:t>
            </w:r>
          </w:p>
        </w:tc>
        <w:tc>
          <w:tcPr>
            <w:tcW w:w="930" w:type="dxa"/>
            <w:vAlign w:val="top"/>
          </w:tcPr>
          <w:p w14:paraId="79166153">
            <w:pPr>
              <w:pStyle w:val="18"/>
              <w:spacing w:before="59" w:line="221" w:lineRule="auto"/>
              <w:ind w:left="258"/>
              <w:rPr>
                <w:color w:val="auto"/>
                <w:highlight w:val="none"/>
              </w:rPr>
            </w:pPr>
            <w:r>
              <w:rPr>
                <w:color w:val="auto"/>
                <w:spacing w:val="-2"/>
                <w:highlight w:val="none"/>
              </w:rPr>
              <w:t>规费</w:t>
            </w:r>
          </w:p>
        </w:tc>
      </w:tr>
      <w:tr w14:paraId="04A50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6D9621D4">
            <w:pPr>
              <w:pStyle w:val="18"/>
              <w:spacing w:before="194" w:line="183" w:lineRule="auto"/>
              <w:ind w:left="340"/>
              <w:rPr>
                <w:color w:val="auto"/>
                <w:highlight w:val="none"/>
              </w:rPr>
            </w:pPr>
            <w:r>
              <w:rPr>
                <w:color w:val="auto"/>
                <w:highlight w:val="none"/>
              </w:rPr>
              <w:t>1</w:t>
            </w:r>
          </w:p>
        </w:tc>
        <w:tc>
          <w:tcPr>
            <w:tcW w:w="3321" w:type="dxa"/>
            <w:vAlign w:val="top"/>
          </w:tcPr>
          <w:p w14:paraId="25DF6458">
            <w:pPr>
              <w:pStyle w:val="18"/>
              <w:spacing w:before="160" w:line="221" w:lineRule="auto"/>
              <w:ind w:left="115"/>
              <w:rPr>
                <w:color w:val="auto"/>
                <w:highlight w:val="none"/>
              </w:rPr>
            </w:pPr>
            <w:r>
              <w:rPr>
                <w:color w:val="auto"/>
                <w:spacing w:val="-1"/>
                <w:highlight w:val="none"/>
              </w:rPr>
              <w:t>单项工程</w:t>
            </w:r>
          </w:p>
        </w:tc>
        <w:tc>
          <w:tcPr>
            <w:tcW w:w="1214" w:type="dxa"/>
            <w:vAlign w:val="top"/>
          </w:tcPr>
          <w:p w14:paraId="6C9CDA00">
            <w:pPr>
              <w:rPr>
                <w:rFonts w:ascii="Arial"/>
                <w:color w:val="auto"/>
                <w:sz w:val="21"/>
                <w:highlight w:val="none"/>
              </w:rPr>
            </w:pPr>
          </w:p>
        </w:tc>
        <w:tc>
          <w:tcPr>
            <w:tcW w:w="964" w:type="dxa"/>
            <w:vAlign w:val="top"/>
          </w:tcPr>
          <w:p w14:paraId="642221ED">
            <w:pPr>
              <w:rPr>
                <w:rFonts w:ascii="Arial"/>
                <w:color w:val="auto"/>
                <w:sz w:val="21"/>
                <w:highlight w:val="none"/>
              </w:rPr>
            </w:pPr>
          </w:p>
        </w:tc>
        <w:tc>
          <w:tcPr>
            <w:tcW w:w="1402" w:type="dxa"/>
            <w:vAlign w:val="top"/>
          </w:tcPr>
          <w:p w14:paraId="7B8C3714">
            <w:pPr>
              <w:rPr>
                <w:rFonts w:ascii="Arial"/>
                <w:color w:val="auto"/>
                <w:sz w:val="21"/>
                <w:highlight w:val="none"/>
              </w:rPr>
            </w:pPr>
          </w:p>
        </w:tc>
        <w:tc>
          <w:tcPr>
            <w:tcW w:w="930" w:type="dxa"/>
            <w:vAlign w:val="top"/>
          </w:tcPr>
          <w:p w14:paraId="40E93949">
            <w:pPr>
              <w:rPr>
                <w:rFonts w:ascii="Arial"/>
                <w:color w:val="auto"/>
                <w:sz w:val="21"/>
                <w:highlight w:val="none"/>
              </w:rPr>
            </w:pPr>
          </w:p>
        </w:tc>
      </w:tr>
      <w:tr w14:paraId="18B8C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416DA5E6">
            <w:pPr>
              <w:rPr>
                <w:rFonts w:ascii="Arial"/>
                <w:color w:val="auto"/>
                <w:sz w:val="21"/>
                <w:highlight w:val="none"/>
              </w:rPr>
            </w:pPr>
          </w:p>
        </w:tc>
        <w:tc>
          <w:tcPr>
            <w:tcW w:w="3321" w:type="dxa"/>
            <w:vAlign w:val="top"/>
          </w:tcPr>
          <w:p w14:paraId="0CBB0701">
            <w:pPr>
              <w:rPr>
                <w:rFonts w:ascii="Arial"/>
                <w:color w:val="auto"/>
                <w:sz w:val="21"/>
                <w:highlight w:val="none"/>
              </w:rPr>
            </w:pPr>
          </w:p>
        </w:tc>
        <w:tc>
          <w:tcPr>
            <w:tcW w:w="1214" w:type="dxa"/>
            <w:vAlign w:val="top"/>
          </w:tcPr>
          <w:p w14:paraId="61375C7C">
            <w:pPr>
              <w:rPr>
                <w:rFonts w:ascii="Arial"/>
                <w:color w:val="auto"/>
                <w:sz w:val="21"/>
                <w:highlight w:val="none"/>
              </w:rPr>
            </w:pPr>
          </w:p>
        </w:tc>
        <w:tc>
          <w:tcPr>
            <w:tcW w:w="964" w:type="dxa"/>
            <w:vAlign w:val="top"/>
          </w:tcPr>
          <w:p w14:paraId="103EA770">
            <w:pPr>
              <w:rPr>
                <w:rFonts w:ascii="Arial"/>
                <w:color w:val="auto"/>
                <w:sz w:val="21"/>
                <w:highlight w:val="none"/>
              </w:rPr>
            </w:pPr>
          </w:p>
        </w:tc>
        <w:tc>
          <w:tcPr>
            <w:tcW w:w="1402" w:type="dxa"/>
            <w:vAlign w:val="top"/>
          </w:tcPr>
          <w:p w14:paraId="24198505">
            <w:pPr>
              <w:rPr>
                <w:rFonts w:ascii="Arial"/>
                <w:color w:val="auto"/>
                <w:sz w:val="21"/>
                <w:highlight w:val="none"/>
              </w:rPr>
            </w:pPr>
          </w:p>
        </w:tc>
        <w:tc>
          <w:tcPr>
            <w:tcW w:w="930" w:type="dxa"/>
            <w:vAlign w:val="top"/>
          </w:tcPr>
          <w:p w14:paraId="1001FA40">
            <w:pPr>
              <w:rPr>
                <w:rFonts w:ascii="Arial"/>
                <w:color w:val="auto"/>
                <w:sz w:val="21"/>
                <w:highlight w:val="none"/>
              </w:rPr>
            </w:pPr>
          </w:p>
        </w:tc>
      </w:tr>
      <w:tr w14:paraId="7EA70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17408B77">
            <w:pPr>
              <w:rPr>
                <w:rFonts w:ascii="Arial"/>
                <w:color w:val="auto"/>
                <w:sz w:val="21"/>
                <w:highlight w:val="none"/>
              </w:rPr>
            </w:pPr>
          </w:p>
        </w:tc>
        <w:tc>
          <w:tcPr>
            <w:tcW w:w="3321" w:type="dxa"/>
            <w:vAlign w:val="top"/>
          </w:tcPr>
          <w:p w14:paraId="6A783609">
            <w:pPr>
              <w:pStyle w:val="18"/>
              <w:spacing w:before="160" w:line="221" w:lineRule="auto"/>
              <w:ind w:left="116"/>
              <w:rPr>
                <w:color w:val="auto"/>
                <w:highlight w:val="none"/>
              </w:rPr>
            </w:pPr>
            <w:r>
              <w:rPr>
                <w:color w:val="auto"/>
                <w:spacing w:val="-5"/>
                <w:highlight w:val="none"/>
              </w:rPr>
              <w:t>建设项目数据：</w:t>
            </w:r>
          </w:p>
        </w:tc>
        <w:tc>
          <w:tcPr>
            <w:tcW w:w="1214" w:type="dxa"/>
            <w:vAlign w:val="top"/>
          </w:tcPr>
          <w:p w14:paraId="67D37451">
            <w:pPr>
              <w:rPr>
                <w:rFonts w:ascii="Arial"/>
                <w:color w:val="auto"/>
                <w:sz w:val="21"/>
                <w:highlight w:val="none"/>
              </w:rPr>
            </w:pPr>
          </w:p>
        </w:tc>
        <w:tc>
          <w:tcPr>
            <w:tcW w:w="964" w:type="dxa"/>
            <w:vAlign w:val="top"/>
          </w:tcPr>
          <w:p w14:paraId="73F7113C">
            <w:pPr>
              <w:rPr>
                <w:rFonts w:ascii="Arial"/>
                <w:color w:val="auto"/>
                <w:sz w:val="21"/>
                <w:highlight w:val="none"/>
              </w:rPr>
            </w:pPr>
          </w:p>
        </w:tc>
        <w:tc>
          <w:tcPr>
            <w:tcW w:w="1402" w:type="dxa"/>
            <w:vAlign w:val="top"/>
          </w:tcPr>
          <w:p w14:paraId="37FD4AC1">
            <w:pPr>
              <w:rPr>
                <w:rFonts w:ascii="Arial"/>
                <w:color w:val="auto"/>
                <w:sz w:val="21"/>
                <w:highlight w:val="none"/>
              </w:rPr>
            </w:pPr>
          </w:p>
        </w:tc>
        <w:tc>
          <w:tcPr>
            <w:tcW w:w="930" w:type="dxa"/>
            <w:vAlign w:val="top"/>
          </w:tcPr>
          <w:p w14:paraId="10A07BEC">
            <w:pPr>
              <w:rPr>
                <w:rFonts w:ascii="Arial"/>
                <w:color w:val="auto"/>
                <w:sz w:val="21"/>
                <w:highlight w:val="none"/>
              </w:rPr>
            </w:pPr>
          </w:p>
        </w:tc>
      </w:tr>
      <w:tr w14:paraId="7D7B5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58623DA5">
            <w:pPr>
              <w:rPr>
                <w:rFonts w:ascii="Arial"/>
                <w:color w:val="auto"/>
                <w:sz w:val="21"/>
                <w:highlight w:val="none"/>
              </w:rPr>
            </w:pPr>
          </w:p>
        </w:tc>
        <w:tc>
          <w:tcPr>
            <w:tcW w:w="3321" w:type="dxa"/>
            <w:vAlign w:val="top"/>
          </w:tcPr>
          <w:p w14:paraId="189B7094">
            <w:pPr>
              <w:pStyle w:val="18"/>
              <w:spacing w:before="161" w:line="221" w:lineRule="auto"/>
              <w:ind w:left="115"/>
              <w:rPr>
                <w:color w:val="auto"/>
                <w:highlight w:val="none"/>
              </w:rPr>
            </w:pPr>
            <w:r>
              <w:rPr>
                <w:color w:val="auto"/>
                <w:spacing w:val="-2"/>
                <w:highlight w:val="none"/>
              </w:rPr>
              <w:t>人工费</w:t>
            </w:r>
          </w:p>
        </w:tc>
        <w:tc>
          <w:tcPr>
            <w:tcW w:w="1214" w:type="dxa"/>
            <w:vAlign w:val="top"/>
          </w:tcPr>
          <w:p w14:paraId="128F278F">
            <w:pPr>
              <w:rPr>
                <w:rFonts w:ascii="Arial"/>
                <w:color w:val="auto"/>
                <w:sz w:val="21"/>
                <w:highlight w:val="none"/>
              </w:rPr>
            </w:pPr>
          </w:p>
        </w:tc>
        <w:tc>
          <w:tcPr>
            <w:tcW w:w="964" w:type="dxa"/>
            <w:vAlign w:val="top"/>
          </w:tcPr>
          <w:p w14:paraId="21636ABD">
            <w:pPr>
              <w:rPr>
                <w:rFonts w:ascii="Arial"/>
                <w:color w:val="auto"/>
                <w:sz w:val="21"/>
                <w:highlight w:val="none"/>
              </w:rPr>
            </w:pPr>
          </w:p>
        </w:tc>
        <w:tc>
          <w:tcPr>
            <w:tcW w:w="1402" w:type="dxa"/>
            <w:vAlign w:val="top"/>
          </w:tcPr>
          <w:p w14:paraId="4FE64CEF">
            <w:pPr>
              <w:rPr>
                <w:rFonts w:ascii="Arial"/>
                <w:color w:val="auto"/>
                <w:sz w:val="21"/>
                <w:highlight w:val="none"/>
              </w:rPr>
            </w:pPr>
          </w:p>
        </w:tc>
        <w:tc>
          <w:tcPr>
            <w:tcW w:w="930" w:type="dxa"/>
            <w:vAlign w:val="top"/>
          </w:tcPr>
          <w:p w14:paraId="48E707C4">
            <w:pPr>
              <w:rPr>
                <w:rFonts w:ascii="Arial"/>
                <w:color w:val="auto"/>
                <w:sz w:val="21"/>
                <w:highlight w:val="none"/>
              </w:rPr>
            </w:pPr>
          </w:p>
        </w:tc>
      </w:tr>
      <w:tr w14:paraId="5CD2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5CCA205">
            <w:pPr>
              <w:rPr>
                <w:rFonts w:ascii="Arial"/>
                <w:color w:val="auto"/>
                <w:sz w:val="21"/>
                <w:highlight w:val="none"/>
              </w:rPr>
            </w:pPr>
          </w:p>
        </w:tc>
        <w:tc>
          <w:tcPr>
            <w:tcW w:w="3321" w:type="dxa"/>
            <w:vAlign w:val="top"/>
          </w:tcPr>
          <w:p w14:paraId="1408204E">
            <w:pPr>
              <w:pStyle w:val="18"/>
              <w:spacing w:before="161" w:line="220" w:lineRule="auto"/>
              <w:ind w:left="113"/>
              <w:rPr>
                <w:color w:val="auto"/>
                <w:highlight w:val="none"/>
              </w:rPr>
            </w:pPr>
            <w:r>
              <w:rPr>
                <w:color w:val="auto"/>
                <w:spacing w:val="-2"/>
                <w:highlight w:val="none"/>
              </w:rPr>
              <w:t>材料费</w:t>
            </w:r>
          </w:p>
        </w:tc>
        <w:tc>
          <w:tcPr>
            <w:tcW w:w="1214" w:type="dxa"/>
            <w:vAlign w:val="top"/>
          </w:tcPr>
          <w:p w14:paraId="4E9E3851">
            <w:pPr>
              <w:rPr>
                <w:rFonts w:ascii="Arial"/>
                <w:color w:val="auto"/>
                <w:sz w:val="21"/>
                <w:highlight w:val="none"/>
              </w:rPr>
            </w:pPr>
          </w:p>
        </w:tc>
        <w:tc>
          <w:tcPr>
            <w:tcW w:w="964" w:type="dxa"/>
            <w:vAlign w:val="top"/>
          </w:tcPr>
          <w:p w14:paraId="678BD2C1">
            <w:pPr>
              <w:rPr>
                <w:rFonts w:ascii="Arial"/>
                <w:color w:val="auto"/>
                <w:sz w:val="21"/>
                <w:highlight w:val="none"/>
              </w:rPr>
            </w:pPr>
          </w:p>
        </w:tc>
        <w:tc>
          <w:tcPr>
            <w:tcW w:w="1402" w:type="dxa"/>
            <w:vAlign w:val="top"/>
          </w:tcPr>
          <w:p w14:paraId="3893EB21">
            <w:pPr>
              <w:rPr>
                <w:rFonts w:ascii="Arial"/>
                <w:color w:val="auto"/>
                <w:sz w:val="21"/>
                <w:highlight w:val="none"/>
              </w:rPr>
            </w:pPr>
          </w:p>
        </w:tc>
        <w:tc>
          <w:tcPr>
            <w:tcW w:w="930" w:type="dxa"/>
            <w:vAlign w:val="top"/>
          </w:tcPr>
          <w:p w14:paraId="0117B8E1">
            <w:pPr>
              <w:rPr>
                <w:rFonts w:ascii="Arial"/>
                <w:color w:val="auto"/>
                <w:sz w:val="21"/>
                <w:highlight w:val="none"/>
              </w:rPr>
            </w:pPr>
          </w:p>
        </w:tc>
      </w:tr>
      <w:tr w14:paraId="399A5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4120DD2D">
            <w:pPr>
              <w:rPr>
                <w:rFonts w:ascii="Arial"/>
                <w:color w:val="auto"/>
                <w:sz w:val="21"/>
                <w:highlight w:val="none"/>
              </w:rPr>
            </w:pPr>
          </w:p>
        </w:tc>
        <w:tc>
          <w:tcPr>
            <w:tcW w:w="3321" w:type="dxa"/>
            <w:vAlign w:val="top"/>
          </w:tcPr>
          <w:p w14:paraId="05482175">
            <w:pPr>
              <w:pStyle w:val="18"/>
              <w:spacing w:before="161" w:line="220" w:lineRule="auto"/>
              <w:ind w:left="112"/>
              <w:rPr>
                <w:color w:val="auto"/>
                <w:highlight w:val="none"/>
              </w:rPr>
            </w:pPr>
            <w:r>
              <w:rPr>
                <w:color w:val="auto"/>
                <w:spacing w:val="-1"/>
                <w:highlight w:val="none"/>
              </w:rPr>
              <w:t>机械费</w:t>
            </w:r>
          </w:p>
        </w:tc>
        <w:tc>
          <w:tcPr>
            <w:tcW w:w="1214" w:type="dxa"/>
            <w:vAlign w:val="top"/>
          </w:tcPr>
          <w:p w14:paraId="0A375E80">
            <w:pPr>
              <w:rPr>
                <w:rFonts w:ascii="Arial"/>
                <w:color w:val="auto"/>
                <w:sz w:val="21"/>
                <w:highlight w:val="none"/>
              </w:rPr>
            </w:pPr>
          </w:p>
        </w:tc>
        <w:tc>
          <w:tcPr>
            <w:tcW w:w="964" w:type="dxa"/>
            <w:vAlign w:val="top"/>
          </w:tcPr>
          <w:p w14:paraId="64AE6CB6">
            <w:pPr>
              <w:rPr>
                <w:rFonts w:ascii="Arial"/>
                <w:color w:val="auto"/>
                <w:sz w:val="21"/>
                <w:highlight w:val="none"/>
              </w:rPr>
            </w:pPr>
          </w:p>
        </w:tc>
        <w:tc>
          <w:tcPr>
            <w:tcW w:w="1402" w:type="dxa"/>
            <w:vAlign w:val="top"/>
          </w:tcPr>
          <w:p w14:paraId="28F5963B">
            <w:pPr>
              <w:rPr>
                <w:rFonts w:ascii="Arial"/>
                <w:color w:val="auto"/>
                <w:sz w:val="21"/>
                <w:highlight w:val="none"/>
              </w:rPr>
            </w:pPr>
          </w:p>
        </w:tc>
        <w:tc>
          <w:tcPr>
            <w:tcW w:w="930" w:type="dxa"/>
            <w:vAlign w:val="top"/>
          </w:tcPr>
          <w:p w14:paraId="3196B7E3">
            <w:pPr>
              <w:rPr>
                <w:rFonts w:ascii="Arial"/>
                <w:color w:val="auto"/>
                <w:sz w:val="21"/>
                <w:highlight w:val="none"/>
              </w:rPr>
            </w:pPr>
          </w:p>
        </w:tc>
      </w:tr>
      <w:tr w14:paraId="0F1C0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5B60EA73">
            <w:pPr>
              <w:rPr>
                <w:rFonts w:ascii="Arial"/>
                <w:color w:val="auto"/>
                <w:sz w:val="21"/>
                <w:highlight w:val="none"/>
              </w:rPr>
            </w:pPr>
          </w:p>
        </w:tc>
        <w:tc>
          <w:tcPr>
            <w:tcW w:w="3321" w:type="dxa"/>
            <w:vAlign w:val="top"/>
          </w:tcPr>
          <w:p w14:paraId="621745C1">
            <w:pPr>
              <w:pStyle w:val="18"/>
              <w:spacing w:before="162" w:line="221" w:lineRule="auto"/>
              <w:ind w:left="117"/>
              <w:rPr>
                <w:color w:val="auto"/>
                <w:highlight w:val="none"/>
              </w:rPr>
            </w:pPr>
            <w:r>
              <w:rPr>
                <w:color w:val="auto"/>
                <w:spacing w:val="-2"/>
                <w:highlight w:val="none"/>
              </w:rPr>
              <w:t>设备费</w:t>
            </w:r>
          </w:p>
        </w:tc>
        <w:tc>
          <w:tcPr>
            <w:tcW w:w="1214" w:type="dxa"/>
            <w:vAlign w:val="top"/>
          </w:tcPr>
          <w:p w14:paraId="537BC2AE">
            <w:pPr>
              <w:rPr>
                <w:rFonts w:ascii="Arial"/>
                <w:color w:val="auto"/>
                <w:sz w:val="21"/>
                <w:highlight w:val="none"/>
              </w:rPr>
            </w:pPr>
          </w:p>
        </w:tc>
        <w:tc>
          <w:tcPr>
            <w:tcW w:w="964" w:type="dxa"/>
            <w:vAlign w:val="top"/>
          </w:tcPr>
          <w:p w14:paraId="715D2B33">
            <w:pPr>
              <w:rPr>
                <w:rFonts w:ascii="Arial"/>
                <w:color w:val="auto"/>
                <w:sz w:val="21"/>
                <w:highlight w:val="none"/>
              </w:rPr>
            </w:pPr>
          </w:p>
        </w:tc>
        <w:tc>
          <w:tcPr>
            <w:tcW w:w="1402" w:type="dxa"/>
            <w:vAlign w:val="top"/>
          </w:tcPr>
          <w:p w14:paraId="2C2A8395">
            <w:pPr>
              <w:rPr>
                <w:rFonts w:ascii="Arial"/>
                <w:color w:val="auto"/>
                <w:sz w:val="21"/>
                <w:highlight w:val="none"/>
              </w:rPr>
            </w:pPr>
          </w:p>
        </w:tc>
        <w:tc>
          <w:tcPr>
            <w:tcW w:w="930" w:type="dxa"/>
            <w:vAlign w:val="top"/>
          </w:tcPr>
          <w:p w14:paraId="0E0A94D4">
            <w:pPr>
              <w:rPr>
                <w:rFonts w:ascii="Arial"/>
                <w:color w:val="auto"/>
                <w:sz w:val="21"/>
                <w:highlight w:val="none"/>
              </w:rPr>
            </w:pPr>
          </w:p>
        </w:tc>
      </w:tr>
      <w:tr w14:paraId="6E48F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59CE41EC">
            <w:pPr>
              <w:rPr>
                <w:rFonts w:ascii="Arial"/>
                <w:color w:val="auto"/>
                <w:sz w:val="21"/>
                <w:highlight w:val="none"/>
              </w:rPr>
            </w:pPr>
          </w:p>
        </w:tc>
        <w:tc>
          <w:tcPr>
            <w:tcW w:w="3321" w:type="dxa"/>
            <w:vAlign w:val="top"/>
          </w:tcPr>
          <w:p w14:paraId="4AC18DDB">
            <w:pPr>
              <w:pStyle w:val="18"/>
              <w:spacing w:before="161" w:line="220" w:lineRule="auto"/>
              <w:ind w:left="115"/>
              <w:rPr>
                <w:color w:val="auto"/>
                <w:highlight w:val="none"/>
              </w:rPr>
            </w:pPr>
            <w:r>
              <w:rPr>
                <w:color w:val="auto"/>
                <w:spacing w:val="-2"/>
                <w:highlight w:val="none"/>
              </w:rPr>
              <w:t>主材费</w:t>
            </w:r>
          </w:p>
        </w:tc>
        <w:tc>
          <w:tcPr>
            <w:tcW w:w="1214" w:type="dxa"/>
            <w:vAlign w:val="top"/>
          </w:tcPr>
          <w:p w14:paraId="6DE810FF">
            <w:pPr>
              <w:rPr>
                <w:rFonts w:ascii="Arial"/>
                <w:color w:val="auto"/>
                <w:sz w:val="21"/>
                <w:highlight w:val="none"/>
              </w:rPr>
            </w:pPr>
          </w:p>
        </w:tc>
        <w:tc>
          <w:tcPr>
            <w:tcW w:w="964" w:type="dxa"/>
            <w:vAlign w:val="top"/>
          </w:tcPr>
          <w:p w14:paraId="72FF7414">
            <w:pPr>
              <w:rPr>
                <w:rFonts w:ascii="Arial"/>
                <w:color w:val="auto"/>
                <w:sz w:val="21"/>
                <w:highlight w:val="none"/>
              </w:rPr>
            </w:pPr>
          </w:p>
        </w:tc>
        <w:tc>
          <w:tcPr>
            <w:tcW w:w="1402" w:type="dxa"/>
            <w:vAlign w:val="top"/>
          </w:tcPr>
          <w:p w14:paraId="6AA86F26">
            <w:pPr>
              <w:rPr>
                <w:rFonts w:ascii="Arial"/>
                <w:color w:val="auto"/>
                <w:sz w:val="21"/>
                <w:highlight w:val="none"/>
              </w:rPr>
            </w:pPr>
          </w:p>
        </w:tc>
        <w:tc>
          <w:tcPr>
            <w:tcW w:w="930" w:type="dxa"/>
            <w:vAlign w:val="top"/>
          </w:tcPr>
          <w:p w14:paraId="642C95B2">
            <w:pPr>
              <w:rPr>
                <w:rFonts w:ascii="Arial"/>
                <w:color w:val="auto"/>
                <w:sz w:val="21"/>
                <w:highlight w:val="none"/>
              </w:rPr>
            </w:pPr>
          </w:p>
        </w:tc>
      </w:tr>
      <w:tr w14:paraId="0D137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F4EF412">
            <w:pPr>
              <w:rPr>
                <w:rFonts w:ascii="Arial"/>
                <w:color w:val="auto"/>
                <w:sz w:val="21"/>
                <w:highlight w:val="none"/>
              </w:rPr>
            </w:pPr>
          </w:p>
        </w:tc>
        <w:tc>
          <w:tcPr>
            <w:tcW w:w="3321" w:type="dxa"/>
            <w:vAlign w:val="top"/>
          </w:tcPr>
          <w:p w14:paraId="65BBBDF1">
            <w:pPr>
              <w:rPr>
                <w:rFonts w:ascii="Arial"/>
                <w:color w:val="auto"/>
                <w:sz w:val="21"/>
                <w:highlight w:val="none"/>
              </w:rPr>
            </w:pPr>
          </w:p>
        </w:tc>
        <w:tc>
          <w:tcPr>
            <w:tcW w:w="1214" w:type="dxa"/>
            <w:vAlign w:val="top"/>
          </w:tcPr>
          <w:p w14:paraId="05AEC8E1">
            <w:pPr>
              <w:rPr>
                <w:rFonts w:ascii="Arial"/>
                <w:color w:val="auto"/>
                <w:sz w:val="21"/>
                <w:highlight w:val="none"/>
              </w:rPr>
            </w:pPr>
          </w:p>
        </w:tc>
        <w:tc>
          <w:tcPr>
            <w:tcW w:w="964" w:type="dxa"/>
            <w:vAlign w:val="top"/>
          </w:tcPr>
          <w:p w14:paraId="020445A9">
            <w:pPr>
              <w:rPr>
                <w:rFonts w:ascii="Arial"/>
                <w:color w:val="auto"/>
                <w:sz w:val="21"/>
                <w:highlight w:val="none"/>
              </w:rPr>
            </w:pPr>
          </w:p>
        </w:tc>
        <w:tc>
          <w:tcPr>
            <w:tcW w:w="1402" w:type="dxa"/>
            <w:vAlign w:val="top"/>
          </w:tcPr>
          <w:p w14:paraId="128FF846">
            <w:pPr>
              <w:rPr>
                <w:rFonts w:ascii="Arial"/>
                <w:color w:val="auto"/>
                <w:sz w:val="21"/>
                <w:highlight w:val="none"/>
              </w:rPr>
            </w:pPr>
          </w:p>
        </w:tc>
        <w:tc>
          <w:tcPr>
            <w:tcW w:w="930" w:type="dxa"/>
            <w:vAlign w:val="top"/>
          </w:tcPr>
          <w:p w14:paraId="02CB1DFD">
            <w:pPr>
              <w:rPr>
                <w:rFonts w:ascii="Arial"/>
                <w:color w:val="auto"/>
                <w:sz w:val="21"/>
                <w:highlight w:val="none"/>
              </w:rPr>
            </w:pPr>
          </w:p>
        </w:tc>
      </w:tr>
      <w:tr w14:paraId="47CAA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0337E52D">
            <w:pPr>
              <w:rPr>
                <w:rFonts w:ascii="Arial"/>
                <w:color w:val="auto"/>
                <w:sz w:val="21"/>
                <w:highlight w:val="none"/>
              </w:rPr>
            </w:pPr>
          </w:p>
        </w:tc>
        <w:tc>
          <w:tcPr>
            <w:tcW w:w="3321" w:type="dxa"/>
            <w:vAlign w:val="top"/>
          </w:tcPr>
          <w:p w14:paraId="75C99160">
            <w:pPr>
              <w:rPr>
                <w:rFonts w:ascii="Arial"/>
                <w:color w:val="auto"/>
                <w:sz w:val="21"/>
                <w:highlight w:val="none"/>
              </w:rPr>
            </w:pPr>
          </w:p>
        </w:tc>
        <w:tc>
          <w:tcPr>
            <w:tcW w:w="1214" w:type="dxa"/>
            <w:vAlign w:val="top"/>
          </w:tcPr>
          <w:p w14:paraId="54B47136">
            <w:pPr>
              <w:rPr>
                <w:rFonts w:ascii="Arial"/>
                <w:color w:val="auto"/>
                <w:sz w:val="21"/>
                <w:highlight w:val="none"/>
              </w:rPr>
            </w:pPr>
          </w:p>
        </w:tc>
        <w:tc>
          <w:tcPr>
            <w:tcW w:w="964" w:type="dxa"/>
            <w:vAlign w:val="top"/>
          </w:tcPr>
          <w:p w14:paraId="16E37BB8">
            <w:pPr>
              <w:rPr>
                <w:rFonts w:ascii="Arial"/>
                <w:color w:val="auto"/>
                <w:sz w:val="21"/>
                <w:highlight w:val="none"/>
              </w:rPr>
            </w:pPr>
          </w:p>
        </w:tc>
        <w:tc>
          <w:tcPr>
            <w:tcW w:w="1402" w:type="dxa"/>
            <w:vAlign w:val="top"/>
          </w:tcPr>
          <w:p w14:paraId="5D775CF0">
            <w:pPr>
              <w:rPr>
                <w:rFonts w:ascii="Arial"/>
                <w:color w:val="auto"/>
                <w:sz w:val="21"/>
                <w:highlight w:val="none"/>
              </w:rPr>
            </w:pPr>
          </w:p>
        </w:tc>
        <w:tc>
          <w:tcPr>
            <w:tcW w:w="930" w:type="dxa"/>
            <w:vAlign w:val="top"/>
          </w:tcPr>
          <w:p w14:paraId="77DD9464">
            <w:pPr>
              <w:rPr>
                <w:rFonts w:ascii="Arial"/>
                <w:color w:val="auto"/>
                <w:sz w:val="21"/>
                <w:highlight w:val="none"/>
              </w:rPr>
            </w:pPr>
          </w:p>
        </w:tc>
      </w:tr>
      <w:tr w14:paraId="1D5A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FBF8DAD">
            <w:pPr>
              <w:rPr>
                <w:rFonts w:ascii="Arial"/>
                <w:color w:val="auto"/>
                <w:sz w:val="21"/>
                <w:highlight w:val="none"/>
              </w:rPr>
            </w:pPr>
          </w:p>
        </w:tc>
        <w:tc>
          <w:tcPr>
            <w:tcW w:w="3321" w:type="dxa"/>
            <w:vAlign w:val="top"/>
          </w:tcPr>
          <w:p w14:paraId="4C59A10E">
            <w:pPr>
              <w:rPr>
                <w:rFonts w:ascii="Arial"/>
                <w:color w:val="auto"/>
                <w:sz w:val="21"/>
                <w:highlight w:val="none"/>
              </w:rPr>
            </w:pPr>
          </w:p>
        </w:tc>
        <w:tc>
          <w:tcPr>
            <w:tcW w:w="1214" w:type="dxa"/>
            <w:vAlign w:val="top"/>
          </w:tcPr>
          <w:p w14:paraId="109D90BB">
            <w:pPr>
              <w:rPr>
                <w:rFonts w:ascii="Arial"/>
                <w:color w:val="auto"/>
                <w:sz w:val="21"/>
                <w:highlight w:val="none"/>
              </w:rPr>
            </w:pPr>
          </w:p>
        </w:tc>
        <w:tc>
          <w:tcPr>
            <w:tcW w:w="964" w:type="dxa"/>
            <w:vAlign w:val="top"/>
          </w:tcPr>
          <w:p w14:paraId="182CA510">
            <w:pPr>
              <w:rPr>
                <w:rFonts w:ascii="Arial"/>
                <w:color w:val="auto"/>
                <w:sz w:val="21"/>
                <w:highlight w:val="none"/>
              </w:rPr>
            </w:pPr>
          </w:p>
        </w:tc>
        <w:tc>
          <w:tcPr>
            <w:tcW w:w="1402" w:type="dxa"/>
            <w:vAlign w:val="top"/>
          </w:tcPr>
          <w:p w14:paraId="17BC4FD0">
            <w:pPr>
              <w:rPr>
                <w:rFonts w:ascii="Arial"/>
                <w:color w:val="auto"/>
                <w:sz w:val="21"/>
                <w:highlight w:val="none"/>
              </w:rPr>
            </w:pPr>
          </w:p>
        </w:tc>
        <w:tc>
          <w:tcPr>
            <w:tcW w:w="930" w:type="dxa"/>
            <w:vAlign w:val="top"/>
          </w:tcPr>
          <w:p w14:paraId="31A23C93">
            <w:pPr>
              <w:rPr>
                <w:rFonts w:ascii="Arial"/>
                <w:color w:val="auto"/>
                <w:sz w:val="21"/>
                <w:highlight w:val="none"/>
              </w:rPr>
            </w:pPr>
          </w:p>
        </w:tc>
      </w:tr>
      <w:tr w14:paraId="30C7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6C684048">
            <w:pPr>
              <w:rPr>
                <w:rFonts w:ascii="Arial"/>
                <w:color w:val="auto"/>
                <w:sz w:val="21"/>
                <w:highlight w:val="none"/>
              </w:rPr>
            </w:pPr>
          </w:p>
        </w:tc>
        <w:tc>
          <w:tcPr>
            <w:tcW w:w="3321" w:type="dxa"/>
            <w:vAlign w:val="top"/>
          </w:tcPr>
          <w:p w14:paraId="75641E7F">
            <w:pPr>
              <w:rPr>
                <w:rFonts w:ascii="Arial"/>
                <w:color w:val="auto"/>
                <w:sz w:val="21"/>
                <w:highlight w:val="none"/>
              </w:rPr>
            </w:pPr>
          </w:p>
        </w:tc>
        <w:tc>
          <w:tcPr>
            <w:tcW w:w="1214" w:type="dxa"/>
            <w:vAlign w:val="top"/>
          </w:tcPr>
          <w:p w14:paraId="03F67C90">
            <w:pPr>
              <w:rPr>
                <w:rFonts w:ascii="Arial"/>
                <w:color w:val="auto"/>
                <w:sz w:val="21"/>
                <w:highlight w:val="none"/>
              </w:rPr>
            </w:pPr>
          </w:p>
        </w:tc>
        <w:tc>
          <w:tcPr>
            <w:tcW w:w="964" w:type="dxa"/>
            <w:vAlign w:val="top"/>
          </w:tcPr>
          <w:p w14:paraId="7C0E18AB">
            <w:pPr>
              <w:rPr>
                <w:rFonts w:ascii="Arial"/>
                <w:color w:val="auto"/>
                <w:sz w:val="21"/>
                <w:highlight w:val="none"/>
              </w:rPr>
            </w:pPr>
          </w:p>
        </w:tc>
        <w:tc>
          <w:tcPr>
            <w:tcW w:w="1402" w:type="dxa"/>
            <w:vAlign w:val="top"/>
          </w:tcPr>
          <w:p w14:paraId="5EC3B41B">
            <w:pPr>
              <w:rPr>
                <w:rFonts w:ascii="Arial"/>
                <w:color w:val="auto"/>
                <w:sz w:val="21"/>
                <w:highlight w:val="none"/>
              </w:rPr>
            </w:pPr>
          </w:p>
        </w:tc>
        <w:tc>
          <w:tcPr>
            <w:tcW w:w="930" w:type="dxa"/>
            <w:vAlign w:val="top"/>
          </w:tcPr>
          <w:p w14:paraId="68952A4D">
            <w:pPr>
              <w:rPr>
                <w:rFonts w:ascii="Arial"/>
                <w:color w:val="auto"/>
                <w:sz w:val="21"/>
                <w:highlight w:val="none"/>
              </w:rPr>
            </w:pPr>
          </w:p>
        </w:tc>
      </w:tr>
      <w:tr w14:paraId="6934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538BA848">
            <w:pPr>
              <w:rPr>
                <w:rFonts w:ascii="Arial"/>
                <w:color w:val="auto"/>
                <w:sz w:val="21"/>
                <w:highlight w:val="none"/>
              </w:rPr>
            </w:pPr>
          </w:p>
        </w:tc>
        <w:tc>
          <w:tcPr>
            <w:tcW w:w="3321" w:type="dxa"/>
            <w:vAlign w:val="top"/>
          </w:tcPr>
          <w:p w14:paraId="49EE9011">
            <w:pPr>
              <w:rPr>
                <w:rFonts w:ascii="Arial"/>
                <w:color w:val="auto"/>
                <w:sz w:val="21"/>
                <w:highlight w:val="none"/>
              </w:rPr>
            </w:pPr>
          </w:p>
        </w:tc>
        <w:tc>
          <w:tcPr>
            <w:tcW w:w="1214" w:type="dxa"/>
            <w:vAlign w:val="top"/>
          </w:tcPr>
          <w:p w14:paraId="50F4FC02">
            <w:pPr>
              <w:rPr>
                <w:rFonts w:ascii="Arial"/>
                <w:color w:val="auto"/>
                <w:sz w:val="21"/>
                <w:highlight w:val="none"/>
              </w:rPr>
            </w:pPr>
          </w:p>
        </w:tc>
        <w:tc>
          <w:tcPr>
            <w:tcW w:w="964" w:type="dxa"/>
            <w:vAlign w:val="top"/>
          </w:tcPr>
          <w:p w14:paraId="19A801F1">
            <w:pPr>
              <w:rPr>
                <w:rFonts w:ascii="Arial"/>
                <w:color w:val="auto"/>
                <w:sz w:val="21"/>
                <w:highlight w:val="none"/>
              </w:rPr>
            </w:pPr>
          </w:p>
        </w:tc>
        <w:tc>
          <w:tcPr>
            <w:tcW w:w="1402" w:type="dxa"/>
            <w:vAlign w:val="top"/>
          </w:tcPr>
          <w:p w14:paraId="79DC1614">
            <w:pPr>
              <w:rPr>
                <w:rFonts w:ascii="Arial"/>
                <w:color w:val="auto"/>
                <w:sz w:val="21"/>
                <w:highlight w:val="none"/>
              </w:rPr>
            </w:pPr>
          </w:p>
        </w:tc>
        <w:tc>
          <w:tcPr>
            <w:tcW w:w="930" w:type="dxa"/>
            <w:vAlign w:val="top"/>
          </w:tcPr>
          <w:p w14:paraId="3A11C29B">
            <w:pPr>
              <w:rPr>
                <w:rFonts w:ascii="Arial"/>
                <w:color w:val="auto"/>
                <w:sz w:val="21"/>
                <w:highlight w:val="none"/>
              </w:rPr>
            </w:pPr>
          </w:p>
        </w:tc>
      </w:tr>
      <w:tr w14:paraId="38348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199BBE13">
            <w:pPr>
              <w:rPr>
                <w:rFonts w:ascii="Arial"/>
                <w:color w:val="auto"/>
                <w:sz w:val="21"/>
                <w:highlight w:val="none"/>
              </w:rPr>
            </w:pPr>
          </w:p>
        </w:tc>
        <w:tc>
          <w:tcPr>
            <w:tcW w:w="3321" w:type="dxa"/>
            <w:vAlign w:val="top"/>
          </w:tcPr>
          <w:p w14:paraId="3C8902F9">
            <w:pPr>
              <w:rPr>
                <w:rFonts w:ascii="Arial"/>
                <w:color w:val="auto"/>
                <w:sz w:val="21"/>
                <w:highlight w:val="none"/>
              </w:rPr>
            </w:pPr>
          </w:p>
        </w:tc>
        <w:tc>
          <w:tcPr>
            <w:tcW w:w="1214" w:type="dxa"/>
            <w:vAlign w:val="top"/>
          </w:tcPr>
          <w:p w14:paraId="13D20616">
            <w:pPr>
              <w:rPr>
                <w:rFonts w:ascii="Arial"/>
                <w:color w:val="auto"/>
                <w:sz w:val="21"/>
                <w:highlight w:val="none"/>
              </w:rPr>
            </w:pPr>
          </w:p>
        </w:tc>
        <w:tc>
          <w:tcPr>
            <w:tcW w:w="964" w:type="dxa"/>
            <w:vAlign w:val="top"/>
          </w:tcPr>
          <w:p w14:paraId="7BF890BE">
            <w:pPr>
              <w:rPr>
                <w:rFonts w:ascii="Arial"/>
                <w:color w:val="auto"/>
                <w:sz w:val="21"/>
                <w:highlight w:val="none"/>
              </w:rPr>
            </w:pPr>
          </w:p>
        </w:tc>
        <w:tc>
          <w:tcPr>
            <w:tcW w:w="1402" w:type="dxa"/>
            <w:vAlign w:val="top"/>
          </w:tcPr>
          <w:p w14:paraId="582D417B">
            <w:pPr>
              <w:rPr>
                <w:rFonts w:ascii="Arial"/>
                <w:color w:val="auto"/>
                <w:sz w:val="21"/>
                <w:highlight w:val="none"/>
              </w:rPr>
            </w:pPr>
          </w:p>
        </w:tc>
        <w:tc>
          <w:tcPr>
            <w:tcW w:w="930" w:type="dxa"/>
            <w:vAlign w:val="top"/>
          </w:tcPr>
          <w:p w14:paraId="29C66718">
            <w:pPr>
              <w:rPr>
                <w:rFonts w:ascii="Arial"/>
                <w:color w:val="auto"/>
                <w:sz w:val="21"/>
                <w:highlight w:val="none"/>
              </w:rPr>
            </w:pPr>
          </w:p>
        </w:tc>
      </w:tr>
      <w:tr w14:paraId="401CB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8FA486C">
            <w:pPr>
              <w:rPr>
                <w:rFonts w:ascii="Arial"/>
                <w:color w:val="auto"/>
                <w:sz w:val="21"/>
                <w:highlight w:val="none"/>
              </w:rPr>
            </w:pPr>
          </w:p>
        </w:tc>
        <w:tc>
          <w:tcPr>
            <w:tcW w:w="3321" w:type="dxa"/>
            <w:vAlign w:val="top"/>
          </w:tcPr>
          <w:p w14:paraId="113C373F">
            <w:pPr>
              <w:rPr>
                <w:rFonts w:ascii="Arial"/>
                <w:color w:val="auto"/>
                <w:sz w:val="21"/>
                <w:highlight w:val="none"/>
              </w:rPr>
            </w:pPr>
          </w:p>
        </w:tc>
        <w:tc>
          <w:tcPr>
            <w:tcW w:w="1214" w:type="dxa"/>
            <w:vAlign w:val="top"/>
          </w:tcPr>
          <w:p w14:paraId="256E9B43">
            <w:pPr>
              <w:rPr>
                <w:rFonts w:ascii="Arial"/>
                <w:color w:val="auto"/>
                <w:sz w:val="21"/>
                <w:highlight w:val="none"/>
              </w:rPr>
            </w:pPr>
          </w:p>
        </w:tc>
        <w:tc>
          <w:tcPr>
            <w:tcW w:w="964" w:type="dxa"/>
            <w:vAlign w:val="top"/>
          </w:tcPr>
          <w:p w14:paraId="4C132346">
            <w:pPr>
              <w:rPr>
                <w:rFonts w:ascii="Arial"/>
                <w:color w:val="auto"/>
                <w:sz w:val="21"/>
                <w:highlight w:val="none"/>
              </w:rPr>
            </w:pPr>
          </w:p>
        </w:tc>
        <w:tc>
          <w:tcPr>
            <w:tcW w:w="1402" w:type="dxa"/>
            <w:vAlign w:val="top"/>
          </w:tcPr>
          <w:p w14:paraId="237E1A84">
            <w:pPr>
              <w:rPr>
                <w:rFonts w:ascii="Arial"/>
                <w:color w:val="auto"/>
                <w:sz w:val="21"/>
                <w:highlight w:val="none"/>
              </w:rPr>
            </w:pPr>
          </w:p>
        </w:tc>
        <w:tc>
          <w:tcPr>
            <w:tcW w:w="930" w:type="dxa"/>
            <w:vAlign w:val="top"/>
          </w:tcPr>
          <w:p w14:paraId="10029D77">
            <w:pPr>
              <w:rPr>
                <w:rFonts w:ascii="Arial"/>
                <w:color w:val="auto"/>
                <w:sz w:val="21"/>
                <w:highlight w:val="none"/>
              </w:rPr>
            </w:pPr>
          </w:p>
        </w:tc>
      </w:tr>
      <w:tr w14:paraId="19980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2E63C31B">
            <w:pPr>
              <w:rPr>
                <w:rFonts w:ascii="Arial"/>
                <w:color w:val="auto"/>
                <w:sz w:val="21"/>
                <w:highlight w:val="none"/>
              </w:rPr>
            </w:pPr>
          </w:p>
        </w:tc>
        <w:tc>
          <w:tcPr>
            <w:tcW w:w="3321" w:type="dxa"/>
            <w:vAlign w:val="top"/>
          </w:tcPr>
          <w:p w14:paraId="22BCFC78">
            <w:pPr>
              <w:rPr>
                <w:rFonts w:ascii="Arial"/>
                <w:color w:val="auto"/>
                <w:sz w:val="21"/>
                <w:highlight w:val="none"/>
              </w:rPr>
            </w:pPr>
          </w:p>
        </w:tc>
        <w:tc>
          <w:tcPr>
            <w:tcW w:w="1214" w:type="dxa"/>
            <w:vAlign w:val="top"/>
          </w:tcPr>
          <w:p w14:paraId="1CCEBE3B">
            <w:pPr>
              <w:rPr>
                <w:rFonts w:ascii="Arial"/>
                <w:color w:val="auto"/>
                <w:sz w:val="21"/>
                <w:highlight w:val="none"/>
              </w:rPr>
            </w:pPr>
          </w:p>
        </w:tc>
        <w:tc>
          <w:tcPr>
            <w:tcW w:w="964" w:type="dxa"/>
            <w:vAlign w:val="top"/>
          </w:tcPr>
          <w:p w14:paraId="1D8266E2">
            <w:pPr>
              <w:rPr>
                <w:rFonts w:ascii="Arial"/>
                <w:color w:val="auto"/>
                <w:sz w:val="21"/>
                <w:highlight w:val="none"/>
              </w:rPr>
            </w:pPr>
          </w:p>
        </w:tc>
        <w:tc>
          <w:tcPr>
            <w:tcW w:w="1402" w:type="dxa"/>
            <w:vAlign w:val="top"/>
          </w:tcPr>
          <w:p w14:paraId="3703C030">
            <w:pPr>
              <w:rPr>
                <w:rFonts w:ascii="Arial"/>
                <w:color w:val="auto"/>
                <w:sz w:val="21"/>
                <w:highlight w:val="none"/>
              </w:rPr>
            </w:pPr>
          </w:p>
        </w:tc>
        <w:tc>
          <w:tcPr>
            <w:tcW w:w="930" w:type="dxa"/>
            <w:vAlign w:val="top"/>
          </w:tcPr>
          <w:p w14:paraId="18DF408D">
            <w:pPr>
              <w:rPr>
                <w:rFonts w:ascii="Arial"/>
                <w:color w:val="auto"/>
                <w:sz w:val="21"/>
                <w:highlight w:val="none"/>
              </w:rPr>
            </w:pPr>
          </w:p>
        </w:tc>
      </w:tr>
      <w:tr w14:paraId="7F5D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14:paraId="49B64989">
            <w:pPr>
              <w:pStyle w:val="18"/>
              <w:spacing w:before="184" w:line="222" w:lineRule="auto"/>
              <w:ind w:left="1781"/>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1214" w:type="dxa"/>
            <w:vAlign w:val="top"/>
          </w:tcPr>
          <w:p w14:paraId="64F1605D">
            <w:pPr>
              <w:rPr>
                <w:rFonts w:ascii="Arial"/>
                <w:color w:val="auto"/>
                <w:sz w:val="21"/>
                <w:highlight w:val="none"/>
              </w:rPr>
            </w:pPr>
          </w:p>
        </w:tc>
        <w:tc>
          <w:tcPr>
            <w:tcW w:w="964" w:type="dxa"/>
            <w:vAlign w:val="top"/>
          </w:tcPr>
          <w:p w14:paraId="349092FB">
            <w:pPr>
              <w:rPr>
                <w:rFonts w:ascii="Arial"/>
                <w:color w:val="auto"/>
                <w:sz w:val="21"/>
                <w:highlight w:val="none"/>
              </w:rPr>
            </w:pPr>
          </w:p>
        </w:tc>
        <w:tc>
          <w:tcPr>
            <w:tcW w:w="1402" w:type="dxa"/>
            <w:vAlign w:val="top"/>
          </w:tcPr>
          <w:p w14:paraId="4428E662">
            <w:pPr>
              <w:rPr>
                <w:rFonts w:ascii="Arial"/>
                <w:color w:val="auto"/>
                <w:sz w:val="21"/>
                <w:highlight w:val="none"/>
              </w:rPr>
            </w:pPr>
          </w:p>
        </w:tc>
        <w:tc>
          <w:tcPr>
            <w:tcW w:w="930" w:type="dxa"/>
            <w:vAlign w:val="top"/>
          </w:tcPr>
          <w:p w14:paraId="683AE7A6">
            <w:pPr>
              <w:rPr>
                <w:rFonts w:ascii="Arial"/>
                <w:color w:val="auto"/>
                <w:sz w:val="21"/>
                <w:highlight w:val="none"/>
              </w:rPr>
            </w:pPr>
          </w:p>
        </w:tc>
      </w:tr>
    </w:tbl>
    <w:p w14:paraId="29FC3951">
      <w:pPr>
        <w:pStyle w:val="5"/>
        <w:rPr>
          <w:color w:val="auto"/>
          <w:highlight w:val="none"/>
        </w:rPr>
      </w:pPr>
    </w:p>
    <w:p w14:paraId="514C383A">
      <w:pPr>
        <w:rPr>
          <w:color w:val="auto"/>
          <w:highlight w:val="none"/>
        </w:rPr>
        <w:sectPr>
          <w:footerReference r:id="rId127" w:type="default"/>
          <w:pgSz w:w="11905" w:h="16839"/>
          <w:pgMar w:top="400" w:right="1652" w:bottom="1004" w:left="1661" w:header="0" w:footer="828" w:gutter="0"/>
          <w:pgNumType w:fmt="decimal"/>
          <w:cols w:space="720" w:num="1"/>
        </w:sectPr>
      </w:pPr>
    </w:p>
    <w:p w14:paraId="742B98FB">
      <w:pPr>
        <w:pStyle w:val="5"/>
        <w:spacing w:line="267" w:lineRule="auto"/>
        <w:rPr>
          <w:color w:val="auto"/>
          <w:highlight w:val="none"/>
        </w:rPr>
      </w:pPr>
    </w:p>
    <w:p w14:paraId="015ED3D2">
      <w:pPr>
        <w:pStyle w:val="5"/>
        <w:spacing w:line="267" w:lineRule="auto"/>
        <w:rPr>
          <w:color w:val="auto"/>
          <w:highlight w:val="none"/>
        </w:rPr>
      </w:pPr>
    </w:p>
    <w:p w14:paraId="04E112F5">
      <w:pPr>
        <w:pStyle w:val="5"/>
        <w:spacing w:line="268" w:lineRule="auto"/>
        <w:rPr>
          <w:color w:val="auto"/>
          <w:highlight w:val="none"/>
        </w:rPr>
      </w:pPr>
    </w:p>
    <w:p w14:paraId="14F03C43">
      <w:pPr>
        <w:pStyle w:val="5"/>
        <w:spacing w:line="268" w:lineRule="auto"/>
        <w:rPr>
          <w:color w:val="auto"/>
          <w:highlight w:val="none"/>
        </w:rPr>
      </w:pPr>
    </w:p>
    <w:p w14:paraId="61D7228F">
      <w:pPr>
        <w:spacing w:before="78" w:line="219" w:lineRule="auto"/>
        <w:ind w:left="13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4.7 </w:t>
      </w:r>
      <w:r>
        <w:rPr>
          <w:rFonts w:ascii="黑体" w:hAnsi="黑体" w:eastAsia="黑体" w:cs="黑体"/>
          <w:color w:val="auto"/>
          <w:spacing w:val="-1"/>
          <w:sz w:val="24"/>
          <w:szCs w:val="24"/>
          <w:highlight w:val="none"/>
        </w:rPr>
        <w:t>单项工程投标报价汇总表</w:t>
      </w:r>
    </w:p>
    <w:p w14:paraId="3D44164A">
      <w:pPr>
        <w:spacing w:before="61" w:line="225" w:lineRule="auto"/>
        <w:ind w:left="2770"/>
        <w:rPr>
          <w:rFonts w:ascii="黑体" w:hAnsi="黑体" w:eastAsia="黑体" w:cs="黑体"/>
          <w:color w:val="auto"/>
          <w:sz w:val="27"/>
          <w:szCs w:val="27"/>
          <w:highlight w:val="none"/>
        </w:rPr>
      </w:pPr>
      <w:bookmarkStart w:id="1729" w:name="bookmark250"/>
      <w:bookmarkEnd w:id="1729"/>
      <w:r>
        <w:rPr>
          <w:rFonts w:ascii="黑体" w:hAnsi="黑体" w:eastAsia="黑体" w:cs="黑体"/>
          <w:color w:val="auto"/>
          <w:spacing w:val="7"/>
          <w:sz w:val="27"/>
          <w:szCs w:val="27"/>
          <w:highlight w:val="none"/>
        </w:rPr>
        <w:t>单项工程投标报价汇总表</w:t>
      </w:r>
    </w:p>
    <w:p w14:paraId="40EDD8DE">
      <w:pPr>
        <w:spacing w:before="233" w:line="221" w:lineRule="auto"/>
        <w:ind w:left="14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7"/>
          <w:sz w:val="21"/>
          <w:szCs w:val="21"/>
          <w:highlight w:val="none"/>
        </w:rPr>
        <w:t>第</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页</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页</w:t>
      </w:r>
    </w:p>
    <w:p w14:paraId="2B28B8D0">
      <w:pPr>
        <w:spacing w:line="127" w:lineRule="exact"/>
        <w:rPr>
          <w:color w:val="auto"/>
          <w:highlight w:val="none"/>
        </w:rPr>
      </w:pPr>
    </w:p>
    <w:tbl>
      <w:tblPr>
        <w:tblStyle w:val="17"/>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14:paraId="5F5EB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12836CEF">
            <w:pPr>
              <w:spacing w:line="410" w:lineRule="auto"/>
              <w:rPr>
                <w:rFonts w:ascii="Arial"/>
                <w:color w:val="auto"/>
                <w:sz w:val="21"/>
                <w:highlight w:val="none"/>
              </w:rPr>
            </w:pPr>
          </w:p>
          <w:p w14:paraId="753C5382">
            <w:pPr>
              <w:pStyle w:val="18"/>
              <w:spacing w:before="68" w:line="222" w:lineRule="auto"/>
              <w:ind w:left="170"/>
              <w:rPr>
                <w:color w:val="auto"/>
                <w:highlight w:val="none"/>
              </w:rPr>
            </w:pPr>
            <w:r>
              <w:rPr>
                <w:color w:val="auto"/>
                <w:spacing w:val="-2"/>
                <w:highlight w:val="none"/>
              </w:rPr>
              <w:t>序号</w:t>
            </w:r>
          </w:p>
        </w:tc>
        <w:tc>
          <w:tcPr>
            <w:tcW w:w="3306" w:type="dxa"/>
            <w:vMerge w:val="restart"/>
            <w:tcBorders>
              <w:bottom w:val="nil"/>
            </w:tcBorders>
            <w:vAlign w:val="top"/>
          </w:tcPr>
          <w:p w14:paraId="0D13D315">
            <w:pPr>
              <w:spacing w:line="410" w:lineRule="auto"/>
              <w:rPr>
                <w:rFonts w:ascii="Arial"/>
                <w:color w:val="auto"/>
                <w:sz w:val="21"/>
                <w:highlight w:val="none"/>
              </w:rPr>
            </w:pPr>
          </w:p>
          <w:p w14:paraId="068C54F3">
            <w:pPr>
              <w:pStyle w:val="18"/>
              <w:spacing w:before="68" w:line="221" w:lineRule="auto"/>
              <w:ind w:left="1027"/>
              <w:rPr>
                <w:color w:val="auto"/>
                <w:highlight w:val="none"/>
              </w:rPr>
            </w:pPr>
            <w:r>
              <w:rPr>
                <w:color w:val="auto"/>
                <w:spacing w:val="-1"/>
                <w:highlight w:val="none"/>
              </w:rPr>
              <w:t>单项工程名称</w:t>
            </w:r>
          </w:p>
        </w:tc>
        <w:tc>
          <w:tcPr>
            <w:tcW w:w="1200" w:type="dxa"/>
            <w:vMerge w:val="restart"/>
            <w:tcBorders>
              <w:bottom w:val="nil"/>
            </w:tcBorders>
            <w:vAlign w:val="top"/>
          </w:tcPr>
          <w:p w14:paraId="142BA4E7">
            <w:pPr>
              <w:pStyle w:val="18"/>
              <w:spacing w:before="288" w:line="384" w:lineRule="exact"/>
              <w:ind w:left="396"/>
              <w:rPr>
                <w:color w:val="auto"/>
                <w:highlight w:val="none"/>
              </w:rPr>
            </w:pPr>
            <w:r>
              <w:rPr>
                <w:color w:val="auto"/>
                <w:spacing w:val="-2"/>
                <w:position w:val="13"/>
                <w:highlight w:val="none"/>
              </w:rPr>
              <w:t>金额</w:t>
            </w:r>
          </w:p>
          <w:p w14:paraId="432098FE">
            <w:pPr>
              <w:pStyle w:val="18"/>
              <w:spacing w:line="221" w:lineRule="auto"/>
              <w:ind w:left="295"/>
              <w:rPr>
                <w:color w:val="auto"/>
                <w:highlight w:val="none"/>
              </w:rPr>
            </w:pPr>
            <w:r>
              <w:rPr>
                <w:color w:val="auto"/>
                <w:spacing w:val="-6"/>
                <w:highlight w:val="none"/>
              </w:rPr>
              <w:t>（元）</w:t>
            </w:r>
          </w:p>
        </w:tc>
        <w:tc>
          <w:tcPr>
            <w:tcW w:w="3325" w:type="dxa"/>
            <w:gridSpan w:val="3"/>
            <w:vAlign w:val="top"/>
          </w:tcPr>
          <w:p w14:paraId="678E8513">
            <w:pPr>
              <w:pStyle w:val="18"/>
              <w:spacing w:before="173" w:line="221" w:lineRule="auto"/>
              <w:ind w:left="986"/>
              <w:rPr>
                <w:color w:val="auto"/>
                <w:highlight w:val="none"/>
              </w:rPr>
            </w:pPr>
            <w:r>
              <w:rPr>
                <w:color w:val="auto"/>
                <w:spacing w:val="-20"/>
                <w:highlight w:val="none"/>
              </w:rPr>
              <w:t>其</w:t>
            </w:r>
            <w:r>
              <w:rPr>
                <w:color w:val="auto"/>
                <w:spacing w:val="15"/>
                <w:highlight w:val="none"/>
              </w:rPr>
              <w:t xml:space="preserve">  </w:t>
            </w:r>
            <w:r>
              <w:rPr>
                <w:color w:val="auto"/>
                <w:spacing w:val="-20"/>
                <w:highlight w:val="none"/>
              </w:rPr>
              <w:t>中</w:t>
            </w:r>
            <w:r>
              <w:rPr>
                <w:color w:val="auto"/>
                <w:spacing w:val="-34"/>
                <w:highlight w:val="none"/>
              </w:rPr>
              <w:t>：（</w:t>
            </w:r>
            <w:r>
              <w:rPr>
                <w:color w:val="auto"/>
                <w:spacing w:val="-20"/>
                <w:highlight w:val="none"/>
              </w:rPr>
              <w:t>元）</w:t>
            </w:r>
          </w:p>
        </w:tc>
      </w:tr>
      <w:tr w14:paraId="606A0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276813FC">
            <w:pPr>
              <w:rPr>
                <w:rFonts w:ascii="Arial"/>
                <w:color w:val="auto"/>
                <w:sz w:val="21"/>
                <w:highlight w:val="none"/>
              </w:rPr>
            </w:pPr>
          </w:p>
        </w:tc>
        <w:tc>
          <w:tcPr>
            <w:tcW w:w="3306" w:type="dxa"/>
            <w:vMerge w:val="continue"/>
            <w:tcBorders>
              <w:top w:val="nil"/>
            </w:tcBorders>
            <w:vAlign w:val="top"/>
          </w:tcPr>
          <w:p w14:paraId="692BCE31">
            <w:pPr>
              <w:rPr>
                <w:rFonts w:ascii="Arial"/>
                <w:color w:val="auto"/>
                <w:sz w:val="21"/>
                <w:highlight w:val="none"/>
              </w:rPr>
            </w:pPr>
          </w:p>
        </w:tc>
        <w:tc>
          <w:tcPr>
            <w:tcW w:w="1200" w:type="dxa"/>
            <w:vMerge w:val="continue"/>
            <w:tcBorders>
              <w:top w:val="nil"/>
            </w:tcBorders>
            <w:vAlign w:val="top"/>
          </w:tcPr>
          <w:p w14:paraId="600C8D5D">
            <w:pPr>
              <w:rPr>
                <w:rFonts w:ascii="Arial"/>
                <w:color w:val="auto"/>
                <w:sz w:val="21"/>
                <w:highlight w:val="none"/>
              </w:rPr>
            </w:pPr>
          </w:p>
        </w:tc>
        <w:tc>
          <w:tcPr>
            <w:tcW w:w="926" w:type="dxa"/>
            <w:vAlign w:val="top"/>
          </w:tcPr>
          <w:p w14:paraId="3432D05E">
            <w:pPr>
              <w:pStyle w:val="18"/>
              <w:spacing w:before="207" w:line="219" w:lineRule="auto"/>
              <w:ind w:left="161"/>
              <w:rPr>
                <w:color w:val="auto"/>
                <w:highlight w:val="none"/>
              </w:rPr>
            </w:pPr>
            <w:r>
              <w:rPr>
                <w:color w:val="auto"/>
                <w:spacing w:val="-3"/>
                <w:highlight w:val="none"/>
              </w:rPr>
              <w:t>暂估价</w:t>
            </w:r>
          </w:p>
        </w:tc>
        <w:tc>
          <w:tcPr>
            <w:tcW w:w="1469" w:type="dxa"/>
            <w:vAlign w:val="top"/>
          </w:tcPr>
          <w:p w14:paraId="6F55236A">
            <w:pPr>
              <w:pStyle w:val="18"/>
              <w:spacing w:before="58" w:line="298" w:lineRule="exact"/>
              <w:ind w:left="323"/>
              <w:rPr>
                <w:color w:val="auto"/>
                <w:highlight w:val="none"/>
              </w:rPr>
            </w:pPr>
            <w:r>
              <w:rPr>
                <w:color w:val="auto"/>
                <w:spacing w:val="-2"/>
                <w:position w:val="6"/>
                <w:highlight w:val="none"/>
              </w:rPr>
              <w:t>安全文明</w:t>
            </w:r>
          </w:p>
          <w:p w14:paraId="1055EAF0">
            <w:pPr>
              <w:pStyle w:val="18"/>
              <w:spacing w:before="1" w:line="208" w:lineRule="auto"/>
              <w:ind w:left="424"/>
              <w:rPr>
                <w:color w:val="auto"/>
                <w:highlight w:val="none"/>
              </w:rPr>
            </w:pPr>
            <w:r>
              <w:rPr>
                <w:color w:val="auto"/>
                <w:spacing w:val="-1"/>
                <w:highlight w:val="none"/>
              </w:rPr>
              <w:t>施工费</w:t>
            </w:r>
          </w:p>
        </w:tc>
        <w:tc>
          <w:tcPr>
            <w:tcW w:w="930" w:type="dxa"/>
            <w:vAlign w:val="top"/>
          </w:tcPr>
          <w:p w14:paraId="6D87532B">
            <w:pPr>
              <w:pStyle w:val="18"/>
              <w:spacing w:before="207" w:line="221" w:lineRule="auto"/>
              <w:ind w:left="258"/>
              <w:rPr>
                <w:color w:val="auto"/>
                <w:highlight w:val="none"/>
              </w:rPr>
            </w:pPr>
            <w:r>
              <w:rPr>
                <w:color w:val="auto"/>
                <w:spacing w:val="-2"/>
                <w:highlight w:val="none"/>
              </w:rPr>
              <w:t>规费</w:t>
            </w:r>
          </w:p>
        </w:tc>
      </w:tr>
      <w:tr w14:paraId="4018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7FD84105">
            <w:pPr>
              <w:rPr>
                <w:rFonts w:ascii="Arial"/>
                <w:color w:val="auto"/>
                <w:sz w:val="21"/>
                <w:highlight w:val="none"/>
              </w:rPr>
            </w:pPr>
          </w:p>
        </w:tc>
        <w:tc>
          <w:tcPr>
            <w:tcW w:w="3306" w:type="dxa"/>
            <w:vAlign w:val="top"/>
          </w:tcPr>
          <w:p w14:paraId="38417130">
            <w:pPr>
              <w:rPr>
                <w:rFonts w:ascii="Arial"/>
                <w:color w:val="auto"/>
                <w:sz w:val="21"/>
                <w:highlight w:val="none"/>
              </w:rPr>
            </w:pPr>
          </w:p>
        </w:tc>
        <w:tc>
          <w:tcPr>
            <w:tcW w:w="1200" w:type="dxa"/>
            <w:vAlign w:val="top"/>
          </w:tcPr>
          <w:p w14:paraId="5F0D431C">
            <w:pPr>
              <w:rPr>
                <w:rFonts w:ascii="Arial"/>
                <w:color w:val="auto"/>
                <w:sz w:val="21"/>
                <w:highlight w:val="none"/>
              </w:rPr>
            </w:pPr>
          </w:p>
        </w:tc>
        <w:tc>
          <w:tcPr>
            <w:tcW w:w="926" w:type="dxa"/>
            <w:vAlign w:val="top"/>
          </w:tcPr>
          <w:p w14:paraId="262842FE">
            <w:pPr>
              <w:rPr>
                <w:rFonts w:ascii="Arial"/>
                <w:color w:val="auto"/>
                <w:sz w:val="21"/>
                <w:highlight w:val="none"/>
              </w:rPr>
            </w:pPr>
          </w:p>
        </w:tc>
        <w:tc>
          <w:tcPr>
            <w:tcW w:w="1469" w:type="dxa"/>
            <w:vAlign w:val="top"/>
          </w:tcPr>
          <w:p w14:paraId="4C295394">
            <w:pPr>
              <w:rPr>
                <w:rFonts w:ascii="Arial"/>
                <w:color w:val="auto"/>
                <w:sz w:val="21"/>
                <w:highlight w:val="none"/>
              </w:rPr>
            </w:pPr>
          </w:p>
        </w:tc>
        <w:tc>
          <w:tcPr>
            <w:tcW w:w="930" w:type="dxa"/>
            <w:vAlign w:val="top"/>
          </w:tcPr>
          <w:p w14:paraId="00634CFF">
            <w:pPr>
              <w:rPr>
                <w:rFonts w:ascii="Arial"/>
                <w:color w:val="auto"/>
                <w:sz w:val="21"/>
                <w:highlight w:val="none"/>
              </w:rPr>
            </w:pPr>
          </w:p>
        </w:tc>
      </w:tr>
      <w:tr w14:paraId="71EB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C9FFDA5">
            <w:pPr>
              <w:rPr>
                <w:rFonts w:ascii="Arial"/>
                <w:color w:val="auto"/>
                <w:sz w:val="21"/>
                <w:highlight w:val="none"/>
              </w:rPr>
            </w:pPr>
          </w:p>
        </w:tc>
        <w:tc>
          <w:tcPr>
            <w:tcW w:w="3306" w:type="dxa"/>
            <w:vAlign w:val="top"/>
          </w:tcPr>
          <w:p w14:paraId="71B63773">
            <w:pPr>
              <w:rPr>
                <w:rFonts w:ascii="Arial"/>
                <w:color w:val="auto"/>
                <w:sz w:val="21"/>
                <w:highlight w:val="none"/>
              </w:rPr>
            </w:pPr>
          </w:p>
        </w:tc>
        <w:tc>
          <w:tcPr>
            <w:tcW w:w="1200" w:type="dxa"/>
            <w:vAlign w:val="top"/>
          </w:tcPr>
          <w:p w14:paraId="3EA239C7">
            <w:pPr>
              <w:rPr>
                <w:rFonts w:ascii="Arial"/>
                <w:color w:val="auto"/>
                <w:sz w:val="21"/>
                <w:highlight w:val="none"/>
              </w:rPr>
            </w:pPr>
          </w:p>
        </w:tc>
        <w:tc>
          <w:tcPr>
            <w:tcW w:w="926" w:type="dxa"/>
            <w:vAlign w:val="top"/>
          </w:tcPr>
          <w:p w14:paraId="675497E8">
            <w:pPr>
              <w:rPr>
                <w:rFonts w:ascii="Arial"/>
                <w:color w:val="auto"/>
                <w:sz w:val="21"/>
                <w:highlight w:val="none"/>
              </w:rPr>
            </w:pPr>
          </w:p>
        </w:tc>
        <w:tc>
          <w:tcPr>
            <w:tcW w:w="1469" w:type="dxa"/>
            <w:vAlign w:val="top"/>
          </w:tcPr>
          <w:p w14:paraId="0FE49578">
            <w:pPr>
              <w:rPr>
                <w:rFonts w:ascii="Arial"/>
                <w:color w:val="auto"/>
                <w:sz w:val="21"/>
                <w:highlight w:val="none"/>
              </w:rPr>
            </w:pPr>
          </w:p>
        </w:tc>
        <w:tc>
          <w:tcPr>
            <w:tcW w:w="930" w:type="dxa"/>
            <w:vAlign w:val="top"/>
          </w:tcPr>
          <w:p w14:paraId="7BCBB3E3">
            <w:pPr>
              <w:rPr>
                <w:rFonts w:ascii="Arial"/>
                <w:color w:val="auto"/>
                <w:sz w:val="21"/>
                <w:highlight w:val="none"/>
              </w:rPr>
            </w:pPr>
          </w:p>
        </w:tc>
      </w:tr>
      <w:tr w14:paraId="0DC08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324D3B89">
            <w:pPr>
              <w:rPr>
                <w:rFonts w:ascii="Arial"/>
                <w:color w:val="auto"/>
                <w:sz w:val="21"/>
                <w:highlight w:val="none"/>
              </w:rPr>
            </w:pPr>
          </w:p>
        </w:tc>
        <w:tc>
          <w:tcPr>
            <w:tcW w:w="3306" w:type="dxa"/>
            <w:vAlign w:val="top"/>
          </w:tcPr>
          <w:p w14:paraId="53E81CAC">
            <w:pPr>
              <w:rPr>
                <w:rFonts w:ascii="Arial"/>
                <w:color w:val="auto"/>
                <w:sz w:val="21"/>
                <w:highlight w:val="none"/>
              </w:rPr>
            </w:pPr>
          </w:p>
        </w:tc>
        <w:tc>
          <w:tcPr>
            <w:tcW w:w="1200" w:type="dxa"/>
            <w:vAlign w:val="top"/>
          </w:tcPr>
          <w:p w14:paraId="6FB67725">
            <w:pPr>
              <w:rPr>
                <w:rFonts w:ascii="Arial"/>
                <w:color w:val="auto"/>
                <w:sz w:val="21"/>
                <w:highlight w:val="none"/>
              </w:rPr>
            </w:pPr>
          </w:p>
        </w:tc>
        <w:tc>
          <w:tcPr>
            <w:tcW w:w="926" w:type="dxa"/>
            <w:vAlign w:val="top"/>
          </w:tcPr>
          <w:p w14:paraId="777A1190">
            <w:pPr>
              <w:rPr>
                <w:rFonts w:ascii="Arial"/>
                <w:color w:val="auto"/>
                <w:sz w:val="21"/>
                <w:highlight w:val="none"/>
              </w:rPr>
            </w:pPr>
          </w:p>
        </w:tc>
        <w:tc>
          <w:tcPr>
            <w:tcW w:w="1469" w:type="dxa"/>
            <w:vAlign w:val="top"/>
          </w:tcPr>
          <w:p w14:paraId="1A8B08C8">
            <w:pPr>
              <w:rPr>
                <w:rFonts w:ascii="Arial"/>
                <w:color w:val="auto"/>
                <w:sz w:val="21"/>
                <w:highlight w:val="none"/>
              </w:rPr>
            </w:pPr>
          </w:p>
        </w:tc>
        <w:tc>
          <w:tcPr>
            <w:tcW w:w="930" w:type="dxa"/>
            <w:vAlign w:val="top"/>
          </w:tcPr>
          <w:p w14:paraId="44EFA43B">
            <w:pPr>
              <w:rPr>
                <w:rFonts w:ascii="Arial"/>
                <w:color w:val="auto"/>
                <w:sz w:val="21"/>
                <w:highlight w:val="none"/>
              </w:rPr>
            </w:pPr>
          </w:p>
        </w:tc>
      </w:tr>
      <w:tr w14:paraId="001AA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B776FC6">
            <w:pPr>
              <w:rPr>
                <w:rFonts w:ascii="Arial"/>
                <w:color w:val="auto"/>
                <w:sz w:val="21"/>
                <w:highlight w:val="none"/>
              </w:rPr>
            </w:pPr>
          </w:p>
        </w:tc>
        <w:tc>
          <w:tcPr>
            <w:tcW w:w="3306" w:type="dxa"/>
            <w:vAlign w:val="top"/>
          </w:tcPr>
          <w:p w14:paraId="3D7057D9">
            <w:pPr>
              <w:rPr>
                <w:rFonts w:ascii="Arial"/>
                <w:color w:val="auto"/>
                <w:sz w:val="21"/>
                <w:highlight w:val="none"/>
              </w:rPr>
            </w:pPr>
          </w:p>
        </w:tc>
        <w:tc>
          <w:tcPr>
            <w:tcW w:w="1200" w:type="dxa"/>
            <w:vAlign w:val="top"/>
          </w:tcPr>
          <w:p w14:paraId="474EB7D0">
            <w:pPr>
              <w:rPr>
                <w:rFonts w:ascii="Arial"/>
                <w:color w:val="auto"/>
                <w:sz w:val="21"/>
                <w:highlight w:val="none"/>
              </w:rPr>
            </w:pPr>
          </w:p>
        </w:tc>
        <w:tc>
          <w:tcPr>
            <w:tcW w:w="926" w:type="dxa"/>
            <w:vAlign w:val="top"/>
          </w:tcPr>
          <w:p w14:paraId="3C220B75">
            <w:pPr>
              <w:rPr>
                <w:rFonts w:ascii="Arial"/>
                <w:color w:val="auto"/>
                <w:sz w:val="21"/>
                <w:highlight w:val="none"/>
              </w:rPr>
            </w:pPr>
          </w:p>
        </w:tc>
        <w:tc>
          <w:tcPr>
            <w:tcW w:w="1469" w:type="dxa"/>
            <w:vAlign w:val="top"/>
          </w:tcPr>
          <w:p w14:paraId="7EF3F578">
            <w:pPr>
              <w:rPr>
                <w:rFonts w:ascii="Arial"/>
                <w:color w:val="auto"/>
                <w:sz w:val="21"/>
                <w:highlight w:val="none"/>
              </w:rPr>
            </w:pPr>
          </w:p>
        </w:tc>
        <w:tc>
          <w:tcPr>
            <w:tcW w:w="930" w:type="dxa"/>
            <w:vAlign w:val="top"/>
          </w:tcPr>
          <w:p w14:paraId="4EA1A713">
            <w:pPr>
              <w:rPr>
                <w:rFonts w:ascii="Arial"/>
                <w:color w:val="auto"/>
                <w:sz w:val="21"/>
                <w:highlight w:val="none"/>
              </w:rPr>
            </w:pPr>
          </w:p>
        </w:tc>
      </w:tr>
      <w:tr w14:paraId="32A24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9F1CBC7">
            <w:pPr>
              <w:rPr>
                <w:rFonts w:ascii="Arial"/>
                <w:color w:val="auto"/>
                <w:sz w:val="21"/>
                <w:highlight w:val="none"/>
              </w:rPr>
            </w:pPr>
          </w:p>
        </w:tc>
        <w:tc>
          <w:tcPr>
            <w:tcW w:w="3306" w:type="dxa"/>
            <w:vAlign w:val="top"/>
          </w:tcPr>
          <w:p w14:paraId="3CAB2FE7">
            <w:pPr>
              <w:rPr>
                <w:rFonts w:ascii="Arial"/>
                <w:color w:val="auto"/>
                <w:sz w:val="21"/>
                <w:highlight w:val="none"/>
              </w:rPr>
            </w:pPr>
          </w:p>
        </w:tc>
        <w:tc>
          <w:tcPr>
            <w:tcW w:w="1200" w:type="dxa"/>
            <w:vAlign w:val="top"/>
          </w:tcPr>
          <w:p w14:paraId="04EC60C1">
            <w:pPr>
              <w:rPr>
                <w:rFonts w:ascii="Arial"/>
                <w:color w:val="auto"/>
                <w:sz w:val="21"/>
                <w:highlight w:val="none"/>
              </w:rPr>
            </w:pPr>
          </w:p>
        </w:tc>
        <w:tc>
          <w:tcPr>
            <w:tcW w:w="926" w:type="dxa"/>
            <w:vAlign w:val="top"/>
          </w:tcPr>
          <w:p w14:paraId="7468050F">
            <w:pPr>
              <w:rPr>
                <w:rFonts w:ascii="Arial"/>
                <w:color w:val="auto"/>
                <w:sz w:val="21"/>
                <w:highlight w:val="none"/>
              </w:rPr>
            </w:pPr>
          </w:p>
        </w:tc>
        <w:tc>
          <w:tcPr>
            <w:tcW w:w="1469" w:type="dxa"/>
            <w:vAlign w:val="top"/>
          </w:tcPr>
          <w:p w14:paraId="32496CC2">
            <w:pPr>
              <w:rPr>
                <w:rFonts w:ascii="Arial"/>
                <w:color w:val="auto"/>
                <w:sz w:val="21"/>
                <w:highlight w:val="none"/>
              </w:rPr>
            </w:pPr>
          </w:p>
        </w:tc>
        <w:tc>
          <w:tcPr>
            <w:tcW w:w="930" w:type="dxa"/>
            <w:vAlign w:val="top"/>
          </w:tcPr>
          <w:p w14:paraId="5E601585">
            <w:pPr>
              <w:rPr>
                <w:rFonts w:ascii="Arial"/>
                <w:color w:val="auto"/>
                <w:sz w:val="21"/>
                <w:highlight w:val="none"/>
              </w:rPr>
            </w:pPr>
          </w:p>
        </w:tc>
      </w:tr>
      <w:tr w14:paraId="2C563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7576D227">
            <w:pPr>
              <w:rPr>
                <w:rFonts w:ascii="Arial"/>
                <w:color w:val="auto"/>
                <w:sz w:val="21"/>
                <w:highlight w:val="none"/>
              </w:rPr>
            </w:pPr>
          </w:p>
        </w:tc>
        <w:tc>
          <w:tcPr>
            <w:tcW w:w="3306" w:type="dxa"/>
            <w:vAlign w:val="top"/>
          </w:tcPr>
          <w:p w14:paraId="578C7BC8">
            <w:pPr>
              <w:rPr>
                <w:rFonts w:ascii="Arial"/>
                <w:color w:val="auto"/>
                <w:sz w:val="21"/>
                <w:highlight w:val="none"/>
              </w:rPr>
            </w:pPr>
          </w:p>
        </w:tc>
        <w:tc>
          <w:tcPr>
            <w:tcW w:w="1200" w:type="dxa"/>
            <w:vAlign w:val="top"/>
          </w:tcPr>
          <w:p w14:paraId="7A763F03">
            <w:pPr>
              <w:rPr>
                <w:rFonts w:ascii="Arial"/>
                <w:color w:val="auto"/>
                <w:sz w:val="21"/>
                <w:highlight w:val="none"/>
              </w:rPr>
            </w:pPr>
          </w:p>
        </w:tc>
        <w:tc>
          <w:tcPr>
            <w:tcW w:w="926" w:type="dxa"/>
            <w:vAlign w:val="top"/>
          </w:tcPr>
          <w:p w14:paraId="354668ED">
            <w:pPr>
              <w:rPr>
                <w:rFonts w:ascii="Arial"/>
                <w:color w:val="auto"/>
                <w:sz w:val="21"/>
                <w:highlight w:val="none"/>
              </w:rPr>
            </w:pPr>
          </w:p>
        </w:tc>
        <w:tc>
          <w:tcPr>
            <w:tcW w:w="1469" w:type="dxa"/>
            <w:vAlign w:val="top"/>
          </w:tcPr>
          <w:p w14:paraId="7494D88A">
            <w:pPr>
              <w:rPr>
                <w:rFonts w:ascii="Arial"/>
                <w:color w:val="auto"/>
                <w:sz w:val="21"/>
                <w:highlight w:val="none"/>
              </w:rPr>
            </w:pPr>
          </w:p>
        </w:tc>
        <w:tc>
          <w:tcPr>
            <w:tcW w:w="930" w:type="dxa"/>
            <w:vAlign w:val="top"/>
          </w:tcPr>
          <w:p w14:paraId="19BA0FF5">
            <w:pPr>
              <w:rPr>
                <w:rFonts w:ascii="Arial"/>
                <w:color w:val="auto"/>
                <w:sz w:val="21"/>
                <w:highlight w:val="none"/>
              </w:rPr>
            </w:pPr>
          </w:p>
        </w:tc>
      </w:tr>
      <w:tr w14:paraId="133A6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A2ACB0F">
            <w:pPr>
              <w:rPr>
                <w:rFonts w:ascii="Arial"/>
                <w:color w:val="auto"/>
                <w:sz w:val="21"/>
                <w:highlight w:val="none"/>
              </w:rPr>
            </w:pPr>
          </w:p>
        </w:tc>
        <w:tc>
          <w:tcPr>
            <w:tcW w:w="3306" w:type="dxa"/>
            <w:vAlign w:val="top"/>
          </w:tcPr>
          <w:p w14:paraId="4F77A6D9">
            <w:pPr>
              <w:rPr>
                <w:rFonts w:ascii="Arial"/>
                <w:color w:val="auto"/>
                <w:sz w:val="21"/>
                <w:highlight w:val="none"/>
              </w:rPr>
            </w:pPr>
          </w:p>
        </w:tc>
        <w:tc>
          <w:tcPr>
            <w:tcW w:w="1200" w:type="dxa"/>
            <w:vAlign w:val="top"/>
          </w:tcPr>
          <w:p w14:paraId="07756AF2">
            <w:pPr>
              <w:rPr>
                <w:rFonts w:ascii="Arial"/>
                <w:color w:val="auto"/>
                <w:sz w:val="21"/>
                <w:highlight w:val="none"/>
              </w:rPr>
            </w:pPr>
          </w:p>
        </w:tc>
        <w:tc>
          <w:tcPr>
            <w:tcW w:w="926" w:type="dxa"/>
            <w:vAlign w:val="top"/>
          </w:tcPr>
          <w:p w14:paraId="7C8E8495">
            <w:pPr>
              <w:rPr>
                <w:rFonts w:ascii="Arial"/>
                <w:color w:val="auto"/>
                <w:sz w:val="21"/>
                <w:highlight w:val="none"/>
              </w:rPr>
            </w:pPr>
          </w:p>
        </w:tc>
        <w:tc>
          <w:tcPr>
            <w:tcW w:w="1469" w:type="dxa"/>
            <w:vAlign w:val="top"/>
          </w:tcPr>
          <w:p w14:paraId="2300DB82">
            <w:pPr>
              <w:rPr>
                <w:rFonts w:ascii="Arial"/>
                <w:color w:val="auto"/>
                <w:sz w:val="21"/>
                <w:highlight w:val="none"/>
              </w:rPr>
            </w:pPr>
          </w:p>
        </w:tc>
        <w:tc>
          <w:tcPr>
            <w:tcW w:w="930" w:type="dxa"/>
            <w:vAlign w:val="top"/>
          </w:tcPr>
          <w:p w14:paraId="3FBA52FC">
            <w:pPr>
              <w:rPr>
                <w:rFonts w:ascii="Arial"/>
                <w:color w:val="auto"/>
                <w:sz w:val="21"/>
                <w:highlight w:val="none"/>
              </w:rPr>
            </w:pPr>
          </w:p>
        </w:tc>
      </w:tr>
      <w:tr w14:paraId="003C4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87618E4">
            <w:pPr>
              <w:rPr>
                <w:rFonts w:ascii="Arial"/>
                <w:color w:val="auto"/>
                <w:sz w:val="21"/>
                <w:highlight w:val="none"/>
              </w:rPr>
            </w:pPr>
          </w:p>
        </w:tc>
        <w:tc>
          <w:tcPr>
            <w:tcW w:w="3306" w:type="dxa"/>
            <w:vAlign w:val="top"/>
          </w:tcPr>
          <w:p w14:paraId="2F0126DF">
            <w:pPr>
              <w:rPr>
                <w:rFonts w:ascii="Arial"/>
                <w:color w:val="auto"/>
                <w:sz w:val="21"/>
                <w:highlight w:val="none"/>
              </w:rPr>
            </w:pPr>
          </w:p>
        </w:tc>
        <w:tc>
          <w:tcPr>
            <w:tcW w:w="1200" w:type="dxa"/>
            <w:vAlign w:val="top"/>
          </w:tcPr>
          <w:p w14:paraId="37696217">
            <w:pPr>
              <w:rPr>
                <w:rFonts w:ascii="Arial"/>
                <w:color w:val="auto"/>
                <w:sz w:val="21"/>
                <w:highlight w:val="none"/>
              </w:rPr>
            </w:pPr>
          </w:p>
        </w:tc>
        <w:tc>
          <w:tcPr>
            <w:tcW w:w="926" w:type="dxa"/>
            <w:vAlign w:val="top"/>
          </w:tcPr>
          <w:p w14:paraId="640DBB4A">
            <w:pPr>
              <w:rPr>
                <w:rFonts w:ascii="Arial"/>
                <w:color w:val="auto"/>
                <w:sz w:val="21"/>
                <w:highlight w:val="none"/>
              </w:rPr>
            </w:pPr>
          </w:p>
        </w:tc>
        <w:tc>
          <w:tcPr>
            <w:tcW w:w="1469" w:type="dxa"/>
            <w:vAlign w:val="top"/>
          </w:tcPr>
          <w:p w14:paraId="30702E40">
            <w:pPr>
              <w:rPr>
                <w:rFonts w:ascii="Arial"/>
                <w:color w:val="auto"/>
                <w:sz w:val="21"/>
                <w:highlight w:val="none"/>
              </w:rPr>
            </w:pPr>
          </w:p>
        </w:tc>
        <w:tc>
          <w:tcPr>
            <w:tcW w:w="930" w:type="dxa"/>
            <w:vAlign w:val="top"/>
          </w:tcPr>
          <w:p w14:paraId="0F24C2BC">
            <w:pPr>
              <w:rPr>
                <w:rFonts w:ascii="Arial"/>
                <w:color w:val="auto"/>
                <w:sz w:val="21"/>
                <w:highlight w:val="none"/>
              </w:rPr>
            </w:pPr>
          </w:p>
        </w:tc>
      </w:tr>
      <w:tr w14:paraId="06789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76E9E39">
            <w:pPr>
              <w:rPr>
                <w:rFonts w:ascii="Arial"/>
                <w:color w:val="auto"/>
                <w:sz w:val="21"/>
                <w:highlight w:val="none"/>
              </w:rPr>
            </w:pPr>
          </w:p>
        </w:tc>
        <w:tc>
          <w:tcPr>
            <w:tcW w:w="3306" w:type="dxa"/>
            <w:vAlign w:val="top"/>
          </w:tcPr>
          <w:p w14:paraId="065DF601">
            <w:pPr>
              <w:rPr>
                <w:rFonts w:ascii="Arial"/>
                <w:color w:val="auto"/>
                <w:sz w:val="21"/>
                <w:highlight w:val="none"/>
              </w:rPr>
            </w:pPr>
          </w:p>
        </w:tc>
        <w:tc>
          <w:tcPr>
            <w:tcW w:w="1200" w:type="dxa"/>
            <w:vAlign w:val="top"/>
          </w:tcPr>
          <w:p w14:paraId="14D449D2">
            <w:pPr>
              <w:rPr>
                <w:rFonts w:ascii="Arial"/>
                <w:color w:val="auto"/>
                <w:sz w:val="21"/>
                <w:highlight w:val="none"/>
              </w:rPr>
            </w:pPr>
          </w:p>
        </w:tc>
        <w:tc>
          <w:tcPr>
            <w:tcW w:w="926" w:type="dxa"/>
            <w:vAlign w:val="top"/>
          </w:tcPr>
          <w:p w14:paraId="51DEE4BC">
            <w:pPr>
              <w:rPr>
                <w:rFonts w:ascii="Arial"/>
                <w:color w:val="auto"/>
                <w:sz w:val="21"/>
                <w:highlight w:val="none"/>
              </w:rPr>
            </w:pPr>
          </w:p>
        </w:tc>
        <w:tc>
          <w:tcPr>
            <w:tcW w:w="1469" w:type="dxa"/>
            <w:vAlign w:val="top"/>
          </w:tcPr>
          <w:p w14:paraId="0F72D131">
            <w:pPr>
              <w:rPr>
                <w:rFonts w:ascii="Arial"/>
                <w:color w:val="auto"/>
                <w:sz w:val="21"/>
                <w:highlight w:val="none"/>
              </w:rPr>
            </w:pPr>
          </w:p>
        </w:tc>
        <w:tc>
          <w:tcPr>
            <w:tcW w:w="930" w:type="dxa"/>
            <w:vAlign w:val="top"/>
          </w:tcPr>
          <w:p w14:paraId="524B85FF">
            <w:pPr>
              <w:rPr>
                <w:rFonts w:ascii="Arial"/>
                <w:color w:val="auto"/>
                <w:sz w:val="21"/>
                <w:highlight w:val="none"/>
              </w:rPr>
            </w:pPr>
          </w:p>
        </w:tc>
      </w:tr>
      <w:tr w14:paraId="17C9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1F31DF1">
            <w:pPr>
              <w:rPr>
                <w:rFonts w:ascii="Arial"/>
                <w:color w:val="auto"/>
                <w:sz w:val="21"/>
                <w:highlight w:val="none"/>
              </w:rPr>
            </w:pPr>
          </w:p>
        </w:tc>
        <w:tc>
          <w:tcPr>
            <w:tcW w:w="3306" w:type="dxa"/>
            <w:vAlign w:val="top"/>
          </w:tcPr>
          <w:p w14:paraId="270E6E81">
            <w:pPr>
              <w:rPr>
                <w:rFonts w:ascii="Arial"/>
                <w:color w:val="auto"/>
                <w:sz w:val="21"/>
                <w:highlight w:val="none"/>
              </w:rPr>
            </w:pPr>
          </w:p>
        </w:tc>
        <w:tc>
          <w:tcPr>
            <w:tcW w:w="1200" w:type="dxa"/>
            <w:vAlign w:val="top"/>
          </w:tcPr>
          <w:p w14:paraId="4566D1BB">
            <w:pPr>
              <w:rPr>
                <w:rFonts w:ascii="Arial"/>
                <w:color w:val="auto"/>
                <w:sz w:val="21"/>
                <w:highlight w:val="none"/>
              </w:rPr>
            </w:pPr>
          </w:p>
        </w:tc>
        <w:tc>
          <w:tcPr>
            <w:tcW w:w="926" w:type="dxa"/>
            <w:vAlign w:val="top"/>
          </w:tcPr>
          <w:p w14:paraId="7BA131C1">
            <w:pPr>
              <w:rPr>
                <w:rFonts w:ascii="Arial"/>
                <w:color w:val="auto"/>
                <w:sz w:val="21"/>
                <w:highlight w:val="none"/>
              </w:rPr>
            </w:pPr>
          </w:p>
        </w:tc>
        <w:tc>
          <w:tcPr>
            <w:tcW w:w="1469" w:type="dxa"/>
            <w:vAlign w:val="top"/>
          </w:tcPr>
          <w:p w14:paraId="130C3590">
            <w:pPr>
              <w:rPr>
                <w:rFonts w:ascii="Arial"/>
                <w:color w:val="auto"/>
                <w:sz w:val="21"/>
                <w:highlight w:val="none"/>
              </w:rPr>
            </w:pPr>
          </w:p>
        </w:tc>
        <w:tc>
          <w:tcPr>
            <w:tcW w:w="930" w:type="dxa"/>
            <w:vAlign w:val="top"/>
          </w:tcPr>
          <w:p w14:paraId="334BF97E">
            <w:pPr>
              <w:rPr>
                <w:rFonts w:ascii="Arial"/>
                <w:color w:val="auto"/>
                <w:sz w:val="21"/>
                <w:highlight w:val="none"/>
              </w:rPr>
            </w:pPr>
          </w:p>
        </w:tc>
      </w:tr>
      <w:tr w14:paraId="6705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4A16CDA">
            <w:pPr>
              <w:rPr>
                <w:rFonts w:ascii="Arial"/>
                <w:color w:val="auto"/>
                <w:sz w:val="21"/>
                <w:highlight w:val="none"/>
              </w:rPr>
            </w:pPr>
          </w:p>
        </w:tc>
        <w:tc>
          <w:tcPr>
            <w:tcW w:w="3306" w:type="dxa"/>
            <w:vAlign w:val="top"/>
          </w:tcPr>
          <w:p w14:paraId="6DF98306">
            <w:pPr>
              <w:rPr>
                <w:rFonts w:ascii="Arial"/>
                <w:color w:val="auto"/>
                <w:sz w:val="21"/>
                <w:highlight w:val="none"/>
              </w:rPr>
            </w:pPr>
          </w:p>
        </w:tc>
        <w:tc>
          <w:tcPr>
            <w:tcW w:w="1200" w:type="dxa"/>
            <w:vAlign w:val="top"/>
          </w:tcPr>
          <w:p w14:paraId="4067A6CE">
            <w:pPr>
              <w:rPr>
                <w:rFonts w:ascii="Arial"/>
                <w:color w:val="auto"/>
                <w:sz w:val="21"/>
                <w:highlight w:val="none"/>
              </w:rPr>
            </w:pPr>
          </w:p>
        </w:tc>
        <w:tc>
          <w:tcPr>
            <w:tcW w:w="926" w:type="dxa"/>
            <w:vAlign w:val="top"/>
          </w:tcPr>
          <w:p w14:paraId="54815EB1">
            <w:pPr>
              <w:rPr>
                <w:rFonts w:ascii="Arial"/>
                <w:color w:val="auto"/>
                <w:sz w:val="21"/>
                <w:highlight w:val="none"/>
              </w:rPr>
            </w:pPr>
          </w:p>
        </w:tc>
        <w:tc>
          <w:tcPr>
            <w:tcW w:w="1469" w:type="dxa"/>
            <w:vAlign w:val="top"/>
          </w:tcPr>
          <w:p w14:paraId="0514DC72">
            <w:pPr>
              <w:rPr>
                <w:rFonts w:ascii="Arial"/>
                <w:color w:val="auto"/>
                <w:sz w:val="21"/>
                <w:highlight w:val="none"/>
              </w:rPr>
            </w:pPr>
          </w:p>
        </w:tc>
        <w:tc>
          <w:tcPr>
            <w:tcW w:w="930" w:type="dxa"/>
            <w:vAlign w:val="top"/>
          </w:tcPr>
          <w:p w14:paraId="22625AE7">
            <w:pPr>
              <w:rPr>
                <w:rFonts w:ascii="Arial"/>
                <w:color w:val="auto"/>
                <w:sz w:val="21"/>
                <w:highlight w:val="none"/>
              </w:rPr>
            </w:pPr>
          </w:p>
        </w:tc>
      </w:tr>
      <w:tr w14:paraId="2EDBD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4153663">
            <w:pPr>
              <w:rPr>
                <w:rFonts w:ascii="Arial"/>
                <w:color w:val="auto"/>
                <w:sz w:val="21"/>
                <w:highlight w:val="none"/>
              </w:rPr>
            </w:pPr>
          </w:p>
        </w:tc>
        <w:tc>
          <w:tcPr>
            <w:tcW w:w="3306" w:type="dxa"/>
            <w:vAlign w:val="top"/>
          </w:tcPr>
          <w:p w14:paraId="7C9C06F6">
            <w:pPr>
              <w:rPr>
                <w:rFonts w:ascii="Arial"/>
                <w:color w:val="auto"/>
                <w:sz w:val="21"/>
                <w:highlight w:val="none"/>
              </w:rPr>
            </w:pPr>
          </w:p>
        </w:tc>
        <w:tc>
          <w:tcPr>
            <w:tcW w:w="1200" w:type="dxa"/>
            <w:vAlign w:val="top"/>
          </w:tcPr>
          <w:p w14:paraId="6C4E7D29">
            <w:pPr>
              <w:rPr>
                <w:rFonts w:ascii="Arial"/>
                <w:color w:val="auto"/>
                <w:sz w:val="21"/>
                <w:highlight w:val="none"/>
              </w:rPr>
            </w:pPr>
          </w:p>
        </w:tc>
        <w:tc>
          <w:tcPr>
            <w:tcW w:w="926" w:type="dxa"/>
            <w:vAlign w:val="top"/>
          </w:tcPr>
          <w:p w14:paraId="3125C532">
            <w:pPr>
              <w:rPr>
                <w:rFonts w:ascii="Arial"/>
                <w:color w:val="auto"/>
                <w:sz w:val="21"/>
                <w:highlight w:val="none"/>
              </w:rPr>
            </w:pPr>
          </w:p>
        </w:tc>
        <w:tc>
          <w:tcPr>
            <w:tcW w:w="1469" w:type="dxa"/>
            <w:vAlign w:val="top"/>
          </w:tcPr>
          <w:p w14:paraId="43BD88C9">
            <w:pPr>
              <w:rPr>
                <w:rFonts w:ascii="Arial"/>
                <w:color w:val="auto"/>
                <w:sz w:val="21"/>
                <w:highlight w:val="none"/>
              </w:rPr>
            </w:pPr>
          </w:p>
        </w:tc>
        <w:tc>
          <w:tcPr>
            <w:tcW w:w="930" w:type="dxa"/>
            <w:vAlign w:val="top"/>
          </w:tcPr>
          <w:p w14:paraId="18002E36">
            <w:pPr>
              <w:rPr>
                <w:rFonts w:ascii="Arial"/>
                <w:color w:val="auto"/>
                <w:sz w:val="21"/>
                <w:highlight w:val="none"/>
              </w:rPr>
            </w:pPr>
          </w:p>
        </w:tc>
      </w:tr>
      <w:tr w14:paraId="75CC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A4B5E75">
            <w:pPr>
              <w:rPr>
                <w:rFonts w:ascii="Arial"/>
                <w:color w:val="auto"/>
                <w:sz w:val="21"/>
                <w:highlight w:val="none"/>
              </w:rPr>
            </w:pPr>
          </w:p>
        </w:tc>
        <w:tc>
          <w:tcPr>
            <w:tcW w:w="3306" w:type="dxa"/>
            <w:vAlign w:val="top"/>
          </w:tcPr>
          <w:p w14:paraId="74B53532">
            <w:pPr>
              <w:rPr>
                <w:rFonts w:ascii="Arial"/>
                <w:color w:val="auto"/>
                <w:sz w:val="21"/>
                <w:highlight w:val="none"/>
              </w:rPr>
            </w:pPr>
          </w:p>
        </w:tc>
        <w:tc>
          <w:tcPr>
            <w:tcW w:w="1200" w:type="dxa"/>
            <w:vAlign w:val="top"/>
          </w:tcPr>
          <w:p w14:paraId="7476BCB8">
            <w:pPr>
              <w:rPr>
                <w:rFonts w:ascii="Arial"/>
                <w:color w:val="auto"/>
                <w:sz w:val="21"/>
                <w:highlight w:val="none"/>
              </w:rPr>
            </w:pPr>
          </w:p>
        </w:tc>
        <w:tc>
          <w:tcPr>
            <w:tcW w:w="926" w:type="dxa"/>
            <w:vAlign w:val="top"/>
          </w:tcPr>
          <w:p w14:paraId="095BB769">
            <w:pPr>
              <w:rPr>
                <w:rFonts w:ascii="Arial"/>
                <w:color w:val="auto"/>
                <w:sz w:val="21"/>
                <w:highlight w:val="none"/>
              </w:rPr>
            </w:pPr>
          </w:p>
        </w:tc>
        <w:tc>
          <w:tcPr>
            <w:tcW w:w="1469" w:type="dxa"/>
            <w:vAlign w:val="top"/>
          </w:tcPr>
          <w:p w14:paraId="389FB63A">
            <w:pPr>
              <w:rPr>
                <w:rFonts w:ascii="Arial"/>
                <w:color w:val="auto"/>
                <w:sz w:val="21"/>
                <w:highlight w:val="none"/>
              </w:rPr>
            </w:pPr>
          </w:p>
        </w:tc>
        <w:tc>
          <w:tcPr>
            <w:tcW w:w="930" w:type="dxa"/>
            <w:vAlign w:val="top"/>
          </w:tcPr>
          <w:p w14:paraId="048728C9">
            <w:pPr>
              <w:rPr>
                <w:rFonts w:ascii="Arial"/>
                <w:color w:val="auto"/>
                <w:sz w:val="21"/>
                <w:highlight w:val="none"/>
              </w:rPr>
            </w:pPr>
          </w:p>
        </w:tc>
      </w:tr>
      <w:tr w14:paraId="358FD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3FA04B69">
            <w:pPr>
              <w:rPr>
                <w:rFonts w:ascii="Arial"/>
                <w:color w:val="auto"/>
                <w:sz w:val="21"/>
                <w:highlight w:val="none"/>
              </w:rPr>
            </w:pPr>
          </w:p>
        </w:tc>
        <w:tc>
          <w:tcPr>
            <w:tcW w:w="3306" w:type="dxa"/>
            <w:vAlign w:val="top"/>
          </w:tcPr>
          <w:p w14:paraId="5999FB3E">
            <w:pPr>
              <w:rPr>
                <w:rFonts w:ascii="Arial"/>
                <w:color w:val="auto"/>
                <w:sz w:val="21"/>
                <w:highlight w:val="none"/>
              </w:rPr>
            </w:pPr>
          </w:p>
        </w:tc>
        <w:tc>
          <w:tcPr>
            <w:tcW w:w="1200" w:type="dxa"/>
            <w:vAlign w:val="top"/>
          </w:tcPr>
          <w:p w14:paraId="1F16C2E3">
            <w:pPr>
              <w:rPr>
                <w:rFonts w:ascii="Arial"/>
                <w:color w:val="auto"/>
                <w:sz w:val="21"/>
                <w:highlight w:val="none"/>
              </w:rPr>
            </w:pPr>
          </w:p>
        </w:tc>
        <w:tc>
          <w:tcPr>
            <w:tcW w:w="926" w:type="dxa"/>
            <w:vAlign w:val="top"/>
          </w:tcPr>
          <w:p w14:paraId="31259C81">
            <w:pPr>
              <w:rPr>
                <w:rFonts w:ascii="Arial"/>
                <w:color w:val="auto"/>
                <w:sz w:val="21"/>
                <w:highlight w:val="none"/>
              </w:rPr>
            </w:pPr>
          </w:p>
        </w:tc>
        <w:tc>
          <w:tcPr>
            <w:tcW w:w="1469" w:type="dxa"/>
            <w:vAlign w:val="top"/>
          </w:tcPr>
          <w:p w14:paraId="06EABE45">
            <w:pPr>
              <w:rPr>
                <w:rFonts w:ascii="Arial"/>
                <w:color w:val="auto"/>
                <w:sz w:val="21"/>
                <w:highlight w:val="none"/>
              </w:rPr>
            </w:pPr>
          </w:p>
        </w:tc>
        <w:tc>
          <w:tcPr>
            <w:tcW w:w="930" w:type="dxa"/>
            <w:vAlign w:val="top"/>
          </w:tcPr>
          <w:p w14:paraId="322639A9">
            <w:pPr>
              <w:rPr>
                <w:rFonts w:ascii="Arial"/>
                <w:color w:val="auto"/>
                <w:sz w:val="21"/>
                <w:highlight w:val="none"/>
              </w:rPr>
            </w:pPr>
          </w:p>
        </w:tc>
      </w:tr>
      <w:tr w14:paraId="1D351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35F55985">
            <w:pPr>
              <w:rPr>
                <w:rFonts w:ascii="Arial"/>
                <w:color w:val="auto"/>
                <w:sz w:val="21"/>
                <w:highlight w:val="none"/>
              </w:rPr>
            </w:pPr>
          </w:p>
        </w:tc>
        <w:tc>
          <w:tcPr>
            <w:tcW w:w="3306" w:type="dxa"/>
            <w:vAlign w:val="top"/>
          </w:tcPr>
          <w:p w14:paraId="6F27C27A">
            <w:pPr>
              <w:rPr>
                <w:rFonts w:ascii="Arial"/>
                <w:color w:val="auto"/>
                <w:sz w:val="21"/>
                <w:highlight w:val="none"/>
              </w:rPr>
            </w:pPr>
          </w:p>
        </w:tc>
        <w:tc>
          <w:tcPr>
            <w:tcW w:w="1200" w:type="dxa"/>
            <w:vAlign w:val="top"/>
          </w:tcPr>
          <w:p w14:paraId="6B9B3293">
            <w:pPr>
              <w:rPr>
                <w:rFonts w:ascii="Arial"/>
                <w:color w:val="auto"/>
                <w:sz w:val="21"/>
                <w:highlight w:val="none"/>
              </w:rPr>
            </w:pPr>
          </w:p>
        </w:tc>
        <w:tc>
          <w:tcPr>
            <w:tcW w:w="926" w:type="dxa"/>
            <w:vAlign w:val="top"/>
          </w:tcPr>
          <w:p w14:paraId="0C1C70F4">
            <w:pPr>
              <w:rPr>
                <w:rFonts w:ascii="Arial"/>
                <w:color w:val="auto"/>
                <w:sz w:val="21"/>
                <w:highlight w:val="none"/>
              </w:rPr>
            </w:pPr>
          </w:p>
        </w:tc>
        <w:tc>
          <w:tcPr>
            <w:tcW w:w="1469" w:type="dxa"/>
            <w:vAlign w:val="top"/>
          </w:tcPr>
          <w:p w14:paraId="2F5C14E5">
            <w:pPr>
              <w:rPr>
                <w:rFonts w:ascii="Arial"/>
                <w:color w:val="auto"/>
                <w:sz w:val="21"/>
                <w:highlight w:val="none"/>
              </w:rPr>
            </w:pPr>
          </w:p>
        </w:tc>
        <w:tc>
          <w:tcPr>
            <w:tcW w:w="930" w:type="dxa"/>
            <w:vAlign w:val="top"/>
          </w:tcPr>
          <w:p w14:paraId="33B81D91">
            <w:pPr>
              <w:rPr>
                <w:rFonts w:ascii="Arial"/>
                <w:color w:val="auto"/>
                <w:sz w:val="21"/>
                <w:highlight w:val="none"/>
              </w:rPr>
            </w:pPr>
          </w:p>
        </w:tc>
      </w:tr>
      <w:tr w14:paraId="62878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79E3ACF">
            <w:pPr>
              <w:rPr>
                <w:rFonts w:ascii="Arial"/>
                <w:color w:val="auto"/>
                <w:sz w:val="21"/>
                <w:highlight w:val="none"/>
              </w:rPr>
            </w:pPr>
          </w:p>
        </w:tc>
        <w:tc>
          <w:tcPr>
            <w:tcW w:w="3306" w:type="dxa"/>
            <w:vAlign w:val="top"/>
          </w:tcPr>
          <w:p w14:paraId="2DEE94FC">
            <w:pPr>
              <w:rPr>
                <w:rFonts w:ascii="Arial"/>
                <w:color w:val="auto"/>
                <w:sz w:val="21"/>
                <w:highlight w:val="none"/>
              </w:rPr>
            </w:pPr>
          </w:p>
        </w:tc>
        <w:tc>
          <w:tcPr>
            <w:tcW w:w="1200" w:type="dxa"/>
            <w:vAlign w:val="top"/>
          </w:tcPr>
          <w:p w14:paraId="6F220F43">
            <w:pPr>
              <w:rPr>
                <w:rFonts w:ascii="Arial"/>
                <w:color w:val="auto"/>
                <w:sz w:val="21"/>
                <w:highlight w:val="none"/>
              </w:rPr>
            </w:pPr>
          </w:p>
        </w:tc>
        <w:tc>
          <w:tcPr>
            <w:tcW w:w="926" w:type="dxa"/>
            <w:vAlign w:val="top"/>
          </w:tcPr>
          <w:p w14:paraId="25099289">
            <w:pPr>
              <w:rPr>
                <w:rFonts w:ascii="Arial"/>
                <w:color w:val="auto"/>
                <w:sz w:val="21"/>
                <w:highlight w:val="none"/>
              </w:rPr>
            </w:pPr>
          </w:p>
        </w:tc>
        <w:tc>
          <w:tcPr>
            <w:tcW w:w="1469" w:type="dxa"/>
            <w:vAlign w:val="top"/>
          </w:tcPr>
          <w:p w14:paraId="112FC661">
            <w:pPr>
              <w:rPr>
                <w:rFonts w:ascii="Arial"/>
                <w:color w:val="auto"/>
                <w:sz w:val="21"/>
                <w:highlight w:val="none"/>
              </w:rPr>
            </w:pPr>
          </w:p>
        </w:tc>
        <w:tc>
          <w:tcPr>
            <w:tcW w:w="930" w:type="dxa"/>
            <w:vAlign w:val="top"/>
          </w:tcPr>
          <w:p w14:paraId="5DCCBA8C">
            <w:pPr>
              <w:rPr>
                <w:rFonts w:ascii="Arial"/>
                <w:color w:val="auto"/>
                <w:sz w:val="21"/>
                <w:highlight w:val="none"/>
              </w:rPr>
            </w:pPr>
          </w:p>
        </w:tc>
      </w:tr>
      <w:tr w14:paraId="3033D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B74F297">
            <w:pPr>
              <w:rPr>
                <w:rFonts w:ascii="Arial"/>
                <w:color w:val="auto"/>
                <w:sz w:val="21"/>
                <w:highlight w:val="none"/>
              </w:rPr>
            </w:pPr>
          </w:p>
        </w:tc>
        <w:tc>
          <w:tcPr>
            <w:tcW w:w="3306" w:type="dxa"/>
            <w:vAlign w:val="top"/>
          </w:tcPr>
          <w:p w14:paraId="60170003">
            <w:pPr>
              <w:rPr>
                <w:rFonts w:ascii="Arial"/>
                <w:color w:val="auto"/>
                <w:sz w:val="21"/>
                <w:highlight w:val="none"/>
              </w:rPr>
            </w:pPr>
          </w:p>
        </w:tc>
        <w:tc>
          <w:tcPr>
            <w:tcW w:w="1200" w:type="dxa"/>
            <w:vAlign w:val="top"/>
          </w:tcPr>
          <w:p w14:paraId="338DB5B7">
            <w:pPr>
              <w:rPr>
                <w:rFonts w:ascii="Arial"/>
                <w:color w:val="auto"/>
                <w:sz w:val="21"/>
                <w:highlight w:val="none"/>
              </w:rPr>
            </w:pPr>
          </w:p>
        </w:tc>
        <w:tc>
          <w:tcPr>
            <w:tcW w:w="926" w:type="dxa"/>
            <w:vAlign w:val="top"/>
          </w:tcPr>
          <w:p w14:paraId="6EC53AF7">
            <w:pPr>
              <w:rPr>
                <w:rFonts w:ascii="Arial"/>
                <w:color w:val="auto"/>
                <w:sz w:val="21"/>
                <w:highlight w:val="none"/>
              </w:rPr>
            </w:pPr>
          </w:p>
        </w:tc>
        <w:tc>
          <w:tcPr>
            <w:tcW w:w="1469" w:type="dxa"/>
            <w:vAlign w:val="top"/>
          </w:tcPr>
          <w:p w14:paraId="5185C579">
            <w:pPr>
              <w:rPr>
                <w:rFonts w:ascii="Arial"/>
                <w:color w:val="auto"/>
                <w:sz w:val="21"/>
                <w:highlight w:val="none"/>
              </w:rPr>
            </w:pPr>
          </w:p>
        </w:tc>
        <w:tc>
          <w:tcPr>
            <w:tcW w:w="930" w:type="dxa"/>
            <w:vAlign w:val="top"/>
          </w:tcPr>
          <w:p w14:paraId="7D82BB4E">
            <w:pPr>
              <w:rPr>
                <w:rFonts w:ascii="Arial"/>
                <w:color w:val="auto"/>
                <w:sz w:val="21"/>
                <w:highlight w:val="none"/>
              </w:rPr>
            </w:pPr>
          </w:p>
        </w:tc>
      </w:tr>
      <w:tr w14:paraId="65F64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060" w:type="dxa"/>
            <w:gridSpan w:val="2"/>
            <w:vAlign w:val="top"/>
          </w:tcPr>
          <w:p w14:paraId="0299302E">
            <w:pPr>
              <w:pStyle w:val="18"/>
              <w:spacing w:before="178" w:line="222" w:lineRule="auto"/>
              <w:ind w:left="1771"/>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1200" w:type="dxa"/>
            <w:vAlign w:val="top"/>
          </w:tcPr>
          <w:p w14:paraId="69D1AFC5">
            <w:pPr>
              <w:rPr>
                <w:rFonts w:ascii="Arial"/>
                <w:color w:val="auto"/>
                <w:sz w:val="21"/>
                <w:highlight w:val="none"/>
              </w:rPr>
            </w:pPr>
          </w:p>
        </w:tc>
        <w:tc>
          <w:tcPr>
            <w:tcW w:w="926" w:type="dxa"/>
            <w:vAlign w:val="top"/>
          </w:tcPr>
          <w:p w14:paraId="4F7AF8E4">
            <w:pPr>
              <w:rPr>
                <w:rFonts w:ascii="Arial"/>
                <w:color w:val="auto"/>
                <w:sz w:val="21"/>
                <w:highlight w:val="none"/>
              </w:rPr>
            </w:pPr>
          </w:p>
        </w:tc>
        <w:tc>
          <w:tcPr>
            <w:tcW w:w="1469" w:type="dxa"/>
            <w:vAlign w:val="top"/>
          </w:tcPr>
          <w:p w14:paraId="6B1F3DE0">
            <w:pPr>
              <w:rPr>
                <w:rFonts w:ascii="Arial"/>
                <w:color w:val="auto"/>
                <w:sz w:val="21"/>
                <w:highlight w:val="none"/>
              </w:rPr>
            </w:pPr>
          </w:p>
        </w:tc>
        <w:tc>
          <w:tcPr>
            <w:tcW w:w="930" w:type="dxa"/>
            <w:vAlign w:val="top"/>
          </w:tcPr>
          <w:p w14:paraId="61277B41">
            <w:pPr>
              <w:rPr>
                <w:rFonts w:ascii="Arial"/>
                <w:color w:val="auto"/>
                <w:sz w:val="21"/>
                <w:highlight w:val="none"/>
              </w:rPr>
            </w:pPr>
          </w:p>
        </w:tc>
      </w:tr>
    </w:tbl>
    <w:p w14:paraId="46666FDB">
      <w:pPr>
        <w:pStyle w:val="5"/>
        <w:rPr>
          <w:color w:val="auto"/>
          <w:highlight w:val="none"/>
        </w:rPr>
      </w:pPr>
    </w:p>
    <w:p w14:paraId="4403DB1E">
      <w:pPr>
        <w:rPr>
          <w:color w:val="auto"/>
          <w:highlight w:val="none"/>
        </w:rPr>
        <w:sectPr>
          <w:footerReference r:id="rId128" w:type="default"/>
          <w:pgSz w:w="11905" w:h="16839"/>
          <w:pgMar w:top="400" w:right="1652" w:bottom="1004" w:left="1661" w:header="0" w:footer="828" w:gutter="0"/>
          <w:pgNumType w:fmt="decimal"/>
          <w:cols w:space="720" w:num="1"/>
        </w:sectPr>
      </w:pPr>
    </w:p>
    <w:p w14:paraId="679A65D2">
      <w:pPr>
        <w:pStyle w:val="5"/>
        <w:spacing w:line="267" w:lineRule="auto"/>
        <w:rPr>
          <w:color w:val="auto"/>
          <w:highlight w:val="none"/>
        </w:rPr>
      </w:pPr>
    </w:p>
    <w:p w14:paraId="2E2DD30E">
      <w:pPr>
        <w:pStyle w:val="5"/>
        <w:spacing w:line="267" w:lineRule="auto"/>
        <w:rPr>
          <w:color w:val="auto"/>
          <w:highlight w:val="none"/>
        </w:rPr>
      </w:pPr>
    </w:p>
    <w:p w14:paraId="3E05E395">
      <w:pPr>
        <w:pStyle w:val="5"/>
        <w:spacing w:line="268" w:lineRule="auto"/>
        <w:rPr>
          <w:color w:val="auto"/>
          <w:highlight w:val="none"/>
        </w:rPr>
      </w:pPr>
    </w:p>
    <w:p w14:paraId="075C5740">
      <w:pPr>
        <w:pStyle w:val="5"/>
        <w:spacing w:line="268" w:lineRule="auto"/>
        <w:rPr>
          <w:color w:val="auto"/>
          <w:highlight w:val="none"/>
        </w:rPr>
      </w:pPr>
    </w:p>
    <w:p w14:paraId="5FD7DD63">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4.8 </w:t>
      </w:r>
      <w:r>
        <w:rPr>
          <w:rFonts w:ascii="黑体" w:hAnsi="黑体" w:eastAsia="黑体" w:cs="黑体"/>
          <w:color w:val="auto"/>
          <w:spacing w:val="-1"/>
          <w:sz w:val="24"/>
          <w:szCs w:val="24"/>
          <w:highlight w:val="none"/>
        </w:rPr>
        <w:t>单位工程投标报价汇总表</w:t>
      </w:r>
    </w:p>
    <w:p w14:paraId="59F99E94">
      <w:pPr>
        <w:spacing w:before="161" w:line="225" w:lineRule="auto"/>
        <w:ind w:left="2645"/>
        <w:rPr>
          <w:rFonts w:ascii="黑体" w:hAnsi="黑体" w:eastAsia="黑体" w:cs="黑体"/>
          <w:color w:val="auto"/>
          <w:sz w:val="27"/>
          <w:szCs w:val="27"/>
          <w:highlight w:val="none"/>
        </w:rPr>
      </w:pPr>
      <w:bookmarkStart w:id="1730" w:name="bookmark251"/>
      <w:bookmarkEnd w:id="1730"/>
      <w:r>
        <w:rPr>
          <w:rFonts w:ascii="黑体" w:hAnsi="黑体" w:eastAsia="黑体" w:cs="黑体"/>
          <w:color w:val="auto"/>
          <w:spacing w:val="7"/>
          <w:sz w:val="27"/>
          <w:szCs w:val="27"/>
          <w:highlight w:val="none"/>
        </w:rPr>
        <w:t>单位工程投标报价汇总表</w:t>
      </w:r>
    </w:p>
    <w:p w14:paraId="29DB1981">
      <w:pPr>
        <w:spacing w:before="142"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工程名称：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第 页</w:t>
      </w:r>
      <w:r>
        <w:rPr>
          <w:rFonts w:ascii="宋体" w:hAnsi="宋体" w:eastAsia="宋体" w:cs="宋体"/>
          <w:color w:val="auto"/>
          <w:spacing w:val="61"/>
          <w:sz w:val="21"/>
          <w:szCs w:val="21"/>
          <w:highlight w:val="none"/>
        </w:rPr>
        <w:t xml:space="preserve"> </w:t>
      </w:r>
      <w:r>
        <w:rPr>
          <w:rFonts w:ascii="宋体" w:hAnsi="宋体" w:eastAsia="宋体" w:cs="宋体"/>
          <w:color w:val="auto"/>
          <w:spacing w:val="-15"/>
          <w:sz w:val="21"/>
          <w:szCs w:val="21"/>
          <w:highlight w:val="none"/>
        </w:rPr>
        <w:t>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5"/>
          <w:sz w:val="21"/>
          <w:szCs w:val="21"/>
          <w:highlight w:val="none"/>
        </w:rPr>
        <w:t>页</w:t>
      </w:r>
    </w:p>
    <w:p w14:paraId="473C9095">
      <w:pPr>
        <w:spacing w:line="113" w:lineRule="exact"/>
        <w:rPr>
          <w:color w:val="auto"/>
          <w:highlight w:val="none"/>
        </w:rPr>
      </w:pPr>
    </w:p>
    <w:tbl>
      <w:tblPr>
        <w:tblStyle w:val="17"/>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14:paraId="70D8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14:paraId="0A374D81">
            <w:pPr>
              <w:pStyle w:val="18"/>
              <w:spacing w:before="168" w:line="222" w:lineRule="auto"/>
              <w:ind w:left="161"/>
              <w:rPr>
                <w:color w:val="auto"/>
                <w:highlight w:val="none"/>
              </w:rPr>
            </w:pPr>
            <w:r>
              <w:rPr>
                <w:color w:val="auto"/>
                <w:spacing w:val="-2"/>
                <w:highlight w:val="none"/>
              </w:rPr>
              <w:t>序号</w:t>
            </w:r>
          </w:p>
        </w:tc>
        <w:tc>
          <w:tcPr>
            <w:tcW w:w="2908" w:type="dxa"/>
            <w:vAlign w:val="top"/>
          </w:tcPr>
          <w:p w14:paraId="576D3120">
            <w:pPr>
              <w:pStyle w:val="18"/>
              <w:spacing w:before="168" w:line="221" w:lineRule="auto"/>
              <w:ind w:left="1036"/>
              <w:rPr>
                <w:color w:val="auto"/>
                <w:highlight w:val="none"/>
              </w:rPr>
            </w:pPr>
            <w:r>
              <w:rPr>
                <w:color w:val="auto"/>
                <w:spacing w:val="-1"/>
                <w:highlight w:val="none"/>
              </w:rPr>
              <w:t>汇总内容</w:t>
            </w:r>
          </w:p>
        </w:tc>
        <w:tc>
          <w:tcPr>
            <w:tcW w:w="3331" w:type="dxa"/>
            <w:vAlign w:val="top"/>
          </w:tcPr>
          <w:p w14:paraId="10A37978">
            <w:pPr>
              <w:pStyle w:val="18"/>
              <w:spacing w:before="168" w:line="221" w:lineRule="auto"/>
              <w:ind w:left="1150"/>
              <w:rPr>
                <w:color w:val="auto"/>
                <w:highlight w:val="none"/>
              </w:rPr>
            </w:pPr>
            <w:r>
              <w:rPr>
                <w:color w:val="auto"/>
                <w:spacing w:val="-1"/>
                <w:highlight w:val="none"/>
              </w:rPr>
              <w:t>金额（元）</w:t>
            </w:r>
          </w:p>
        </w:tc>
        <w:tc>
          <w:tcPr>
            <w:tcW w:w="1790" w:type="dxa"/>
            <w:vAlign w:val="top"/>
          </w:tcPr>
          <w:p w14:paraId="123C25B9">
            <w:pPr>
              <w:pStyle w:val="18"/>
              <w:spacing w:before="34" w:line="219" w:lineRule="auto"/>
              <w:ind w:left="272"/>
              <w:rPr>
                <w:color w:val="auto"/>
                <w:highlight w:val="none"/>
              </w:rPr>
            </w:pPr>
            <w:r>
              <w:rPr>
                <w:color w:val="auto"/>
                <w:spacing w:val="-1"/>
                <w:highlight w:val="none"/>
              </w:rPr>
              <w:t>其中：暂估价</w:t>
            </w:r>
          </w:p>
          <w:p w14:paraId="286E213F">
            <w:pPr>
              <w:pStyle w:val="18"/>
              <w:spacing w:before="19" w:line="209" w:lineRule="auto"/>
              <w:ind w:left="590"/>
              <w:rPr>
                <w:color w:val="auto"/>
                <w:highlight w:val="none"/>
              </w:rPr>
            </w:pPr>
            <w:r>
              <w:rPr>
                <w:color w:val="auto"/>
                <w:spacing w:val="-5"/>
                <w:highlight w:val="none"/>
              </w:rPr>
              <w:t>（元）</w:t>
            </w:r>
          </w:p>
        </w:tc>
      </w:tr>
      <w:tr w14:paraId="0D914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09D7E59F">
            <w:pPr>
              <w:pStyle w:val="18"/>
              <w:spacing w:before="165" w:line="183" w:lineRule="auto"/>
              <w:ind w:left="134"/>
              <w:rPr>
                <w:color w:val="auto"/>
                <w:highlight w:val="none"/>
              </w:rPr>
            </w:pPr>
            <w:r>
              <w:rPr>
                <w:color w:val="auto"/>
                <w:highlight w:val="none"/>
              </w:rPr>
              <w:t>1</w:t>
            </w:r>
          </w:p>
        </w:tc>
        <w:tc>
          <w:tcPr>
            <w:tcW w:w="2908" w:type="dxa"/>
            <w:vAlign w:val="top"/>
          </w:tcPr>
          <w:p w14:paraId="4FEDD4F3">
            <w:pPr>
              <w:pStyle w:val="18"/>
              <w:spacing w:before="130" w:line="221" w:lineRule="auto"/>
              <w:ind w:left="112"/>
              <w:rPr>
                <w:color w:val="auto"/>
                <w:highlight w:val="none"/>
              </w:rPr>
            </w:pPr>
            <w:r>
              <w:rPr>
                <w:color w:val="auto"/>
                <w:spacing w:val="-1"/>
                <w:highlight w:val="none"/>
              </w:rPr>
              <w:t>分部分项工程</w:t>
            </w:r>
          </w:p>
        </w:tc>
        <w:tc>
          <w:tcPr>
            <w:tcW w:w="3331" w:type="dxa"/>
            <w:vAlign w:val="top"/>
          </w:tcPr>
          <w:p w14:paraId="17E78368">
            <w:pPr>
              <w:rPr>
                <w:rFonts w:ascii="Arial"/>
                <w:color w:val="auto"/>
                <w:sz w:val="21"/>
                <w:highlight w:val="none"/>
              </w:rPr>
            </w:pPr>
          </w:p>
        </w:tc>
        <w:tc>
          <w:tcPr>
            <w:tcW w:w="1790" w:type="dxa"/>
            <w:vAlign w:val="top"/>
          </w:tcPr>
          <w:p w14:paraId="06814B0D">
            <w:pPr>
              <w:rPr>
                <w:rFonts w:ascii="Arial"/>
                <w:color w:val="auto"/>
                <w:sz w:val="21"/>
                <w:highlight w:val="none"/>
              </w:rPr>
            </w:pPr>
          </w:p>
        </w:tc>
      </w:tr>
      <w:tr w14:paraId="58A75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5D4F1E0">
            <w:pPr>
              <w:pStyle w:val="18"/>
              <w:spacing w:before="167" w:line="182" w:lineRule="auto"/>
              <w:ind w:left="121"/>
              <w:rPr>
                <w:color w:val="auto"/>
                <w:highlight w:val="none"/>
              </w:rPr>
            </w:pPr>
            <w:r>
              <w:rPr>
                <w:color w:val="auto"/>
                <w:highlight w:val="none"/>
              </w:rPr>
              <w:t>2</w:t>
            </w:r>
          </w:p>
        </w:tc>
        <w:tc>
          <w:tcPr>
            <w:tcW w:w="2908" w:type="dxa"/>
            <w:vAlign w:val="top"/>
          </w:tcPr>
          <w:p w14:paraId="4AEF7F29">
            <w:pPr>
              <w:pStyle w:val="18"/>
              <w:spacing w:before="132" w:line="221" w:lineRule="auto"/>
              <w:ind w:left="109"/>
              <w:rPr>
                <w:color w:val="auto"/>
                <w:highlight w:val="none"/>
              </w:rPr>
            </w:pPr>
            <w:r>
              <w:rPr>
                <w:color w:val="auto"/>
                <w:spacing w:val="-1"/>
                <w:highlight w:val="none"/>
              </w:rPr>
              <w:t>措施项目费</w:t>
            </w:r>
          </w:p>
        </w:tc>
        <w:tc>
          <w:tcPr>
            <w:tcW w:w="3331" w:type="dxa"/>
            <w:vAlign w:val="top"/>
          </w:tcPr>
          <w:p w14:paraId="20210580">
            <w:pPr>
              <w:rPr>
                <w:rFonts w:ascii="Arial"/>
                <w:color w:val="auto"/>
                <w:sz w:val="21"/>
                <w:highlight w:val="none"/>
              </w:rPr>
            </w:pPr>
          </w:p>
        </w:tc>
        <w:tc>
          <w:tcPr>
            <w:tcW w:w="1790" w:type="dxa"/>
            <w:vAlign w:val="top"/>
          </w:tcPr>
          <w:p w14:paraId="21FD05E0">
            <w:pPr>
              <w:rPr>
                <w:rFonts w:ascii="Arial"/>
                <w:color w:val="auto"/>
                <w:sz w:val="21"/>
                <w:highlight w:val="none"/>
              </w:rPr>
            </w:pPr>
          </w:p>
        </w:tc>
      </w:tr>
      <w:tr w14:paraId="4971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14:paraId="2BDC4D79">
            <w:pPr>
              <w:pStyle w:val="18"/>
              <w:spacing w:before="199" w:line="183" w:lineRule="auto"/>
              <w:ind w:left="121"/>
              <w:rPr>
                <w:color w:val="auto"/>
                <w:highlight w:val="none"/>
              </w:rPr>
            </w:pPr>
            <w:r>
              <w:rPr>
                <w:color w:val="auto"/>
                <w:spacing w:val="-2"/>
                <w:highlight w:val="none"/>
              </w:rPr>
              <w:t>2.1</w:t>
            </w:r>
          </w:p>
        </w:tc>
        <w:tc>
          <w:tcPr>
            <w:tcW w:w="2908" w:type="dxa"/>
            <w:vAlign w:val="top"/>
          </w:tcPr>
          <w:p w14:paraId="66228088">
            <w:pPr>
              <w:pStyle w:val="18"/>
              <w:spacing w:before="31" w:line="222" w:lineRule="auto"/>
              <w:ind w:left="120" w:right="276" w:hanging="10"/>
              <w:rPr>
                <w:color w:val="auto"/>
                <w:highlight w:val="none"/>
              </w:rPr>
            </w:pPr>
            <w:r>
              <w:rPr>
                <w:color w:val="auto"/>
                <w:spacing w:val="-1"/>
                <w:highlight w:val="none"/>
              </w:rPr>
              <w:t>其中：文明施工和环境保护</w:t>
            </w:r>
            <w:r>
              <w:rPr>
                <w:color w:val="auto"/>
                <w:spacing w:val="6"/>
                <w:highlight w:val="none"/>
              </w:rPr>
              <w:t xml:space="preserve"> </w:t>
            </w:r>
            <w:r>
              <w:rPr>
                <w:color w:val="auto"/>
                <w:highlight w:val="none"/>
              </w:rPr>
              <w:t>费</w:t>
            </w:r>
          </w:p>
        </w:tc>
        <w:tc>
          <w:tcPr>
            <w:tcW w:w="3331" w:type="dxa"/>
            <w:vAlign w:val="top"/>
          </w:tcPr>
          <w:p w14:paraId="46C1CDB6">
            <w:pPr>
              <w:rPr>
                <w:rFonts w:ascii="Arial"/>
                <w:color w:val="auto"/>
                <w:sz w:val="21"/>
                <w:highlight w:val="none"/>
              </w:rPr>
            </w:pPr>
          </w:p>
        </w:tc>
        <w:tc>
          <w:tcPr>
            <w:tcW w:w="1790" w:type="dxa"/>
            <w:vAlign w:val="top"/>
          </w:tcPr>
          <w:p w14:paraId="5C2D5EEF">
            <w:pPr>
              <w:rPr>
                <w:rFonts w:ascii="Arial"/>
                <w:color w:val="auto"/>
                <w:sz w:val="21"/>
                <w:highlight w:val="none"/>
              </w:rPr>
            </w:pPr>
          </w:p>
        </w:tc>
      </w:tr>
      <w:tr w14:paraId="43CF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4E70E5C0">
            <w:pPr>
              <w:pStyle w:val="18"/>
              <w:spacing w:before="167" w:line="182" w:lineRule="auto"/>
              <w:ind w:left="123"/>
              <w:rPr>
                <w:color w:val="auto"/>
                <w:highlight w:val="none"/>
              </w:rPr>
            </w:pPr>
            <w:r>
              <w:rPr>
                <w:color w:val="auto"/>
                <w:highlight w:val="none"/>
              </w:rPr>
              <w:t>3</w:t>
            </w:r>
          </w:p>
        </w:tc>
        <w:tc>
          <w:tcPr>
            <w:tcW w:w="2908" w:type="dxa"/>
            <w:vAlign w:val="top"/>
          </w:tcPr>
          <w:p w14:paraId="0ADEE8A4">
            <w:pPr>
              <w:pStyle w:val="18"/>
              <w:spacing w:before="132" w:line="221" w:lineRule="auto"/>
              <w:ind w:left="110"/>
              <w:rPr>
                <w:color w:val="auto"/>
                <w:highlight w:val="none"/>
              </w:rPr>
            </w:pPr>
            <w:r>
              <w:rPr>
                <w:color w:val="auto"/>
                <w:spacing w:val="-1"/>
                <w:highlight w:val="none"/>
              </w:rPr>
              <w:t>其他项目费</w:t>
            </w:r>
          </w:p>
        </w:tc>
        <w:tc>
          <w:tcPr>
            <w:tcW w:w="3331" w:type="dxa"/>
            <w:vAlign w:val="top"/>
          </w:tcPr>
          <w:p w14:paraId="628BA4F0">
            <w:pPr>
              <w:rPr>
                <w:rFonts w:ascii="Arial"/>
                <w:color w:val="auto"/>
                <w:sz w:val="21"/>
                <w:highlight w:val="none"/>
              </w:rPr>
            </w:pPr>
          </w:p>
        </w:tc>
        <w:tc>
          <w:tcPr>
            <w:tcW w:w="1790" w:type="dxa"/>
            <w:vAlign w:val="top"/>
          </w:tcPr>
          <w:p w14:paraId="60DD2FA9">
            <w:pPr>
              <w:rPr>
                <w:rFonts w:ascii="Arial"/>
                <w:color w:val="auto"/>
                <w:sz w:val="21"/>
                <w:highlight w:val="none"/>
              </w:rPr>
            </w:pPr>
          </w:p>
        </w:tc>
      </w:tr>
      <w:tr w14:paraId="3A8FB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555D067C">
            <w:pPr>
              <w:pStyle w:val="18"/>
              <w:spacing w:before="167" w:line="182" w:lineRule="auto"/>
              <w:ind w:left="118"/>
              <w:rPr>
                <w:color w:val="auto"/>
                <w:highlight w:val="none"/>
              </w:rPr>
            </w:pPr>
            <w:r>
              <w:rPr>
                <w:color w:val="auto"/>
                <w:highlight w:val="none"/>
              </w:rPr>
              <w:t>4</w:t>
            </w:r>
          </w:p>
        </w:tc>
        <w:tc>
          <w:tcPr>
            <w:tcW w:w="2908" w:type="dxa"/>
            <w:vAlign w:val="top"/>
          </w:tcPr>
          <w:p w14:paraId="748F0800">
            <w:pPr>
              <w:pStyle w:val="18"/>
              <w:spacing w:before="132" w:line="221" w:lineRule="auto"/>
              <w:ind w:left="110"/>
              <w:rPr>
                <w:color w:val="auto"/>
                <w:highlight w:val="none"/>
              </w:rPr>
            </w:pPr>
            <w:r>
              <w:rPr>
                <w:color w:val="auto"/>
                <w:spacing w:val="-2"/>
                <w:highlight w:val="none"/>
              </w:rPr>
              <w:t>规费</w:t>
            </w:r>
          </w:p>
        </w:tc>
        <w:tc>
          <w:tcPr>
            <w:tcW w:w="3331" w:type="dxa"/>
            <w:vAlign w:val="top"/>
          </w:tcPr>
          <w:p w14:paraId="3637D1BA">
            <w:pPr>
              <w:rPr>
                <w:rFonts w:ascii="Arial"/>
                <w:color w:val="auto"/>
                <w:sz w:val="21"/>
                <w:highlight w:val="none"/>
              </w:rPr>
            </w:pPr>
          </w:p>
        </w:tc>
        <w:tc>
          <w:tcPr>
            <w:tcW w:w="1790" w:type="dxa"/>
            <w:vAlign w:val="top"/>
          </w:tcPr>
          <w:p w14:paraId="6289327B">
            <w:pPr>
              <w:rPr>
                <w:rFonts w:ascii="Arial"/>
                <w:color w:val="auto"/>
                <w:sz w:val="21"/>
                <w:highlight w:val="none"/>
              </w:rPr>
            </w:pPr>
          </w:p>
        </w:tc>
      </w:tr>
      <w:tr w14:paraId="26D3B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95FD3B1">
            <w:pPr>
              <w:pStyle w:val="18"/>
              <w:spacing w:before="169" w:line="181" w:lineRule="auto"/>
              <w:ind w:left="123"/>
              <w:rPr>
                <w:color w:val="auto"/>
                <w:highlight w:val="none"/>
              </w:rPr>
            </w:pPr>
            <w:r>
              <w:rPr>
                <w:color w:val="auto"/>
                <w:highlight w:val="none"/>
              </w:rPr>
              <w:t>5</w:t>
            </w:r>
          </w:p>
        </w:tc>
        <w:tc>
          <w:tcPr>
            <w:tcW w:w="2908" w:type="dxa"/>
            <w:vAlign w:val="top"/>
          </w:tcPr>
          <w:p w14:paraId="0F0B443F">
            <w:pPr>
              <w:pStyle w:val="18"/>
              <w:spacing w:before="133" w:line="221" w:lineRule="auto"/>
              <w:ind w:left="111"/>
              <w:rPr>
                <w:color w:val="auto"/>
                <w:highlight w:val="none"/>
              </w:rPr>
            </w:pPr>
            <w:r>
              <w:rPr>
                <w:color w:val="auto"/>
                <w:spacing w:val="-1"/>
                <w:highlight w:val="none"/>
              </w:rPr>
              <w:t>人工费动态调整</w:t>
            </w:r>
          </w:p>
        </w:tc>
        <w:tc>
          <w:tcPr>
            <w:tcW w:w="3331" w:type="dxa"/>
            <w:vAlign w:val="top"/>
          </w:tcPr>
          <w:p w14:paraId="4F3C998E">
            <w:pPr>
              <w:rPr>
                <w:rFonts w:ascii="Arial"/>
                <w:color w:val="auto"/>
                <w:sz w:val="21"/>
                <w:highlight w:val="none"/>
              </w:rPr>
            </w:pPr>
          </w:p>
        </w:tc>
        <w:tc>
          <w:tcPr>
            <w:tcW w:w="1790" w:type="dxa"/>
            <w:vAlign w:val="top"/>
          </w:tcPr>
          <w:p w14:paraId="75ADC158">
            <w:pPr>
              <w:rPr>
                <w:rFonts w:ascii="Arial"/>
                <w:color w:val="auto"/>
                <w:sz w:val="21"/>
                <w:highlight w:val="none"/>
              </w:rPr>
            </w:pPr>
          </w:p>
        </w:tc>
      </w:tr>
      <w:tr w14:paraId="52E6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48680BF">
            <w:pPr>
              <w:pStyle w:val="18"/>
              <w:spacing w:before="168" w:line="182" w:lineRule="auto"/>
              <w:ind w:left="120"/>
              <w:rPr>
                <w:color w:val="auto"/>
                <w:highlight w:val="none"/>
              </w:rPr>
            </w:pPr>
            <w:r>
              <w:rPr>
                <w:color w:val="auto"/>
                <w:highlight w:val="none"/>
              </w:rPr>
              <w:t>6</w:t>
            </w:r>
          </w:p>
        </w:tc>
        <w:tc>
          <w:tcPr>
            <w:tcW w:w="2908" w:type="dxa"/>
            <w:vAlign w:val="top"/>
          </w:tcPr>
          <w:p w14:paraId="091E59FF">
            <w:pPr>
              <w:pStyle w:val="18"/>
              <w:spacing w:before="133" w:line="221" w:lineRule="auto"/>
              <w:ind w:left="113"/>
              <w:rPr>
                <w:color w:val="auto"/>
                <w:highlight w:val="none"/>
              </w:rPr>
            </w:pPr>
            <w:r>
              <w:rPr>
                <w:color w:val="auto"/>
                <w:spacing w:val="-2"/>
                <w:highlight w:val="none"/>
              </w:rPr>
              <w:t>安全施工措施费</w:t>
            </w:r>
          </w:p>
        </w:tc>
        <w:tc>
          <w:tcPr>
            <w:tcW w:w="3331" w:type="dxa"/>
            <w:vAlign w:val="top"/>
          </w:tcPr>
          <w:p w14:paraId="34DB27D3">
            <w:pPr>
              <w:rPr>
                <w:rFonts w:ascii="Arial"/>
                <w:color w:val="auto"/>
                <w:sz w:val="21"/>
                <w:highlight w:val="none"/>
              </w:rPr>
            </w:pPr>
          </w:p>
        </w:tc>
        <w:tc>
          <w:tcPr>
            <w:tcW w:w="1790" w:type="dxa"/>
            <w:vAlign w:val="top"/>
          </w:tcPr>
          <w:p w14:paraId="5BF3B4D5">
            <w:pPr>
              <w:rPr>
                <w:rFonts w:ascii="Arial"/>
                <w:color w:val="auto"/>
                <w:sz w:val="21"/>
                <w:highlight w:val="none"/>
              </w:rPr>
            </w:pPr>
          </w:p>
        </w:tc>
      </w:tr>
      <w:tr w14:paraId="5B62C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521CB76C">
            <w:pPr>
              <w:pStyle w:val="18"/>
              <w:spacing w:before="169" w:line="181" w:lineRule="auto"/>
              <w:ind w:left="123"/>
              <w:rPr>
                <w:color w:val="auto"/>
                <w:highlight w:val="none"/>
              </w:rPr>
            </w:pPr>
            <w:r>
              <w:rPr>
                <w:color w:val="auto"/>
                <w:highlight w:val="none"/>
              </w:rPr>
              <w:t>7</w:t>
            </w:r>
          </w:p>
        </w:tc>
        <w:tc>
          <w:tcPr>
            <w:tcW w:w="2908" w:type="dxa"/>
            <w:vAlign w:val="top"/>
          </w:tcPr>
          <w:p w14:paraId="76664D2D">
            <w:pPr>
              <w:pStyle w:val="18"/>
              <w:spacing w:before="132" w:line="221" w:lineRule="auto"/>
              <w:ind w:left="114"/>
              <w:rPr>
                <w:color w:val="auto"/>
                <w:highlight w:val="none"/>
              </w:rPr>
            </w:pPr>
            <w:r>
              <w:rPr>
                <w:color w:val="auto"/>
                <w:spacing w:val="-2"/>
                <w:highlight w:val="none"/>
              </w:rPr>
              <w:t>实名制管理费用</w:t>
            </w:r>
          </w:p>
        </w:tc>
        <w:tc>
          <w:tcPr>
            <w:tcW w:w="3331" w:type="dxa"/>
            <w:vAlign w:val="top"/>
          </w:tcPr>
          <w:p w14:paraId="39F82773">
            <w:pPr>
              <w:rPr>
                <w:rFonts w:ascii="Arial"/>
                <w:color w:val="auto"/>
                <w:sz w:val="21"/>
                <w:highlight w:val="none"/>
              </w:rPr>
            </w:pPr>
          </w:p>
        </w:tc>
        <w:tc>
          <w:tcPr>
            <w:tcW w:w="1790" w:type="dxa"/>
            <w:vAlign w:val="top"/>
          </w:tcPr>
          <w:p w14:paraId="3BD027E1">
            <w:pPr>
              <w:rPr>
                <w:rFonts w:ascii="Arial"/>
                <w:color w:val="auto"/>
                <w:sz w:val="21"/>
                <w:highlight w:val="none"/>
              </w:rPr>
            </w:pPr>
          </w:p>
        </w:tc>
      </w:tr>
      <w:tr w14:paraId="4CA6C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7FA44A84">
            <w:pPr>
              <w:pStyle w:val="18"/>
              <w:spacing w:before="168" w:line="182" w:lineRule="auto"/>
              <w:ind w:left="119"/>
              <w:rPr>
                <w:color w:val="auto"/>
                <w:highlight w:val="none"/>
              </w:rPr>
            </w:pPr>
            <w:r>
              <w:rPr>
                <w:color w:val="auto"/>
                <w:highlight w:val="none"/>
              </w:rPr>
              <w:t>8</w:t>
            </w:r>
          </w:p>
        </w:tc>
        <w:tc>
          <w:tcPr>
            <w:tcW w:w="2908" w:type="dxa"/>
            <w:vAlign w:val="top"/>
          </w:tcPr>
          <w:p w14:paraId="2D921FD4">
            <w:pPr>
              <w:pStyle w:val="18"/>
              <w:spacing w:before="133" w:line="219" w:lineRule="auto"/>
              <w:ind w:left="108"/>
              <w:rPr>
                <w:color w:val="auto"/>
                <w:highlight w:val="none"/>
              </w:rPr>
            </w:pPr>
            <w:r>
              <w:rPr>
                <w:color w:val="auto"/>
                <w:spacing w:val="-1"/>
                <w:highlight w:val="none"/>
              </w:rPr>
              <w:t>税前工程造价合计</w:t>
            </w:r>
          </w:p>
        </w:tc>
        <w:tc>
          <w:tcPr>
            <w:tcW w:w="3331" w:type="dxa"/>
            <w:vAlign w:val="top"/>
          </w:tcPr>
          <w:p w14:paraId="599BDFB6">
            <w:pPr>
              <w:rPr>
                <w:rFonts w:ascii="Arial"/>
                <w:color w:val="auto"/>
                <w:sz w:val="21"/>
                <w:highlight w:val="none"/>
              </w:rPr>
            </w:pPr>
          </w:p>
        </w:tc>
        <w:tc>
          <w:tcPr>
            <w:tcW w:w="1790" w:type="dxa"/>
            <w:vAlign w:val="top"/>
          </w:tcPr>
          <w:p w14:paraId="2F910343">
            <w:pPr>
              <w:rPr>
                <w:rFonts w:ascii="Arial"/>
                <w:color w:val="auto"/>
                <w:sz w:val="21"/>
                <w:highlight w:val="none"/>
              </w:rPr>
            </w:pPr>
          </w:p>
        </w:tc>
      </w:tr>
      <w:tr w14:paraId="39CCD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04F305CB">
            <w:pPr>
              <w:pStyle w:val="18"/>
              <w:spacing w:before="169" w:line="182" w:lineRule="auto"/>
              <w:ind w:left="119"/>
              <w:rPr>
                <w:color w:val="auto"/>
                <w:highlight w:val="none"/>
              </w:rPr>
            </w:pPr>
            <w:r>
              <w:rPr>
                <w:color w:val="auto"/>
                <w:highlight w:val="none"/>
              </w:rPr>
              <w:t>9</w:t>
            </w:r>
          </w:p>
        </w:tc>
        <w:tc>
          <w:tcPr>
            <w:tcW w:w="2908" w:type="dxa"/>
            <w:vAlign w:val="top"/>
          </w:tcPr>
          <w:p w14:paraId="07918F44">
            <w:pPr>
              <w:pStyle w:val="18"/>
              <w:spacing w:before="134" w:line="221" w:lineRule="auto"/>
              <w:ind w:left="108"/>
              <w:rPr>
                <w:color w:val="auto"/>
                <w:highlight w:val="none"/>
              </w:rPr>
            </w:pPr>
            <w:r>
              <w:rPr>
                <w:color w:val="auto"/>
                <w:spacing w:val="-2"/>
                <w:highlight w:val="none"/>
              </w:rPr>
              <w:t>税金</w:t>
            </w:r>
          </w:p>
        </w:tc>
        <w:tc>
          <w:tcPr>
            <w:tcW w:w="3331" w:type="dxa"/>
            <w:vAlign w:val="top"/>
          </w:tcPr>
          <w:p w14:paraId="1D4121B1">
            <w:pPr>
              <w:rPr>
                <w:rFonts w:ascii="Arial"/>
                <w:color w:val="auto"/>
                <w:sz w:val="21"/>
                <w:highlight w:val="none"/>
              </w:rPr>
            </w:pPr>
          </w:p>
        </w:tc>
        <w:tc>
          <w:tcPr>
            <w:tcW w:w="1790" w:type="dxa"/>
            <w:vAlign w:val="top"/>
          </w:tcPr>
          <w:p w14:paraId="1E064172">
            <w:pPr>
              <w:rPr>
                <w:rFonts w:ascii="Arial"/>
                <w:color w:val="auto"/>
                <w:sz w:val="21"/>
                <w:highlight w:val="none"/>
              </w:rPr>
            </w:pPr>
          </w:p>
        </w:tc>
      </w:tr>
      <w:tr w14:paraId="0ACC0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23836A93">
            <w:pPr>
              <w:rPr>
                <w:rFonts w:ascii="Arial"/>
                <w:color w:val="auto"/>
                <w:sz w:val="21"/>
                <w:highlight w:val="none"/>
              </w:rPr>
            </w:pPr>
          </w:p>
        </w:tc>
        <w:tc>
          <w:tcPr>
            <w:tcW w:w="2908" w:type="dxa"/>
            <w:vAlign w:val="top"/>
          </w:tcPr>
          <w:p w14:paraId="773FE738">
            <w:pPr>
              <w:rPr>
                <w:rFonts w:ascii="Arial"/>
                <w:color w:val="auto"/>
                <w:sz w:val="21"/>
                <w:highlight w:val="none"/>
              </w:rPr>
            </w:pPr>
          </w:p>
        </w:tc>
        <w:tc>
          <w:tcPr>
            <w:tcW w:w="3331" w:type="dxa"/>
            <w:vAlign w:val="top"/>
          </w:tcPr>
          <w:p w14:paraId="340E649C">
            <w:pPr>
              <w:rPr>
                <w:rFonts w:ascii="Arial"/>
                <w:color w:val="auto"/>
                <w:sz w:val="21"/>
                <w:highlight w:val="none"/>
              </w:rPr>
            </w:pPr>
          </w:p>
        </w:tc>
        <w:tc>
          <w:tcPr>
            <w:tcW w:w="1790" w:type="dxa"/>
            <w:vAlign w:val="top"/>
          </w:tcPr>
          <w:p w14:paraId="48F53EBA">
            <w:pPr>
              <w:rPr>
                <w:rFonts w:ascii="Arial"/>
                <w:color w:val="auto"/>
                <w:sz w:val="21"/>
                <w:highlight w:val="none"/>
              </w:rPr>
            </w:pPr>
          </w:p>
        </w:tc>
      </w:tr>
      <w:tr w14:paraId="29D43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56D91BD">
            <w:pPr>
              <w:rPr>
                <w:rFonts w:ascii="Arial"/>
                <w:color w:val="auto"/>
                <w:sz w:val="21"/>
                <w:highlight w:val="none"/>
              </w:rPr>
            </w:pPr>
          </w:p>
        </w:tc>
        <w:tc>
          <w:tcPr>
            <w:tcW w:w="2908" w:type="dxa"/>
            <w:vAlign w:val="top"/>
          </w:tcPr>
          <w:p w14:paraId="573E1BBB">
            <w:pPr>
              <w:rPr>
                <w:rFonts w:ascii="Arial"/>
                <w:color w:val="auto"/>
                <w:sz w:val="21"/>
                <w:highlight w:val="none"/>
              </w:rPr>
            </w:pPr>
          </w:p>
        </w:tc>
        <w:tc>
          <w:tcPr>
            <w:tcW w:w="3331" w:type="dxa"/>
            <w:vAlign w:val="top"/>
          </w:tcPr>
          <w:p w14:paraId="58C8134E">
            <w:pPr>
              <w:rPr>
                <w:rFonts w:ascii="Arial"/>
                <w:color w:val="auto"/>
                <w:sz w:val="21"/>
                <w:highlight w:val="none"/>
              </w:rPr>
            </w:pPr>
          </w:p>
        </w:tc>
        <w:tc>
          <w:tcPr>
            <w:tcW w:w="1790" w:type="dxa"/>
            <w:vAlign w:val="top"/>
          </w:tcPr>
          <w:p w14:paraId="1DD340BF">
            <w:pPr>
              <w:rPr>
                <w:rFonts w:ascii="Arial"/>
                <w:color w:val="auto"/>
                <w:sz w:val="21"/>
                <w:highlight w:val="none"/>
              </w:rPr>
            </w:pPr>
          </w:p>
        </w:tc>
      </w:tr>
      <w:tr w14:paraId="7A626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B792FD6">
            <w:pPr>
              <w:rPr>
                <w:rFonts w:ascii="Arial"/>
                <w:color w:val="auto"/>
                <w:sz w:val="21"/>
                <w:highlight w:val="none"/>
              </w:rPr>
            </w:pPr>
          </w:p>
        </w:tc>
        <w:tc>
          <w:tcPr>
            <w:tcW w:w="2908" w:type="dxa"/>
            <w:vAlign w:val="top"/>
          </w:tcPr>
          <w:p w14:paraId="4C56391F">
            <w:pPr>
              <w:rPr>
                <w:rFonts w:ascii="Arial"/>
                <w:color w:val="auto"/>
                <w:sz w:val="21"/>
                <w:highlight w:val="none"/>
              </w:rPr>
            </w:pPr>
          </w:p>
        </w:tc>
        <w:tc>
          <w:tcPr>
            <w:tcW w:w="3331" w:type="dxa"/>
            <w:vAlign w:val="top"/>
          </w:tcPr>
          <w:p w14:paraId="3DE6A4EE">
            <w:pPr>
              <w:rPr>
                <w:rFonts w:ascii="Arial"/>
                <w:color w:val="auto"/>
                <w:sz w:val="21"/>
                <w:highlight w:val="none"/>
              </w:rPr>
            </w:pPr>
          </w:p>
        </w:tc>
        <w:tc>
          <w:tcPr>
            <w:tcW w:w="1790" w:type="dxa"/>
            <w:vAlign w:val="top"/>
          </w:tcPr>
          <w:p w14:paraId="1B632AA4">
            <w:pPr>
              <w:rPr>
                <w:rFonts w:ascii="Arial"/>
                <w:color w:val="auto"/>
                <w:sz w:val="21"/>
                <w:highlight w:val="none"/>
              </w:rPr>
            </w:pPr>
          </w:p>
        </w:tc>
      </w:tr>
      <w:tr w14:paraId="5920D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BFAC5D1">
            <w:pPr>
              <w:rPr>
                <w:rFonts w:ascii="Arial"/>
                <w:color w:val="auto"/>
                <w:sz w:val="21"/>
                <w:highlight w:val="none"/>
              </w:rPr>
            </w:pPr>
          </w:p>
        </w:tc>
        <w:tc>
          <w:tcPr>
            <w:tcW w:w="2908" w:type="dxa"/>
            <w:vAlign w:val="top"/>
          </w:tcPr>
          <w:p w14:paraId="43D47633">
            <w:pPr>
              <w:rPr>
                <w:rFonts w:ascii="Arial"/>
                <w:color w:val="auto"/>
                <w:sz w:val="21"/>
                <w:highlight w:val="none"/>
              </w:rPr>
            </w:pPr>
          </w:p>
        </w:tc>
        <w:tc>
          <w:tcPr>
            <w:tcW w:w="3331" w:type="dxa"/>
            <w:vAlign w:val="top"/>
          </w:tcPr>
          <w:p w14:paraId="53B15E24">
            <w:pPr>
              <w:rPr>
                <w:rFonts w:ascii="Arial"/>
                <w:color w:val="auto"/>
                <w:sz w:val="21"/>
                <w:highlight w:val="none"/>
              </w:rPr>
            </w:pPr>
          </w:p>
        </w:tc>
        <w:tc>
          <w:tcPr>
            <w:tcW w:w="1790" w:type="dxa"/>
            <w:vAlign w:val="top"/>
          </w:tcPr>
          <w:p w14:paraId="32A1BF53">
            <w:pPr>
              <w:rPr>
                <w:rFonts w:ascii="Arial"/>
                <w:color w:val="auto"/>
                <w:sz w:val="21"/>
                <w:highlight w:val="none"/>
              </w:rPr>
            </w:pPr>
          </w:p>
        </w:tc>
      </w:tr>
      <w:tr w14:paraId="4C916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3711251">
            <w:pPr>
              <w:rPr>
                <w:rFonts w:ascii="Arial"/>
                <w:color w:val="auto"/>
                <w:sz w:val="21"/>
                <w:highlight w:val="none"/>
              </w:rPr>
            </w:pPr>
          </w:p>
        </w:tc>
        <w:tc>
          <w:tcPr>
            <w:tcW w:w="2908" w:type="dxa"/>
            <w:vAlign w:val="top"/>
          </w:tcPr>
          <w:p w14:paraId="0D954077">
            <w:pPr>
              <w:rPr>
                <w:rFonts w:ascii="Arial"/>
                <w:color w:val="auto"/>
                <w:sz w:val="21"/>
                <w:highlight w:val="none"/>
              </w:rPr>
            </w:pPr>
          </w:p>
        </w:tc>
        <w:tc>
          <w:tcPr>
            <w:tcW w:w="3331" w:type="dxa"/>
            <w:vAlign w:val="top"/>
          </w:tcPr>
          <w:p w14:paraId="54DCFC96">
            <w:pPr>
              <w:rPr>
                <w:rFonts w:ascii="Arial"/>
                <w:color w:val="auto"/>
                <w:sz w:val="21"/>
                <w:highlight w:val="none"/>
              </w:rPr>
            </w:pPr>
          </w:p>
        </w:tc>
        <w:tc>
          <w:tcPr>
            <w:tcW w:w="1790" w:type="dxa"/>
            <w:vAlign w:val="top"/>
          </w:tcPr>
          <w:p w14:paraId="2B4B6216">
            <w:pPr>
              <w:rPr>
                <w:rFonts w:ascii="Arial"/>
                <w:color w:val="auto"/>
                <w:sz w:val="21"/>
                <w:highlight w:val="none"/>
              </w:rPr>
            </w:pPr>
          </w:p>
        </w:tc>
      </w:tr>
      <w:tr w14:paraId="3FCBB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2674A34B">
            <w:pPr>
              <w:rPr>
                <w:rFonts w:ascii="Arial"/>
                <w:color w:val="auto"/>
                <w:sz w:val="21"/>
                <w:highlight w:val="none"/>
              </w:rPr>
            </w:pPr>
          </w:p>
        </w:tc>
        <w:tc>
          <w:tcPr>
            <w:tcW w:w="2908" w:type="dxa"/>
            <w:vAlign w:val="top"/>
          </w:tcPr>
          <w:p w14:paraId="4A264B98">
            <w:pPr>
              <w:rPr>
                <w:rFonts w:ascii="Arial"/>
                <w:color w:val="auto"/>
                <w:sz w:val="21"/>
                <w:highlight w:val="none"/>
              </w:rPr>
            </w:pPr>
          </w:p>
        </w:tc>
        <w:tc>
          <w:tcPr>
            <w:tcW w:w="3331" w:type="dxa"/>
            <w:vAlign w:val="top"/>
          </w:tcPr>
          <w:p w14:paraId="7F346A44">
            <w:pPr>
              <w:rPr>
                <w:rFonts w:ascii="Arial"/>
                <w:color w:val="auto"/>
                <w:sz w:val="21"/>
                <w:highlight w:val="none"/>
              </w:rPr>
            </w:pPr>
          </w:p>
        </w:tc>
        <w:tc>
          <w:tcPr>
            <w:tcW w:w="1790" w:type="dxa"/>
            <w:vAlign w:val="top"/>
          </w:tcPr>
          <w:p w14:paraId="0F033299">
            <w:pPr>
              <w:rPr>
                <w:rFonts w:ascii="Arial"/>
                <w:color w:val="auto"/>
                <w:sz w:val="21"/>
                <w:highlight w:val="none"/>
              </w:rPr>
            </w:pPr>
          </w:p>
        </w:tc>
      </w:tr>
      <w:tr w14:paraId="0AE80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14:paraId="6FFA12BB">
            <w:pPr>
              <w:pStyle w:val="18"/>
              <w:spacing w:before="136" w:line="222" w:lineRule="auto"/>
              <w:ind w:left="1622"/>
              <w:rPr>
                <w:color w:val="auto"/>
                <w:highlight w:val="none"/>
              </w:rPr>
            </w:pPr>
            <w:r>
              <w:rPr>
                <w:color w:val="auto"/>
                <w:spacing w:val="-2"/>
                <w:highlight w:val="none"/>
              </w:rPr>
              <w:t>合计</w:t>
            </w:r>
          </w:p>
        </w:tc>
        <w:tc>
          <w:tcPr>
            <w:tcW w:w="3331" w:type="dxa"/>
            <w:vAlign w:val="top"/>
          </w:tcPr>
          <w:p w14:paraId="67BA2E1A">
            <w:pPr>
              <w:rPr>
                <w:rFonts w:ascii="Arial"/>
                <w:color w:val="auto"/>
                <w:sz w:val="21"/>
                <w:highlight w:val="none"/>
              </w:rPr>
            </w:pPr>
          </w:p>
        </w:tc>
        <w:tc>
          <w:tcPr>
            <w:tcW w:w="1790" w:type="dxa"/>
            <w:vAlign w:val="top"/>
          </w:tcPr>
          <w:p w14:paraId="643F929F">
            <w:pPr>
              <w:rPr>
                <w:rFonts w:ascii="Arial"/>
                <w:color w:val="auto"/>
                <w:sz w:val="21"/>
                <w:highlight w:val="none"/>
              </w:rPr>
            </w:pPr>
          </w:p>
        </w:tc>
      </w:tr>
    </w:tbl>
    <w:p w14:paraId="67F04120">
      <w:pPr>
        <w:spacing w:before="270" w:line="231" w:lineRule="auto"/>
        <w:ind w:left="17" w:right="457"/>
        <w:rPr>
          <w:rFonts w:ascii="宋体" w:hAnsi="宋体" w:eastAsia="宋体" w:cs="宋体"/>
          <w:color w:val="auto"/>
          <w:sz w:val="21"/>
          <w:szCs w:val="21"/>
          <w:highlight w:val="none"/>
        </w:rPr>
      </w:pPr>
      <w:r>
        <w:rPr>
          <w:rFonts w:ascii="宋体" w:hAnsi="宋体" w:eastAsia="宋体" w:cs="宋体"/>
          <w:color w:val="auto"/>
          <w:sz w:val="21"/>
          <w:szCs w:val="21"/>
          <w:highlight w:val="none"/>
        </w:rPr>
        <w:t>注：本表适用于单位工程投标报价的汇总，如无单位工程的划分， 单项工程也使用本汇总</w:t>
      </w:r>
      <w:r>
        <w:rPr>
          <w:rFonts w:ascii="宋体" w:hAnsi="宋体" w:eastAsia="宋体" w:cs="宋体"/>
          <w:color w:val="auto"/>
          <w:spacing w:val="6"/>
          <w:sz w:val="21"/>
          <w:szCs w:val="21"/>
          <w:highlight w:val="none"/>
        </w:rPr>
        <w:t xml:space="preserve"> </w:t>
      </w:r>
      <w:r>
        <w:rPr>
          <w:rFonts w:ascii="宋体" w:hAnsi="宋体" w:eastAsia="宋体" w:cs="宋体"/>
          <w:color w:val="auto"/>
          <w:spacing w:val="-10"/>
          <w:sz w:val="21"/>
          <w:szCs w:val="21"/>
          <w:highlight w:val="none"/>
        </w:rPr>
        <w:t>表。</w:t>
      </w:r>
    </w:p>
    <w:p w14:paraId="6D865878">
      <w:pPr>
        <w:spacing w:line="231" w:lineRule="auto"/>
        <w:rPr>
          <w:rFonts w:ascii="宋体" w:hAnsi="宋体" w:eastAsia="宋体" w:cs="宋体"/>
          <w:color w:val="auto"/>
          <w:sz w:val="21"/>
          <w:szCs w:val="21"/>
          <w:highlight w:val="none"/>
        </w:rPr>
        <w:sectPr>
          <w:footerReference r:id="rId129" w:type="default"/>
          <w:pgSz w:w="11905" w:h="16839"/>
          <w:pgMar w:top="400" w:right="1339" w:bottom="1004" w:left="1785" w:header="0" w:footer="828" w:gutter="0"/>
          <w:pgNumType w:fmt="decimal"/>
          <w:cols w:space="720" w:num="1"/>
        </w:sectPr>
      </w:pPr>
    </w:p>
    <w:p w14:paraId="7BB38512">
      <w:pPr>
        <w:pStyle w:val="5"/>
        <w:spacing w:line="267" w:lineRule="auto"/>
        <w:rPr>
          <w:color w:val="auto"/>
          <w:highlight w:val="none"/>
        </w:rPr>
      </w:pPr>
    </w:p>
    <w:p w14:paraId="4BE722F0">
      <w:pPr>
        <w:pStyle w:val="5"/>
        <w:spacing w:line="267" w:lineRule="auto"/>
        <w:rPr>
          <w:color w:val="auto"/>
          <w:highlight w:val="none"/>
        </w:rPr>
      </w:pPr>
    </w:p>
    <w:p w14:paraId="01D35076">
      <w:pPr>
        <w:pStyle w:val="5"/>
        <w:spacing w:line="268" w:lineRule="auto"/>
        <w:rPr>
          <w:color w:val="auto"/>
          <w:highlight w:val="none"/>
        </w:rPr>
      </w:pPr>
    </w:p>
    <w:p w14:paraId="5F4D6D11">
      <w:pPr>
        <w:pStyle w:val="5"/>
        <w:spacing w:line="268" w:lineRule="auto"/>
        <w:rPr>
          <w:color w:val="auto"/>
          <w:highlight w:val="none"/>
        </w:rPr>
      </w:pPr>
    </w:p>
    <w:p w14:paraId="3D6C44DA">
      <w:pPr>
        <w:spacing w:before="78" w:line="219" w:lineRule="auto"/>
        <w:ind w:left="9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4.9 </w:t>
      </w:r>
      <w:r>
        <w:rPr>
          <w:rFonts w:ascii="黑体" w:hAnsi="黑体" w:eastAsia="黑体" w:cs="黑体"/>
          <w:color w:val="auto"/>
          <w:spacing w:val="-1"/>
          <w:sz w:val="24"/>
          <w:szCs w:val="24"/>
          <w:highlight w:val="none"/>
        </w:rPr>
        <w:t>分部分项工程和单价措施项目清单与计价表</w:t>
      </w:r>
    </w:p>
    <w:p w14:paraId="15B91B26">
      <w:pPr>
        <w:spacing w:before="281" w:line="225" w:lineRule="auto"/>
        <w:ind w:left="1597"/>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分部分项工程和单价措施项目清单与计价表</w:t>
      </w:r>
    </w:p>
    <w:p w14:paraId="51179FD8">
      <w:pPr>
        <w:spacing w:before="262" w:line="221" w:lineRule="auto"/>
        <w:ind w:left="97"/>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工程名称：</w:t>
      </w:r>
      <w:r>
        <w:rPr>
          <w:rFonts w:ascii="宋体" w:hAnsi="宋体" w:eastAsia="宋体" w:cs="宋体"/>
          <w:color w:val="auto"/>
          <w:spacing w:val="7"/>
          <w:sz w:val="21"/>
          <w:szCs w:val="21"/>
          <w:highlight w:val="none"/>
        </w:rPr>
        <w:t xml:space="preserve">            </w:t>
      </w:r>
      <w:r>
        <w:rPr>
          <w:rFonts w:ascii="宋体" w:hAnsi="宋体" w:eastAsia="宋体" w:cs="宋体"/>
          <w:color w:val="auto"/>
          <w:spacing w:val="-11"/>
          <w:sz w:val="21"/>
          <w:szCs w:val="21"/>
          <w:highlight w:val="none"/>
        </w:rPr>
        <w:t>标段名称：                                     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1"/>
          <w:sz w:val="21"/>
          <w:szCs w:val="21"/>
          <w:highlight w:val="none"/>
        </w:rPr>
        <w:t>页</w:t>
      </w:r>
    </w:p>
    <w:p w14:paraId="5544AAC2">
      <w:pPr>
        <w:spacing w:line="233" w:lineRule="exact"/>
        <w:rPr>
          <w:color w:val="auto"/>
          <w:highlight w:val="none"/>
        </w:rPr>
      </w:pPr>
    </w:p>
    <w:tbl>
      <w:tblPr>
        <w:tblStyle w:val="17"/>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14:paraId="36ACB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14:paraId="6F715186">
            <w:pPr>
              <w:spacing w:line="436" w:lineRule="auto"/>
              <w:rPr>
                <w:rFonts w:ascii="Arial"/>
                <w:color w:val="auto"/>
                <w:sz w:val="21"/>
                <w:highlight w:val="none"/>
              </w:rPr>
            </w:pPr>
          </w:p>
          <w:p w14:paraId="601E030C">
            <w:pPr>
              <w:pStyle w:val="18"/>
              <w:spacing w:before="65" w:line="222" w:lineRule="auto"/>
              <w:ind w:left="127"/>
              <w:rPr>
                <w:color w:val="auto"/>
                <w:sz w:val="20"/>
                <w:szCs w:val="20"/>
                <w:highlight w:val="none"/>
              </w:rPr>
            </w:pPr>
            <w:r>
              <w:rPr>
                <w:color w:val="auto"/>
                <w:spacing w:val="-1"/>
                <w:sz w:val="20"/>
                <w:szCs w:val="20"/>
                <w:highlight w:val="none"/>
              </w:rPr>
              <w:t>序号</w:t>
            </w:r>
          </w:p>
        </w:tc>
        <w:tc>
          <w:tcPr>
            <w:tcW w:w="1043" w:type="dxa"/>
            <w:vMerge w:val="restart"/>
            <w:tcBorders>
              <w:top w:val="single" w:color="000000" w:sz="4" w:space="0"/>
              <w:bottom w:val="nil"/>
              <w:right w:val="single" w:color="000000" w:sz="4" w:space="0"/>
            </w:tcBorders>
            <w:vAlign w:val="top"/>
          </w:tcPr>
          <w:p w14:paraId="42D21852">
            <w:pPr>
              <w:spacing w:line="435" w:lineRule="auto"/>
              <w:rPr>
                <w:rFonts w:ascii="Arial"/>
                <w:color w:val="auto"/>
                <w:sz w:val="21"/>
                <w:highlight w:val="none"/>
              </w:rPr>
            </w:pPr>
          </w:p>
          <w:p w14:paraId="588D227C">
            <w:pPr>
              <w:pStyle w:val="18"/>
              <w:spacing w:before="65" w:line="221" w:lineRule="auto"/>
              <w:ind w:left="123"/>
              <w:rPr>
                <w:color w:val="auto"/>
                <w:sz w:val="20"/>
                <w:szCs w:val="20"/>
                <w:highlight w:val="none"/>
              </w:rPr>
            </w:pPr>
            <w:r>
              <w:rPr>
                <w:color w:val="auto"/>
                <w:spacing w:val="-1"/>
                <w:sz w:val="20"/>
                <w:szCs w:val="20"/>
                <w:highlight w:val="none"/>
              </w:rPr>
              <w:t>项目编码</w:t>
            </w:r>
          </w:p>
        </w:tc>
        <w:tc>
          <w:tcPr>
            <w:tcW w:w="1027" w:type="dxa"/>
            <w:vMerge w:val="restart"/>
            <w:tcBorders>
              <w:top w:val="single" w:color="000000" w:sz="4" w:space="0"/>
              <w:left w:val="single" w:color="000000" w:sz="4" w:space="0"/>
              <w:bottom w:val="nil"/>
              <w:right w:val="single" w:color="000000" w:sz="4" w:space="0"/>
            </w:tcBorders>
            <w:vAlign w:val="top"/>
          </w:tcPr>
          <w:p w14:paraId="6030EC86">
            <w:pPr>
              <w:spacing w:line="435" w:lineRule="auto"/>
              <w:rPr>
                <w:rFonts w:ascii="Arial"/>
                <w:color w:val="auto"/>
                <w:sz w:val="21"/>
                <w:highlight w:val="none"/>
              </w:rPr>
            </w:pPr>
          </w:p>
          <w:p w14:paraId="046412CF">
            <w:pPr>
              <w:pStyle w:val="18"/>
              <w:spacing w:before="65" w:line="222" w:lineRule="auto"/>
              <w:ind w:left="115"/>
              <w:rPr>
                <w:color w:val="auto"/>
                <w:sz w:val="20"/>
                <w:szCs w:val="20"/>
                <w:highlight w:val="none"/>
              </w:rPr>
            </w:pPr>
            <w:r>
              <w:rPr>
                <w:color w:val="auto"/>
                <w:spacing w:val="-1"/>
                <w:sz w:val="20"/>
                <w:szCs w:val="20"/>
                <w:highlight w:val="none"/>
              </w:rPr>
              <w:t>项目名称</w:t>
            </w:r>
          </w:p>
        </w:tc>
        <w:tc>
          <w:tcPr>
            <w:tcW w:w="1455" w:type="dxa"/>
            <w:vMerge w:val="restart"/>
            <w:tcBorders>
              <w:top w:val="single" w:color="000000" w:sz="4" w:space="0"/>
              <w:left w:val="single" w:color="000000" w:sz="4" w:space="0"/>
              <w:bottom w:val="nil"/>
            </w:tcBorders>
            <w:vAlign w:val="top"/>
          </w:tcPr>
          <w:p w14:paraId="3B4C636C">
            <w:pPr>
              <w:spacing w:line="435" w:lineRule="auto"/>
              <w:rPr>
                <w:rFonts w:ascii="Arial"/>
                <w:color w:val="auto"/>
                <w:sz w:val="21"/>
                <w:highlight w:val="none"/>
              </w:rPr>
            </w:pPr>
          </w:p>
          <w:p w14:paraId="52707277">
            <w:pPr>
              <w:pStyle w:val="18"/>
              <w:spacing w:before="65" w:line="221" w:lineRule="auto"/>
              <w:ind w:left="130"/>
              <w:rPr>
                <w:color w:val="auto"/>
                <w:sz w:val="20"/>
                <w:szCs w:val="20"/>
                <w:highlight w:val="none"/>
              </w:rPr>
            </w:pPr>
            <w:r>
              <w:rPr>
                <w:color w:val="auto"/>
                <w:spacing w:val="-1"/>
                <w:sz w:val="20"/>
                <w:szCs w:val="20"/>
                <w:highlight w:val="none"/>
              </w:rPr>
              <w:t>项目特征描述</w:t>
            </w:r>
          </w:p>
        </w:tc>
        <w:tc>
          <w:tcPr>
            <w:tcW w:w="1019" w:type="dxa"/>
            <w:vMerge w:val="restart"/>
            <w:tcBorders>
              <w:top w:val="single" w:color="000000" w:sz="4" w:space="0"/>
              <w:bottom w:val="nil"/>
              <w:right w:val="single" w:color="000000" w:sz="4" w:space="0"/>
            </w:tcBorders>
            <w:vAlign w:val="top"/>
          </w:tcPr>
          <w:p w14:paraId="65E0C51C">
            <w:pPr>
              <w:spacing w:line="435" w:lineRule="auto"/>
              <w:rPr>
                <w:rFonts w:ascii="Arial"/>
                <w:color w:val="auto"/>
                <w:sz w:val="21"/>
                <w:highlight w:val="none"/>
              </w:rPr>
            </w:pPr>
          </w:p>
          <w:p w14:paraId="67EF9C19">
            <w:pPr>
              <w:pStyle w:val="18"/>
              <w:spacing w:before="65" w:line="222" w:lineRule="auto"/>
              <w:ind w:left="110"/>
              <w:rPr>
                <w:color w:val="auto"/>
                <w:sz w:val="20"/>
                <w:szCs w:val="20"/>
                <w:highlight w:val="none"/>
              </w:rPr>
            </w:pPr>
            <w:r>
              <w:rPr>
                <w:color w:val="auto"/>
                <w:spacing w:val="-1"/>
                <w:sz w:val="20"/>
                <w:szCs w:val="20"/>
                <w:highlight w:val="none"/>
              </w:rPr>
              <w:t>计量单位</w:t>
            </w:r>
          </w:p>
        </w:tc>
        <w:tc>
          <w:tcPr>
            <w:tcW w:w="834" w:type="dxa"/>
            <w:vMerge w:val="restart"/>
            <w:tcBorders>
              <w:top w:val="single" w:color="000000" w:sz="4" w:space="0"/>
              <w:left w:val="single" w:color="000000" w:sz="4" w:space="0"/>
              <w:bottom w:val="nil"/>
              <w:right w:val="single" w:color="000000" w:sz="4" w:space="0"/>
            </w:tcBorders>
            <w:vAlign w:val="top"/>
          </w:tcPr>
          <w:p w14:paraId="23652BFB">
            <w:pPr>
              <w:spacing w:line="435" w:lineRule="auto"/>
              <w:rPr>
                <w:rFonts w:ascii="Arial"/>
                <w:color w:val="auto"/>
                <w:sz w:val="21"/>
                <w:highlight w:val="none"/>
              </w:rPr>
            </w:pPr>
          </w:p>
          <w:p w14:paraId="7E1F9E10">
            <w:pPr>
              <w:pStyle w:val="18"/>
              <w:spacing w:before="65" w:line="222" w:lineRule="auto"/>
              <w:ind w:left="124"/>
              <w:rPr>
                <w:color w:val="auto"/>
                <w:sz w:val="20"/>
                <w:szCs w:val="20"/>
                <w:highlight w:val="none"/>
              </w:rPr>
            </w:pPr>
            <w:r>
              <w:rPr>
                <w:color w:val="auto"/>
                <w:spacing w:val="-2"/>
                <w:sz w:val="20"/>
                <w:szCs w:val="20"/>
                <w:highlight w:val="none"/>
              </w:rPr>
              <w:t>工程量</w:t>
            </w:r>
          </w:p>
        </w:tc>
        <w:tc>
          <w:tcPr>
            <w:tcW w:w="2453" w:type="dxa"/>
            <w:gridSpan w:val="3"/>
            <w:tcBorders>
              <w:top w:val="single" w:color="000000" w:sz="4" w:space="0"/>
              <w:left w:val="single" w:color="000000" w:sz="4" w:space="0"/>
              <w:right w:val="single" w:color="000000" w:sz="4" w:space="0"/>
            </w:tcBorders>
            <w:vAlign w:val="top"/>
          </w:tcPr>
          <w:p w14:paraId="11CD8E5C">
            <w:pPr>
              <w:pStyle w:val="18"/>
              <w:spacing w:before="109" w:line="221" w:lineRule="auto"/>
              <w:ind w:left="729"/>
              <w:rPr>
                <w:color w:val="auto"/>
                <w:sz w:val="20"/>
                <w:szCs w:val="20"/>
                <w:highlight w:val="none"/>
              </w:rPr>
            </w:pPr>
            <w:r>
              <w:rPr>
                <w:color w:val="auto"/>
                <w:spacing w:val="-1"/>
                <w:sz w:val="20"/>
                <w:szCs w:val="20"/>
                <w:highlight w:val="none"/>
              </w:rPr>
              <w:t>金额（元）</w:t>
            </w:r>
          </w:p>
        </w:tc>
      </w:tr>
      <w:tr w14:paraId="2CB6E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14:paraId="011B2977">
            <w:pPr>
              <w:rPr>
                <w:rFonts w:ascii="Arial"/>
                <w:color w:val="auto"/>
                <w:sz w:val="21"/>
                <w:highlight w:val="none"/>
              </w:rPr>
            </w:pPr>
          </w:p>
        </w:tc>
        <w:tc>
          <w:tcPr>
            <w:tcW w:w="1043" w:type="dxa"/>
            <w:vMerge w:val="continue"/>
            <w:tcBorders>
              <w:top w:val="nil"/>
              <w:right w:val="single" w:color="000000" w:sz="4" w:space="0"/>
            </w:tcBorders>
            <w:vAlign w:val="top"/>
          </w:tcPr>
          <w:p w14:paraId="20C8ADC9">
            <w:pPr>
              <w:rPr>
                <w:rFonts w:ascii="Arial"/>
                <w:color w:val="auto"/>
                <w:sz w:val="21"/>
                <w:highlight w:val="none"/>
              </w:rPr>
            </w:pPr>
          </w:p>
        </w:tc>
        <w:tc>
          <w:tcPr>
            <w:tcW w:w="1027" w:type="dxa"/>
            <w:vMerge w:val="continue"/>
            <w:tcBorders>
              <w:top w:val="nil"/>
              <w:left w:val="single" w:color="000000" w:sz="4" w:space="0"/>
              <w:right w:val="single" w:color="000000" w:sz="4" w:space="0"/>
            </w:tcBorders>
            <w:vAlign w:val="top"/>
          </w:tcPr>
          <w:p w14:paraId="3BA68064">
            <w:pPr>
              <w:rPr>
                <w:rFonts w:ascii="Arial"/>
                <w:color w:val="auto"/>
                <w:sz w:val="21"/>
                <w:highlight w:val="none"/>
              </w:rPr>
            </w:pPr>
          </w:p>
        </w:tc>
        <w:tc>
          <w:tcPr>
            <w:tcW w:w="1455" w:type="dxa"/>
            <w:vMerge w:val="continue"/>
            <w:tcBorders>
              <w:top w:val="nil"/>
              <w:left w:val="single" w:color="000000" w:sz="4" w:space="0"/>
            </w:tcBorders>
            <w:vAlign w:val="top"/>
          </w:tcPr>
          <w:p w14:paraId="1D53D8F9">
            <w:pPr>
              <w:rPr>
                <w:rFonts w:ascii="Arial"/>
                <w:color w:val="auto"/>
                <w:sz w:val="21"/>
                <w:highlight w:val="none"/>
              </w:rPr>
            </w:pPr>
          </w:p>
        </w:tc>
        <w:tc>
          <w:tcPr>
            <w:tcW w:w="1019" w:type="dxa"/>
            <w:vMerge w:val="continue"/>
            <w:tcBorders>
              <w:top w:val="nil"/>
              <w:right w:val="single" w:color="000000" w:sz="4" w:space="0"/>
            </w:tcBorders>
            <w:vAlign w:val="top"/>
          </w:tcPr>
          <w:p w14:paraId="6B61CB59">
            <w:pPr>
              <w:rPr>
                <w:rFonts w:ascii="Arial"/>
                <w:color w:val="auto"/>
                <w:sz w:val="21"/>
                <w:highlight w:val="none"/>
              </w:rPr>
            </w:pPr>
          </w:p>
        </w:tc>
        <w:tc>
          <w:tcPr>
            <w:tcW w:w="834" w:type="dxa"/>
            <w:vMerge w:val="continue"/>
            <w:tcBorders>
              <w:top w:val="nil"/>
              <w:left w:val="single" w:color="000000" w:sz="4" w:space="0"/>
              <w:right w:val="single" w:color="000000" w:sz="4" w:space="0"/>
            </w:tcBorders>
            <w:vAlign w:val="top"/>
          </w:tcPr>
          <w:p w14:paraId="65B054F6">
            <w:pPr>
              <w:rPr>
                <w:rFonts w:ascii="Arial"/>
                <w:color w:val="auto"/>
                <w:sz w:val="21"/>
                <w:highlight w:val="none"/>
              </w:rPr>
            </w:pPr>
          </w:p>
        </w:tc>
        <w:tc>
          <w:tcPr>
            <w:tcW w:w="770" w:type="dxa"/>
            <w:tcBorders>
              <w:left w:val="single" w:color="000000" w:sz="4" w:space="0"/>
            </w:tcBorders>
            <w:vAlign w:val="top"/>
          </w:tcPr>
          <w:p w14:paraId="3CCA4632">
            <w:pPr>
              <w:pStyle w:val="18"/>
              <w:spacing w:before="158" w:line="239" w:lineRule="auto"/>
              <w:ind w:left="187"/>
              <w:rPr>
                <w:color w:val="auto"/>
                <w:sz w:val="20"/>
                <w:szCs w:val="20"/>
                <w:highlight w:val="none"/>
              </w:rPr>
            </w:pPr>
            <w:r>
              <w:rPr>
                <w:color w:val="auto"/>
                <w:spacing w:val="-2"/>
                <w:sz w:val="20"/>
                <w:szCs w:val="20"/>
                <w:highlight w:val="none"/>
              </w:rPr>
              <w:t>综合</w:t>
            </w:r>
          </w:p>
          <w:p w14:paraId="6E02BBBD">
            <w:pPr>
              <w:pStyle w:val="18"/>
              <w:spacing w:line="219" w:lineRule="auto"/>
              <w:ind w:left="186"/>
              <w:rPr>
                <w:color w:val="auto"/>
                <w:sz w:val="20"/>
                <w:szCs w:val="20"/>
                <w:highlight w:val="none"/>
              </w:rPr>
            </w:pPr>
            <w:r>
              <w:rPr>
                <w:color w:val="auto"/>
                <w:spacing w:val="-2"/>
                <w:sz w:val="20"/>
                <w:szCs w:val="20"/>
                <w:highlight w:val="none"/>
              </w:rPr>
              <w:t>单价</w:t>
            </w:r>
          </w:p>
        </w:tc>
        <w:tc>
          <w:tcPr>
            <w:tcW w:w="736" w:type="dxa"/>
            <w:tcBorders>
              <w:right w:val="single" w:color="000000" w:sz="4" w:space="0"/>
            </w:tcBorders>
            <w:vAlign w:val="top"/>
          </w:tcPr>
          <w:p w14:paraId="13C6B4D8">
            <w:pPr>
              <w:pStyle w:val="18"/>
              <w:spacing w:before="287" w:line="220" w:lineRule="auto"/>
              <w:ind w:left="177"/>
              <w:rPr>
                <w:color w:val="auto"/>
                <w:sz w:val="20"/>
                <w:szCs w:val="20"/>
                <w:highlight w:val="none"/>
              </w:rPr>
            </w:pPr>
            <w:r>
              <w:rPr>
                <w:color w:val="auto"/>
                <w:spacing w:val="-2"/>
                <w:sz w:val="20"/>
                <w:szCs w:val="20"/>
                <w:highlight w:val="none"/>
              </w:rPr>
              <w:t>合价</w:t>
            </w:r>
          </w:p>
        </w:tc>
        <w:tc>
          <w:tcPr>
            <w:tcW w:w="947" w:type="dxa"/>
            <w:tcBorders>
              <w:left w:val="single" w:color="000000" w:sz="4" w:space="0"/>
              <w:right w:val="single" w:color="000000" w:sz="4" w:space="0"/>
            </w:tcBorders>
            <w:vAlign w:val="top"/>
          </w:tcPr>
          <w:p w14:paraId="20D65EFF">
            <w:pPr>
              <w:pStyle w:val="18"/>
              <w:spacing w:before="27" w:line="229" w:lineRule="auto"/>
              <w:ind w:left="121" w:right="110" w:firstLine="157"/>
              <w:rPr>
                <w:color w:val="auto"/>
                <w:sz w:val="20"/>
                <w:szCs w:val="20"/>
                <w:highlight w:val="none"/>
              </w:rPr>
            </w:pPr>
            <w:r>
              <w:rPr>
                <w:color w:val="auto"/>
                <w:spacing w:val="-3"/>
                <w:sz w:val="20"/>
                <w:szCs w:val="20"/>
                <w:highlight w:val="none"/>
              </w:rPr>
              <w:t>其中</w:t>
            </w:r>
            <w:r>
              <w:rPr>
                <w:color w:val="auto"/>
                <w:sz w:val="20"/>
                <w:szCs w:val="20"/>
                <w:highlight w:val="none"/>
              </w:rPr>
              <w:t xml:space="preserve">  </w:t>
            </w:r>
            <w:r>
              <w:rPr>
                <w:color w:val="auto"/>
                <w:spacing w:val="-3"/>
                <w:sz w:val="20"/>
                <w:szCs w:val="20"/>
                <w:highlight w:val="none"/>
              </w:rPr>
              <w:t>人工费</w:t>
            </w:r>
            <w:r>
              <w:rPr>
                <w:rFonts w:ascii="Times New Roman" w:hAnsi="Times New Roman" w:eastAsia="Times New Roman" w:cs="Times New Roman"/>
                <w:color w:val="auto"/>
                <w:spacing w:val="-3"/>
                <w:sz w:val="20"/>
                <w:szCs w:val="20"/>
                <w:highlight w:val="none"/>
              </w:rPr>
              <w:t>+</w:t>
            </w:r>
            <w:r>
              <w:rPr>
                <w:rFonts w:ascii="Times New Roman" w:hAnsi="Times New Roman" w:eastAsia="Times New Roman" w:cs="Times New Roman"/>
                <w:color w:val="auto"/>
                <w:spacing w:val="2"/>
                <w:sz w:val="20"/>
                <w:szCs w:val="20"/>
                <w:highlight w:val="none"/>
              </w:rPr>
              <w:t xml:space="preserve"> </w:t>
            </w:r>
            <w:r>
              <w:rPr>
                <w:color w:val="auto"/>
                <w:spacing w:val="17"/>
                <w:sz w:val="20"/>
                <w:szCs w:val="20"/>
                <w:highlight w:val="none"/>
              </w:rPr>
              <w:t>机械费</w:t>
            </w:r>
          </w:p>
        </w:tc>
      </w:tr>
      <w:tr w14:paraId="10AE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44729BEA">
            <w:pPr>
              <w:rPr>
                <w:rFonts w:ascii="Arial"/>
                <w:color w:val="auto"/>
                <w:sz w:val="21"/>
                <w:highlight w:val="none"/>
              </w:rPr>
            </w:pPr>
          </w:p>
        </w:tc>
        <w:tc>
          <w:tcPr>
            <w:tcW w:w="1043" w:type="dxa"/>
            <w:tcBorders>
              <w:right w:val="single" w:color="000000" w:sz="4" w:space="0"/>
            </w:tcBorders>
            <w:vAlign w:val="top"/>
          </w:tcPr>
          <w:p w14:paraId="64825D9B">
            <w:pPr>
              <w:rPr>
                <w:rFonts w:ascii="Arial"/>
                <w:color w:val="auto"/>
                <w:sz w:val="21"/>
                <w:highlight w:val="none"/>
              </w:rPr>
            </w:pPr>
          </w:p>
        </w:tc>
        <w:tc>
          <w:tcPr>
            <w:tcW w:w="1027" w:type="dxa"/>
            <w:tcBorders>
              <w:left w:val="single" w:color="000000" w:sz="4" w:space="0"/>
              <w:right w:val="single" w:color="000000" w:sz="4" w:space="0"/>
            </w:tcBorders>
            <w:vAlign w:val="top"/>
          </w:tcPr>
          <w:p w14:paraId="05802C29">
            <w:pPr>
              <w:rPr>
                <w:rFonts w:ascii="Arial"/>
                <w:color w:val="auto"/>
                <w:sz w:val="21"/>
                <w:highlight w:val="none"/>
              </w:rPr>
            </w:pPr>
          </w:p>
        </w:tc>
        <w:tc>
          <w:tcPr>
            <w:tcW w:w="1455" w:type="dxa"/>
            <w:tcBorders>
              <w:left w:val="single" w:color="000000" w:sz="4" w:space="0"/>
            </w:tcBorders>
            <w:vAlign w:val="top"/>
          </w:tcPr>
          <w:p w14:paraId="499613E6">
            <w:pPr>
              <w:rPr>
                <w:rFonts w:ascii="Arial"/>
                <w:color w:val="auto"/>
                <w:sz w:val="21"/>
                <w:highlight w:val="none"/>
              </w:rPr>
            </w:pPr>
          </w:p>
        </w:tc>
        <w:tc>
          <w:tcPr>
            <w:tcW w:w="1019" w:type="dxa"/>
            <w:tcBorders>
              <w:right w:val="single" w:color="000000" w:sz="4" w:space="0"/>
            </w:tcBorders>
            <w:vAlign w:val="top"/>
          </w:tcPr>
          <w:p w14:paraId="403958F5">
            <w:pPr>
              <w:rPr>
                <w:rFonts w:ascii="Arial"/>
                <w:color w:val="auto"/>
                <w:sz w:val="21"/>
                <w:highlight w:val="none"/>
              </w:rPr>
            </w:pPr>
          </w:p>
        </w:tc>
        <w:tc>
          <w:tcPr>
            <w:tcW w:w="834" w:type="dxa"/>
            <w:tcBorders>
              <w:left w:val="single" w:color="000000" w:sz="4" w:space="0"/>
              <w:right w:val="single" w:color="000000" w:sz="4" w:space="0"/>
            </w:tcBorders>
            <w:vAlign w:val="top"/>
          </w:tcPr>
          <w:p w14:paraId="52A4A038">
            <w:pPr>
              <w:rPr>
                <w:rFonts w:ascii="Arial"/>
                <w:color w:val="auto"/>
                <w:sz w:val="21"/>
                <w:highlight w:val="none"/>
              </w:rPr>
            </w:pPr>
          </w:p>
        </w:tc>
        <w:tc>
          <w:tcPr>
            <w:tcW w:w="770" w:type="dxa"/>
            <w:tcBorders>
              <w:left w:val="single" w:color="000000" w:sz="4" w:space="0"/>
            </w:tcBorders>
            <w:vAlign w:val="top"/>
          </w:tcPr>
          <w:p w14:paraId="46762749">
            <w:pPr>
              <w:rPr>
                <w:rFonts w:ascii="Arial"/>
                <w:color w:val="auto"/>
                <w:sz w:val="21"/>
                <w:highlight w:val="none"/>
              </w:rPr>
            </w:pPr>
          </w:p>
        </w:tc>
        <w:tc>
          <w:tcPr>
            <w:tcW w:w="736" w:type="dxa"/>
            <w:tcBorders>
              <w:right w:val="single" w:color="000000" w:sz="4" w:space="0"/>
            </w:tcBorders>
            <w:vAlign w:val="top"/>
          </w:tcPr>
          <w:p w14:paraId="5289D6A9">
            <w:pPr>
              <w:rPr>
                <w:rFonts w:ascii="Arial"/>
                <w:color w:val="auto"/>
                <w:sz w:val="21"/>
                <w:highlight w:val="none"/>
              </w:rPr>
            </w:pPr>
          </w:p>
        </w:tc>
        <w:tc>
          <w:tcPr>
            <w:tcW w:w="947" w:type="dxa"/>
            <w:tcBorders>
              <w:left w:val="single" w:color="000000" w:sz="4" w:space="0"/>
              <w:right w:val="single" w:color="000000" w:sz="4" w:space="0"/>
            </w:tcBorders>
            <w:vAlign w:val="top"/>
          </w:tcPr>
          <w:p w14:paraId="186F0EE4">
            <w:pPr>
              <w:rPr>
                <w:rFonts w:ascii="Arial"/>
                <w:color w:val="auto"/>
                <w:sz w:val="21"/>
                <w:highlight w:val="none"/>
              </w:rPr>
            </w:pPr>
          </w:p>
        </w:tc>
      </w:tr>
      <w:tr w14:paraId="23D6E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8758A62">
            <w:pPr>
              <w:rPr>
                <w:rFonts w:ascii="Arial"/>
                <w:color w:val="auto"/>
                <w:sz w:val="21"/>
                <w:highlight w:val="none"/>
              </w:rPr>
            </w:pPr>
          </w:p>
        </w:tc>
        <w:tc>
          <w:tcPr>
            <w:tcW w:w="1043" w:type="dxa"/>
            <w:tcBorders>
              <w:right w:val="single" w:color="000000" w:sz="4" w:space="0"/>
            </w:tcBorders>
            <w:vAlign w:val="top"/>
          </w:tcPr>
          <w:p w14:paraId="14E13349">
            <w:pPr>
              <w:rPr>
                <w:rFonts w:ascii="Arial"/>
                <w:color w:val="auto"/>
                <w:sz w:val="21"/>
                <w:highlight w:val="none"/>
              </w:rPr>
            </w:pPr>
          </w:p>
        </w:tc>
        <w:tc>
          <w:tcPr>
            <w:tcW w:w="1027" w:type="dxa"/>
            <w:tcBorders>
              <w:left w:val="single" w:color="000000" w:sz="4" w:space="0"/>
              <w:right w:val="single" w:color="000000" w:sz="4" w:space="0"/>
            </w:tcBorders>
            <w:vAlign w:val="top"/>
          </w:tcPr>
          <w:p w14:paraId="37A8FA04">
            <w:pPr>
              <w:rPr>
                <w:rFonts w:ascii="Arial"/>
                <w:color w:val="auto"/>
                <w:sz w:val="21"/>
                <w:highlight w:val="none"/>
              </w:rPr>
            </w:pPr>
          </w:p>
        </w:tc>
        <w:tc>
          <w:tcPr>
            <w:tcW w:w="1455" w:type="dxa"/>
            <w:tcBorders>
              <w:left w:val="single" w:color="000000" w:sz="4" w:space="0"/>
            </w:tcBorders>
            <w:vAlign w:val="top"/>
          </w:tcPr>
          <w:p w14:paraId="400DE1B9">
            <w:pPr>
              <w:rPr>
                <w:rFonts w:ascii="Arial"/>
                <w:color w:val="auto"/>
                <w:sz w:val="21"/>
                <w:highlight w:val="none"/>
              </w:rPr>
            </w:pPr>
          </w:p>
        </w:tc>
        <w:tc>
          <w:tcPr>
            <w:tcW w:w="1019" w:type="dxa"/>
            <w:tcBorders>
              <w:right w:val="single" w:color="000000" w:sz="4" w:space="0"/>
            </w:tcBorders>
            <w:vAlign w:val="top"/>
          </w:tcPr>
          <w:p w14:paraId="249B414C">
            <w:pPr>
              <w:rPr>
                <w:rFonts w:ascii="Arial"/>
                <w:color w:val="auto"/>
                <w:sz w:val="21"/>
                <w:highlight w:val="none"/>
              </w:rPr>
            </w:pPr>
          </w:p>
        </w:tc>
        <w:tc>
          <w:tcPr>
            <w:tcW w:w="834" w:type="dxa"/>
            <w:tcBorders>
              <w:left w:val="single" w:color="000000" w:sz="4" w:space="0"/>
              <w:right w:val="single" w:color="000000" w:sz="4" w:space="0"/>
            </w:tcBorders>
            <w:vAlign w:val="top"/>
          </w:tcPr>
          <w:p w14:paraId="390A81C8">
            <w:pPr>
              <w:rPr>
                <w:rFonts w:ascii="Arial"/>
                <w:color w:val="auto"/>
                <w:sz w:val="21"/>
                <w:highlight w:val="none"/>
              </w:rPr>
            </w:pPr>
          </w:p>
        </w:tc>
        <w:tc>
          <w:tcPr>
            <w:tcW w:w="770" w:type="dxa"/>
            <w:tcBorders>
              <w:left w:val="single" w:color="000000" w:sz="4" w:space="0"/>
            </w:tcBorders>
            <w:vAlign w:val="top"/>
          </w:tcPr>
          <w:p w14:paraId="10736293">
            <w:pPr>
              <w:rPr>
                <w:rFonts w:ascii="Arial"/>
                <w:color w:val="auto"/>
                <w:sz w:val="21"/>
                <w:highlight w:val="none"/>
              </w:rPr>
            </w:pPr>
          </w:p>
        </w:tc>
        <w:tc>
          <w:tcPr>
            <w:tcW w:w="736" w:type="dxa"/>
            <w:tcBorders>
              <w:right w:val="single" w:color="000000" w:sz="4" w:space="0"/>
            </w:tcBorders>
            <w:vAlign w:val="top"/>
          </w:tcPr>
          <w:p w14:paraId="17FAFC89">
            <w:pPr>
              <w:rPr>
                <w:rFonts w:ascii="Arial"/>
                <w:color w:val="auto"/>
                <w:sz w:val="21"/>
                <w:highlight w:val="none"/>
              </w:rPr>
            </w:pPr>
          </w:p>
        </w:tc>
        <w:tc>
          <w:tcPr>
            <w:tcW w:w="947" w:type="dxa"/>
            <w:tcBorders>
              <w:left w:val="single" w:color="000000" w:sz="4" w:space="0"/>
              <w:right w:val="single" w:color="000000" w:sz="4" w:space="0"/>
            </w:tcBorders>
            <w:vAlign w:val="top"/>
          </w:tcPr>
          <w:p w14:paraId="6B8699DE">
            <w:pPr>
              <w:rPr>
                <w:rFonts w:ascii="Arial"/>
                <w:color w:val="auto"/>
                <w:sz w:val="21"/>
                <w:highlight w:val="none"/>
              </w:rPr>
            </w:pPr>
          </w:p>
        </w:tc>
      </w:tr>
      <w:tr w14:paraId="23ECF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2E803D63">
            <w:pPr>
              <w:rPr>
                <w:rFonts w:ascii="Arial"/>
                <w:color w:val="auto"/>
                <w:sz w:val="21"/>
                <w:highlight w:val="none"/>
              </w:rPr>
            </w:pPr>
          </w:p>
        </w:tc>
        <w:tc>
          <w:tcPr>
            <w:tcW w:w="1043" w:type="dxa"/>
            <w:tcBorders>
              <w:right w:val="single" w:color="000000" w:sz="4" w:space="0"/>
            </w:tcBorders>
            <w:vAlign w:val="top"/>
          </w:tcPr>
          <w:p w14:paraId="29C3790E">
            <w:pPr>
              <w:rPr>
                <w:rFonts w:ascii="Arial"/>
                <w:color w:val="auto"/>
                <w:sz w:val="21"/>
                <w:highlight w:val="none"/>
              </w:rPr>
            </w:pPr>
          </w:p>
        </w:tc>
        <w:tc>
          <w:tcPr>
            <w:tcW w:w="1027" w:type="dxa"/>
            <w:tcBorders>
              <w:left w:val="single" w:color="000000" w:sz="4" w:space="0"/>
              <w:right w:val="single" w:color="000000" w:sz="4" w:space="0"/>
            </w:tcBorders>
            <w:vAlign w:val="top"/>
          </w:tcPr>
          <w:p w14:paraId="093F819E">
            <w:pPr>
              <w:rPr>
                <w:rFonts w:ascii="Arial"/>
                <w:color w:val="auto"/>
                <w:sz w:val="21"/>
                <w:highlight w:val="none"/>
              </w:rPr>
            </w:pPr>
          </w:p>
        </w:tc>
        <w:tc>
          <w:tcPr>
            <w:tcW w:w="1455" w:type="dxa"/>
            <w:tcBorders>
              <w:left w:val="single" w:color="000000" w:sz="4" w:space="0"/>
            </w:tcBorders>
            <w:vAlign w:val="top"/>
          </w:tcPr>
          <w:p w14:paraId="2724D347">
            <w:pPr>
              <w:rPr>
                <w:rFonts w:ascii="Arial"/>
                <w:color w:val="auto"/>
                <w:sz w:val="21"/>
                <w:highlight w:val="none"/>
              </w:rPr>
            </w:pPr>
          </w:p>
        </w:tc>
        <w:tc>
          <w:tcPr>
            <w:tcW w:w="1019" w:type="dxa"/>
            <w:tcBorders>
              <w:right w:val="single" w:color="000000" w:sz="4" w:space="0"/>
            </w:tcBorders>
            <w:vAlign w:val="top"/>
          </w:tcPr>
          <w:p w14:paraId="390BD60C">
            <w:pPr>
              <w:rPr>
                <w:rFonts w:ascii="Arial"/>
                <w:color w:val="auto"/>
                <w:sz w:val="21"/>
                <w:highlight w:val="none"/>
              </w:rPr>
            </w:pPr>
          </w:p>
        </w:tc>
        <w:tc>
          <w:tcPr>
            <w:tcW w:w="834" w:type="dxa"/>
            <w:tcBorders>
              <w:left w:val="single" w:color="000000" w:sz="4" w:space="0"/>
              <w:right w:val="single" w:color="000000" w:sz="4" w:space="0"/>
            </w:tcBorders>
            <w:vAlign w:val="top"/>
          </w:tcPr>
          <w:p w14:paraId="0EA39D53">
            <w:pPr>
              <w:rPr>
                <w:rFonts w:ascii="Arial"/>
                <w:color w:val="auto"/>
                <w:sz w:val="21"/>
                <w:highlight w:val="none"/>
              </w:rPr>
            </w:pPr>
          </w:p>
        </w:tc>
        <w:tc>
          <w:tcPr>
            <w:tcW w:w="770" w:type="dxa"/>
            <w:tcBorders>
              <w:left w:val="single" w:color="000000" w:sz="4" w:space="0"/>
            </w:tcBorders>
            <w:vAlign w:val="top"/>
          </w:tcPr>
          <w:p w14:paraId="67DF5397">
            <w:pPr>
              <w:rPr>
                <w:rFonts w:ascii="Arial"/>
                <w:color w:val="auto"/>
                <w:sz w:val="21"/>
                <w:highlight w:val="none"/>
              </w:rPr>
            </w:pPr>
          </w:p>
        </w:tc>
        <w:tc>
          <w:tcPr>
            <w:tcW w:w="736" w:type="dxa"/>
            <w:tcBorders>
              <w:right w:val="single" w:color="000000" w:sz="4" w:space="0"/>
            </w:tcBorders>
            <w:vAlign w:val="top"/>
          </w:tcPr>
          <w:p w14:paraId="67D8E3BD">
            <w:pPr>
              <w:rPr>
                <w:rFonts w:ascii="Arial"/>
                <w:color w:val="auto"/>
                <w:sz w:val="21"/>
                <w:highlight w:val="none"/>
              </w:rPr>
            </w:pPr>
          </w:p>
        </w:tc>
        <w:tc>
          <w:tcPr>
            <w:tcW w:w="947" w:type="dxa"/>
            <w:tcBorders>
              <w:left w:val="single" w:color="000000" w:sz="4" w:space="0"/>
              <w:right w:val="single" w:color="000000" w:sz="4" w:space="0"/>
            </w:tcBorders>
            <w:vAlign w:val="top"/>
          </w:tcPr>
          <w:p w14:paraId="75194F4D">
            <w:pPr>
              <w:rPr>
                <w:rFonts w:ascii="Arial"/>
                <w:color w:val="auto"/>
                <w:sz w:val="21"/>
                <w:highlight w:val="none"/>
              </w:rPr>
            </w:pPr>
          </w:p>
        </w:tc>
      </w:tr>
      <w:tr w14:paraId="26202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6C3B40DF">
            <w:pPr>
              <w:rPr>
                <w:rFonts w:ascii="Arial"/>
                <w:color w:val="auto"/>
                <w:sz w:val="21"/>
                <w:highlight w:val="none"/>
              </w:rPr>
            </w:pPr>
          </w:p>
        </w:tc>
        <w:tc>
          <w:tcPr>
            <w:tcW w:w="1043" w:type="dxa"/>
            <w:tcBorders>
              <w:right w:val="single" w:color="000000" w:sz="4" w:space="0"/>
            </w:tcBorders>
            <w:vAlign w:val="top"/>
          </w:tcPr>
          <w:p w14:paraId="1D808D1B">
            <w:pPr>
              <w:rPr>
                <w:rFonts w:ascii="Arial"/>
                <w:color w:val="auto"/>
                <w:sz w:val="21"/>
                <w:highlight w:val="none"/>
              </w:rPr>
            </w:pPr>
          </w:p>
        </w:tc>
        <w:tc>
          <w:tcPr>
            <w:tcW w:w="1027" w:type="dxa"/>
            <w:tcBorders>
              <w:left w:val="single" w:color="000000" w:sz="4" w:space="0"/>
              <w:right w:val="single" w:color="000000" w:sz="4" w:space="0"/>
            </w:tcBorders>
            <w:vAlign w:val="top"/>
          </w:tcPr>
          <w:p w14:paraId="3B316897">
            <w:pPr>
              <w:rPr>
                <w:rFonts w:ascii="Arial"/>
                <w:color w:val="auto"/>
                <w:sz w:val="21"/>
                <w:highlight w:val="none"/>
              </w:rPr>
            </w:pPr>
          </w:p>
        </w:tc>
        <w:tc>
          <w:tcPr>
            <w:tcW w:w="1455" w:type="dxa"/>
            <w:tcBorders>
              <w:left w:val="single" w:color="000000" w:sz="4" w:space="0"/>
            </w:tcBorders>
            <w:vAlign w:val="top"/>
          </w:tcPr>
          <w:p w14:paraId="75E56FB4">
            <w:pPr>
              <w:rPr>
                <w:rFonts w:ascii="Arial"/>
                <w:color w:val="auto"/>
                <w:sz w:val="21"/>
                <w:highlight w:val="none"/>
              </w:rPr>
            </w:pPr>
          </w:p>
        </w:tc>
        <w:tc>
          <w:tcPr>
            <w:tcW w:w="1019" w:type="dxa"/>
            <w:tcBorders>
              <w:right w:val="single" w:color="000000" w:sz="4" w:space="0"/>
            </w:tcBorders>
            <w:vAlign w:val="top"/>
          </w:tcPr>
          <w:p w14:paraId="24727401">
            <w:pPr>
              <w:rPr>
                <w:rFonts w:ascii="Arial"/>
                <w:color w:val="auto"/>
                <w:sz w:val="21"/>
                <w:highlight w:val="none"/>
              </w:rPr>
            </w:pPr>
          </w:p>
        </w:tc>
        <w:tc>
          <w:tcPr>
            <w:tcW w:w="834" w:type="dxa"/>
            <w:tcBorders>
              <w:left w:val="single" w:color="000000" w:sz="4" w:space="0"/>
              <w:right w:val="single" w:color="000000" w:sz="4" w:space="0"/>
            </w:tcBorders>
            <w:vAlign w:val="top"/>
          </w:tcPr>
          <w:p w14:paraId="134CA411">
            <w:pPr>
              <w:rPr>
                <w:rFonts w:ascii="Arial"/>
                <w:color w:val="auto"/>
                <w:sz w:val="21"/>
                <w:highlight w:val="none"/>
              </w:rPr>
            </w:pPr>
          </w:p>
        </w:tc>
        <w:tc>
          <w:tcPr>
            <w:tcW w:w="770" w:type="dxa"/>
            <w:tcBorders>
              <w:left w:val="single" w:color="000000" w:sz="4" w:space="0"/>
            </w:tcBorders>
            <w:vAlign w:val="top"/>
          </w:tcPr>
          <w:p w14:paraId="5F8264FA">
            <w:pPr>
              <w:rPr>
                <w:rFonts w:ascii="Arial"/>
                <w:color w:val="auto"/>
                <w:sz w:val="21"/>
                <w:highlight w:val="none"/>
              </w:rPr>
            </w:pPr>
          </w:p>
        </w:tc>
        <w:tc>
          <w:tcPr>
            <w:tcW w:w="736" w:type="dxa"/>
            <w:tcBorders>
              <w:right w:val="single" w:color="000000" w:sz="4" w:space="0"/>
            </w:tcBorders>
            <w:vAlign w:val="top"/>
          </w:tcPr>
          <w:p w14:paraId="13BFA87D">
            <w:pPr>
              <w:rPr>
                <w:rFonts w:ascii="Arial"/>
                <w:color w:val="auto"/>
                <w:sz w:val="21"/>
                <w:highlight w:val="none"/>
              </w:rPr>
            </w:pPr>
          </w:p>
        </w:tc>
        <w:tc>
          <w:tcPr>
            <w:tcW w:w="947" w:type="dxa"/>
            <w:tcBorders>
              <w:left w:val="single" w:color="000000" w:sz="4" w:space="0"/>
              <w:right w:val="single" w:color="000000" w:sz="4" w:space="0"/>
            </w:tcBorders>
            <w:vAlign w:val="top"/>
          </w:tcPr>
          <w:p w14:paraId="1C955CE1">
            <w:pPr>
              <w:rPr>
                <w:rFonts w:ascii="Arial"/>
                <w:color w:val="auto"/>
                <w:sz w:val="21"/>
                <w:highlight w:val="none"/>
              </w:rPr>
            </w:pPr>
          </w:p>
        </w:tc>
      </w:tr>
      <w:tr w14:paraId="426DA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1F02C58F">
            <w:pPr>
              <w:rPr>
                <w:rFonts w:ascii="Arial"/>
                <w:color w:val="auto"/>
                <w:sz w:val="21"/>
                <w:highlight w:val="none"/>
              </w:rPr>
            </w:pPr>
          </w:p>
        </w:tc>
        <w:tc>
          <w:tcPr>
            <w:tcW w:w="1043" w:type="dxa"/>
            <w:tcBorders>
              <w:right w:val="single" w:color="000000" w:sz="4" w:space="0"/>
            </w:tcBorders>
            <w:vAlign w:val="top"/>
          </w:tcPr>
          <w:p w14:paraId="243180FC">
            <w:pPr>
              <w:rPr>
                <w:rFonts w:ascii="Arial"/>
                <w:color w:val="auto"/>
                <w:sz w:val="21"/>
                <w:highlight w:val="none"/>
              </w:rPr>
            </w:pPr>
          </w:p>
        </w:tc>
        <w:tc>
          <w:tcPr>
            <w:tcW w:w="1027" w:type="dxa"/>
            <w:tcBorders>
              <w:left w:val="single" w:color="000000" w:sz="4" w:space="0"/>
              <w:right w:val="single" w:color="000000" w:sz="4" w:space="0"/>
            </w:tcBorders>
            <w:vAlign w:val="top"/>
          </w:tcPr>
          <w:p w14:paraId="60032623">
            <w:pPr>
              <w:rPr>
                <w:rFonts w:ascii="Arial"/>
                <w:color w:val="auto"/>
                <w:sz w:val="21"/>
                <w:highlight w:val="none"/>
              </w:rPr>
            </w:pPr>
          </w:p>
        </w:tc>
        <w:tc>
          <w:tcPr>
            <w:tcW w:w="1455" w:type="dxa"/>
            <w:tcBorders>
              <w:left w:val="single" w:color="000000" w:sz="4" w:space="0"/>
            </w:tcBorders>
            <w:vAlign w:val="top"/>
          </w:tcPr>
          <w:p w14:paraId="3D34597D">
            <w:pPr>
              <w:rPr>
                <w:rFonts w:ascii="Arial"/>
                <w:color w:val="auto"/>
                <w:sz w:val="21"/>
                <w:highlight w:val="none"/>
              </w:rPr>
            </w:pPr>
          </w:p>
        </w:tc>
        <w:tc>
          <w:tcPr>
            <w:tcW w:w="1019" w:type="dxa"/>
            <w:tcBorders>
              <w:right w:val="single" w:color="000000" w:sz="4" w:space="0"/>
            </w:tcBorders>
            <w:vAlign w:val="top"/>
          </w:tcPr>
          <w:p w14:paraId="6C089B5C">
            <w:pPr>
              <w:rPr>
                <w:rFonts w:ascii="Arial"/>
                <w:color w:val="auto"/>
                <w:sz w:val="21"/>
                <w:highlight w:val="none"/>
              </w:rPr>
            </w:pPr>
          </w:p>
        </w:tc>
        <w:tc>
          <w:tcPr>
            <w:tcW w:w="834" w:type="dxa"/>
            <w:tcBorders>
              <w:left w:val="single" w:color="000000" w:sz="4" w:space="0"/>
              <w:right w:val="single" w:color="000000" w:sz="4" w:space="0"/>
            </w:tcBorders>
            <w:vAlign w:val="top"/>
          </w:tcPr>
          <w:p w14:paraId="645F1ED6">
            <w:pPr>
              <w:rPr>
                <w:rFonts w:ascii="Arial"/>
                <w:color w:val="auto"/>
                <w:sz w:val="21"/>
                <w:highlight w:val="none"/>
              </w:rPr>
            </w:pPr>
          </w:p>
        </w:tc>
        <w:tc>
          <w:tcPr>
            <w:tcW w:w="770" w:type="dxa"/>
            <w:tcBorders>
              <w:left w:val="single" w:color="000000" w:sz="4" w:space="0"/>
            </w:tcBorders>
            <w:vAlign w:val="top"/>
          </w:tcPr>
          <w:p w14:paraId="00F84F7D">
            <w:pPr>
              <w:rPr>
                <w:rFonts w:ascii="Arial"/>
                <w:color w:val="auto"/>
                <w:sz w:val="21"/>
                <w:highlight w:val="none"/>
              </w:rPr>
            </w:pPr>
          </w:p>
        </w:tc>
        <w:tc>
          <w:tcPr>
            <w:tcW w:w="736" w:type="dxa"/>
            <w:tcBorders>
              <w:right w:val="single" w:color="000000" w:sz="4" w:space="0"/>
            </w:tcBorders>
            <w:vAlign w:val="top"/>
          </w:tcPr>
          <w:p w14:paraId="6CF6B680">
            <w:pPr>
              <w:rPr>
                <w:rFonts w:ascii="Arial"/>
                <w:color w:val="auto"/>
                <w:sz w:val="21"/>
                <w:highlight w:val="none"/>
              </w:rPr>
            </w:pPr>
          </w:p>
        </w:tc>
        <w:tc>
          <w:tcPr>
            <w:tcW w:w="947" w:type="dxa"/>
            <w:tcBorders>
              <w:left w:val="single" w:color="000000" w:sz="4" w:space="0"/>
              <w:right w:val="single" w:color="000000" w:sz="4" w:space="0"/>
            </w:tcBorders>
            <w:vAlign w:val="top"/>
          </w:tcPr>
          <w:p w14:paraId="3F4B1E51">
            <w:pPr>
              <w:rPr>
                <w:rFonts w:ascii="Arial"/>
                <w:color w:val="auto"/>
                <w:sz w:val="21"/>
                <w:highlight w:val="none"/>
              </w:rPr>
            </w:pPr>
          </w:p>
        </w:tc>
      </w:tr>
      <w:tr w14:paraId="6F75E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348FCCE">
            <w:pPr>
              <w:rPr>
                <w:rFonts w:ascii="Arial"/>
                <w:color w:val="auto"/>
                <w:sz w:val="21"/>
                <w:highlight w:val="none"/>
              </w:rPr>
            </w:pPr>
          </w:p>
        </w:tc>
        <w:tc>
          <w:tcPr>
            <w:tcW w:w="1043" w:type="dxa"/>
            <w:tcBorders>
              <w:right w:val="single" w:color="000000" w:sz="4" w:space="0"/>
            </w:tcBorders>
            <w:vAlign w:val="top"/>
          </w:tcPr>
          <w:p w14:paraId="1D1C093E">
            <w:pPr>
              <w:rPr>
                <w:rFonts w:ascii="Arial"/>
                <w:color w:val="auto"/>
                <w:sz w:val="21"/>
                <w:highlight w:val="none"/>
              </w:rPr>
            </w:pPr>
          </w:p>
        </w:tc>
        <w:tc>
          <w:tcPr>
            <w:tcW w:w="1027" w:type="dxa"/>
            <w:tcBorders>
              <w:left w:val="single" w:color="000000" w:sz="4" w:space="0"/>
              <w:right w:val="single" w:color="000000" w:sz="4" w:space="0"/>
            </w:tcBorders>
            <w:vAlign w:val="top"/>
          </w:tcPr>
          <w:p w14:paraId="31CAF042">
            <w:pPr>
              <w:rPr>
                <w:rFonts w:ascii="Arial"/>
                <w:color w:val="auto"/>
                <w:sz w:val="21"/>
                <w:highlight w:val="none"/>
              </w:rPr>
            </w:pPr>
          </w:p>
        </w:tc>
        <w:tc>
          <w:tcPr>
            <w:tcW w:w="1455" w:type="dxa"/>
            <w:tcBorders>
              <w:left w:val="single" w:color="000000" w:sz="4" w:space="0"/>
            </w:tcBorders>
            <w:vAlign w:val="top"/>
          </w:tcPr>
          <w:p w14:paraId="43CCDA0A">
            <w:pPr>
              <w:rPr>
                <w:rFonts w:ascii="Arial"/>
                <w:color w:val="auto"/>
                <w:sz w:val="21"/>
                <w:highlight w:val="none"/>
              </w:rPr>
            </w:pPr>
          </w:p>
        </w:tc>
        <w:tc>
          <w:tcPr>
            <w:tcW w:w="1019" w:type="dxa"/>
            <w:tcBorders>
              <w:right w:val="single" w:color="000000" w:sz="4" w:space="0"/>
            </w:tcBorders>
            <w:vAlign w:val="top"/>
          </w:tcPr>
          <w:p w14:paraId="4D69A2C5">
            <w:pPr>
              <w:rPr>
                <w:rFonts w:ascii="Arial"/>
                <w:color w:val="auto"/>
                <w:sz w:val="21"/>
                <w:highlight w:val="none"/>
              </w:rPr>
            </w:pPr>
          </w:p>
        </w:tc>
        <w:tc>
          <w:tcPr>
            <w:tcW w:w="834" w:type="dxa"/>
            <w:tcBorders>
              <w:left w:val="single" w:color="000000" w:sz="4" w:space="0"/>
              <w:right w:val="single" w:color="000000" w:sz="4" w:space="0"/>
            </w:tcBorders>
            <w:vAlign w:val="top"/>
          </w:tcPr>
          <w:p w14:paraId="000E5826">
            <w:pPr>
              <w:rPr>
                <w:rFonts w:ascii="Arial"/>
                <w:color w:val="auto"/>
                <w:sz w:val="21"/>
                <w:highlight w:val="none"/>
              </w:rPr>
            </w:pPr>
          </w:p>
        </w:tc>
        <w:tc>
          <w:tcPr>
            <w:tcW w:w="770" w:type="dxa"/>
            <w:tcBorders>
              <w:left w:val="single" w:color="000000" w:sz="4" w:space="0"/>
            </w:tcBorders>
            <w:vAlign w:val="top"/>
          </w:tcPr>
          <w:p w14:paraId="0EF1AE41">
            <w:pPr>
              <w:rPr>
                <w:rFonts w:ascii="Arial"/>
                <w:color w:val="auto"/>
                <w:sz w:val="21"/>
                <w:highlight w:val="none"/>
              </w:rPr>
            </w:pPr>
          </w:p>
        </w:tc>
        <w:tc>
          <w:tcPr>
            <w:tcW w:w="736" w:type="dxa"/>
            <w:tcBorders>
              <w:right w:val="single" w:color="000000" w:sz="4" w:space="0"/>
            </w:tcBorders>
            <w:vAlign w:val="top"/>
          </w:tcPr>
          <w:p w14:paraId="296F8648">
            <w:pPr>
              <w:rPr>
                <w:rFonts w:ascii="Arial"/>
                <w:color w:val="auto"/>
                <w:sz w:val="21"/>
                <w:highlight w:val="none"/>
              </w:rPr>
            </w:pPr>
          </w:p>
        </w:tc>
        <w:tc>
          <w:tcPr>
            <w:tcW w:w="947" w:type="dxa"/>
            <w:tcBorders>
              <w:left w:val="single" w:color="000000" w:sz="4" w:space="0"/>
              <w:right w:val="single" w:color="000000" w:sz="4" w:space="0"/>
            </w:tcBorders>
            <w:vAlign w:val="top"/>
          </w:tcPr>
          <w:p w14:paraId="2C080644">
            <w:pPr>
              <w:rPr>
                <w:rFonts w:ascii="Arial"/>
                <w:color w:val="auto"/>
                <w:sz w:val="21"/>
                <w:highlight w:val="none"/>
              </w:rPr>
            </w:pPr>
          </w:p>
        </w:tc>
      </w:tr>
      <w:tr w14:paraId="14CA3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C6DA45A">
            <w:pPr>
              <w:rPr>
                <w:rFonts w:ascii="Arial"/>
                <w:color w:val="auto"/>
                <w:sz w:val="21"/>
                <w:highlight w:val="none"/>
              </w:rPr>
            </w:pPr>
          </w:p>
        </w:tc>
        <w:tc>
          <w:tcPr>
            <w:tcW w:w="1043" w:type="dxa"/>
            <w:tcBorders>
              <w:right w:val="single" w:color="000000" w:sz="4" w:space="0"/>
            </w:tcBorders>
            <w:vAlign w:val="top"/>
          </w:tcPr>
          <w:p w14:paraId="5A9B515A">
            <w:pPr>
              <w:rPr>
                <w:rFonts w:ascii="Arial"/>
                <w:color w:val="auto"/>
                <w:sz w:val="21"/>
                <w:highlight w:val="none"/>
              </w:rPr>
            </w:pPr>
          </w:p>
        </w:tc>
        <w:tc>
          <w:tcPr>
            <w:tcW w:w="1027" w:type="dxa"/>
            <w:tcBorders>
              <w:left w:val="single" w:color="000000" w:sz="4" w:space="0"/>
              <w:right w:val="single" w:color="000000" w:sz="4" w:space="0"/>
            </w:tcBorders>
            <w:vAlign w:val="top"/>
          </w:tcPr>
          <w:p w14:paraId="2463DA93">
            <w:pPr>
              <w:rPr>
                <w:rFonts w:ascii="Arial"/>
                <w:color w:val="auto"/>
                <w:sz w:val="21"/>
                <w:highlight w:val="none"/>
              </w:rPr>
            </w:pPr>
          </w:p>
        </w:tc>
        <w:tc>
          <w:tcPr>
            <w:tcW w:w="1455" w:type="dxa"/>
            <w:tcBorders>
              <w:left w:val="single" w:color="000000" w:sz="4" w:space="0"/>
            </w:tcBorders>
            <w:vAlign w:val="top"/>
          </w:tcPr>
          <w:p w14:paraId="381E77AB">
            <w:pPr>
              <w:rPr>
                <w:rFonts w:ascii="Arial"/>
                <w:color w:val="auto"/>
                <w:sz w:val="21"/>
                <w:highlight w:val="none"/>
              </w:rPr>
            </w:pPr>
          </w:p>
        </w:tc>
        <w:tc>
          <w:tcPr>
            <w:tcW w:w="1019" w:type="dxa"/>
            <w:tcBorders>
              <w:right w:val="single" w:color="000000" w:sz="4" w:space="0"/>
            </w:tcBorders>
            <w:vAlign w:val="top"/>
          </w:tcPr>
          <w:p w14:paraId="0E4B27AC">
            <w:pPr>
              <w:rPr>
                <w:rFonts w:ascii="Arial"/>
                <w:color w:val="auto"/>
                <w:sz w:val="21"/>
                <w:highlight w:val="none"/>
              </w:rPr>
            </w:pPr>
          </w:p>
        </w:tc>
        <w:tc>
          <w:tcPr>
            <w:tcW w:w="834" w:type="dxa"/>
            <w:tcBorders>
              <w:left w:val="single" w:color="000000" w:sz="4" w:space="0"/>
              <w:right w:val="single" w:color="000000" w:sz="4" w:space="0"/>
            </w:tcBorders>
            <w:vAlign w:val="top"/>
          </w:tcPr>
          <w:p w14:paraId="324E86AF">
            <w:pPr>
              <w:rPr>
                <w:rFonts w:ascii="Arial"/>
                <w:color w:val="auto"/>
                <w:sz w:val="21"/>
                <w:highlight w:val="none"/>
              </w:rPr>
            </w:pPr>
          </w:p>
        </w:tc>
        <w:tc>
          <w:tcPr>
            <w:tcW w:w="770" w:type="dxa"/>
            <w:tcBorders>
              <w:left w:val="single" w:color="000000" w:sz="4" w:space="0"/>
            </w:tcBorders>
            <w:vAlign w:val="top"/>
          </w:tcPr>
          <w:p w14:paraId="2E859F04">
            <w:pPr>
              <w:rPr>
                <w:rFonts w:ascii="Arial"/>
                <w:color w:val="auto"/>
                <w:sz w:val="21"/>
                <w:highlight w:val="none"/>
              </w:rPr>
            </w:pPr>
          </w:p>
        </w:tc>
        <w:tc>
          <w:tcPr>
            <w:tcW w:w="736" w:type="dxa"/>
            <w:tcBorders>
              <w:right w:val="single" w:color="000000" w:sz="4" w:space="0"/>
            </w:tcBorders>
            <w:vAlign w:val="top"/>
          </w:tcPr>
          <w:p w14:paraId="03CE228A">
            <w:pPr>
              <w:rPr>
                <w:rFonts w:ascii="Arial"/>
                <w:color w:val="auto"/>
                <w:sz w:val="21"/>
                <w:highlight w:val="none"/>
              </w:rPr>
            </w:pPr>
          </w:p>
        </w:tc>
        <w:tc>
          <w:tcPr>
            <w:tcW w:w="947" w:type="dxa"/>
            <w:tcBorders>
              <w:left w:val="single" w:color="000000" w:sz="4" w:space="0"/>
              <w:right w:val="single" w:color="000000" w:sz="4" w:space="0"/>
            </w:tcBorders>
            <w:vAlign w:val="top"/>
          </w:tcPr>
          <w:p w14:paraId="0C7918BA">
            <w:pPr>
              <w:rPr>
                <w:rFonts w:ascii="Arial"/>
                <w:color w:val="auto"/>
                <w:sz w:val="21"/>
                <w:highlight w:val="none"/>
              </w:rPr>
            </w:pPr>
          </w:p>
        </w:tc>
      </w:tr>
      <w:tr w14:paraId="1B39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4816382A">
            <w:pPr>
              <w:rPr>
                <w:rFonts w:ascii="Arial"/>
                <w:color w:val="auto"/>
                <w:sz w:val="21"/>
                <w:highlight w:val="none"/>
              </w:rPr>
            </w:pPr>
          </w:p>
        </w:tc>
        <w:tc>
          <w:tcPr>
            <w:tcW w:w="1043" w:type="dxa"/>
            <w:tcBorders>
              <w:right w:val="single" w:color="000000" w:sz="4" w:space="0"/>
            </w:tcBorders>
            <w:vAlign w:val="top"/>
          </w:tcPr>
          <w:p w14:paraId="4188353B">
            <w:pPr>
              <w:rPr>
                <w:rFonts w:ascii="Arial"/>
                <w:color w:val="auto"/>
                <w:sz w:val="21"/>
                <w:highlight w:val="none"/>
              </w:rPr>
            </w:pPr>
          </w:p>
        </w:tc>
        <w:tc>
          <w:tcPr>
            <w:tcW w:w="1027" w:type="dxa"/>
            <w:tcBorders>
              <w:left w:val="single" w:color="000000" w:sz="4" w:space="0"/>
              <w:right w:val="single" w:color="000000" w:sz="4" w:space="0"/>
            </w:tcBorders>
            <w:vAlign w:val="top"/>
          </w:tcPr>
          <w:p w14:paraId="3AA72119">
            <w:pPr>
              <w:rPr>
                <w:rFonts w:ascii="Arial"/>
                <w:color w:val="auto"/>
                <w:sz w:val="21"/>
                <w:highlight w:val="none"/>
              </w:rPr>
            </w:pPr>
          </w:p>
        </w:tc>
        <w:tc>
          <w:tcPr>
            <w:tcW w:w="1455" w:type="dxa"/>
            <w:tcBorders>
              <w:left w:val="single" w:color="000000" w:sz="4" w:space="0"/>
            </w:tcBorders>
            <w:vAlign w:val="top"/>
          </w:tcPr>
          <w:p w14:paraId="02112714">
            <w:pPr>
              <w:rPr>
                <w:rFonts w:ascii="Arial"/>
                <w:color w:val="auto"/>
                <w:sz w:val="21"/>
                <w:highlight w:val="none"/>
              </w:rPr>
            </w:pPr>
          </w:p>
        </w:tc>
        <w:tc>
          <w:tcPr>
            <w:tcW w:w="1019" w:type="dxa"/>
            <w:tcBorders>
              <w:right w:val="single" w:color="000000" w:sz="4" w:space="0"/>
            </w:tcBorders>
            <w:vAlign w:val="top"/>
          </w:tcPr>
          <w:p w14:paraId="49FE0250">
            <w:pPr>
              <w:rPr>
                <w:rFonts w:ascii="Arial"/>
                <w:color w:val="auto"/>
                <w:sz w:val="21"/>
                <w:highlight w:val="none"/>
              </w:rPr>
            </w:pPr>
          </w:p>
        </w:tc>
        <w:tc>
          <w:tcPr>
            <w:tcW w:w="834" w:type="dxa"/>
            <w:tcBorders>
              <w:left w:val="single" w:color="000000" w:sz="4" w:space="0"/>
              <w:right w:val="single" w:color="000000" w:sz="4" w:space="0"/>
            </w:tcBorders>
            <w:vAlign w:val="top"/>
          </w:tcPr>
          <w:p w14:paraId="4599B769">
            <w:pPr>
              <w:rPr>
                <w:rFonts w:ascii="Arial"/>
                <w:color w:val="auto"/>
                <w:sz w:val="21"/>
                <w:highlight w:val="none"/>
              </w:rPr>
            </w:pPr>
          </w:p>
        </w:tc>
        <w:tc>
          <w:tcPr>
            <w:tcW w:w="770" w:type="dxa"/>
            <w:tcBorders>
              <w:left w:val="single" w:color="000000" w:sz="4" w:space="0"/>
            </w:tcBorders>
            <w:vAlign w:val="top"/>
          </w:tcPr>
          <w:p w14:paraId="3CD62F0D">
            <w:pPr>
              <w:rPr>
                <w:rFonts w:ascii="Arial"/>
                <w:color w:val="auto"/>
                <w:sz w:val="21"/>
                <w:highlight w:val="none"/>
              </w:rPr>
            </w:pPr>
          </w:p>
        </w:tc>
        <w:tc>
          <w:tcPr>
            <w:tcW w:w="736" w:type="dxa"/>
            <w:tcBorders>
              <w:right w:val="single" w:color="000000" w:sz="4" w:space="0"/>
            </w:tcBorders>
            <w:vAlign w:val="top"/>
          </w:tcPr>
          <w:p w14:paraId="4A3FEECD">
            <w:pPr>
              <w:rPr>
                <w:rFonts w:ascii="Arial"/>
                <w:color w:val="auto"/>
                <w:sz w:val="21"/>
                <w:highlight w:val="none"/>
              </w:rPr>
            </w:pPr>
          </w:p>
        </w:tc>
        <w:tc>
          <w:tcPr>
            <w:tcW w:w="947" w:type="dxa"/>
            <w:tcBorders>
              <w:left w:val="single" w:color="000000" w:sz="4" w:space="0"/>
              <w:right w:val="single" w:color="000000" w:sz="4" w:space="0"/>
            </w:tcBorders>
            <w:vAlign w:val="top"/>
          </w:tcPr>
          <w:p w14:paraId="6A399DD3">
            <w:pPr>
              <w:rPr>
                <w:rFonts w:ascii="Arial"/>
                <w:color w:val="auto"/>
                <w:sz w:val="21"/>
                <w:highlight w:val="none"/>
              </w:rPr>
            </w:pPr>
          </w:p>
        </w:tc>
      </w:tr>
      <w:tr w14:paraId="63C3B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24091587">
            <w:pPr>
              <w:rPr>
                <w:rFonts w:ascii="Arial"/>
                <w:color w:val="auto"/>
                <w:sz w:val="21"/>
                <w:highlight w:val="none"/>
              </w:rPr>
            </w:pPr>
          </w:p>
        </w:tc>
        <w:tc>
          <w:tcPr>
            <w:tcW w:w="1043" w:type="dxa"/>
            <w:tcBorders>
              <w:right w:val="single" w:color="000000" w:sz="4" w:space="0"/>
            </w:tcBorders>
            <w:vAlign w:val="top"/>
          </w:tcPr>
          <w:p w14:paraId="71F37EB0">
            <w:pPr>
              <w:rPr>
                <w:rFonts w:ascii="Arial"/>
                <w:color w:val="auto"/>
                <w:sz w:val="21"/>
                <w:highlight w:val="none"/>
              </w:rPr>
            </w:pPr>
          </w:p>
        </w:tc>
        <w:tc>
          <w:tcPr>
            <w:tcW w:w="1027" w:type="dxa"/>
            <w:tcBorders>
              <w:left w:val="single" w:color="000000" w:sz="4" w:space="0"/>
              <w:right w:val="single" w:color="000000" w:sz="4" w:space="0"/>
            </w:tcBorders>
            <w:vAlign w:val="top"/>
          </w:tcPr>
          <w:p w14:paraId="4CC57B8D">
            <w:pPr>
              <w:rPr>
                <w:rFonts w:ascii="Arial"/>
                <w:color w:val="auto"/>
                <w:sz w:val="21"/>
                <w:highlight w:val="none"/>
              </w:rPr>
            </w:pPr>
          </w:p>
        </w:tc>
        <w:tc>
          <w:tcPr>
            <w:tcW w:w="1455" w:type="dxa"/>
            <w:tcBorders>
              <w:left w:val="single" w:color="000000" w:sz="4" w:space="0"/>
            </w:tcBorders>
            <w:vAlign w:val="top"/>
          </w:tcPr>
          <w:p w14:paraId="002E7597">
            <w:pPr>
              <w:rPr>
                <w:rFonts w:ascii="Arial"/>
                <w:color w:val="auto"/>
                <w:sz w:val="21"/>
                <w:highlight w:val="none"/>
              </w:rPr>
            </w:pPr>
          </w:p>
        </w:tc>
        <w:tc>
          <w:tcPr>
            <w:tcW w:w="1019" w:type="dxa"/>
            <w:tcBorders>
              <w:right w:val="single" w:color="000000" w:sz="4" w:space="0"/>
            </w:tcBorders>
            <w:vAlign w:val="top"/>
          </w:tcPr>
          <w:p w14:paraId="6340D7B1">
            <w:pPr>
              <w:rPr>
                <w:rFonts w:ascii="Arial"/>
                <w:color w:val="auto"/>
                <w:sz w:val="21"/>
                <w:highlight w:val="none"/>
              </w:rPr>
            </w:pPr>
          </w:p>
        </w:tc>
        <w:tc>
          <w:tcPr>
            <w:tcW w:w="834" w:type="dxa"/>
            <w:tcBorders>
              <w:left w:val="single" w:color="000000" w:sz="4" w:space="0"/>
              <w:right w:val="single" w:color="000000" w:sz="4" w:space="0"/>
            </w:tcBorders>
            <w:vAlign w:val="top"/>
          </w:tcPr>
          <w:p w14:paraId="0CF918AA">
            <w:pPr>
              <w:rPr>
                <w:rFonts w:ascii="Arial"/>
                <w:color w:val="auto"/>
                <w:sz w:val="21"/>
                <w:highlight w:val="none"/>
              </w:rPr>
            </w:pPr>
          </w:p>
        </w:tc>
        <w:tc>
          <w:tcPr>
            <w:tcW w:w="770" w:type="dxa"/>
            <w:tcBorders>
              <w:left w:val="single" w:color="000000" w:sz="4" w:space="0"/>
            </w:tcBorders>
            <w:vAlign w:val="top"/>
          </w:tcPr>
          <w:p w14:paraId="4BBCFC7D">
            <w:pPr>
              <w:rPr>
                <w:rFonts w:ascii="Arial"/>
                <w:color w:val="auto"/>
                <w:sz w:val="21"/>
                <w:highlight w:val="none"/>
              </w:rPr>
            </w:pPr>
          </w:p>
        </w:tc>
        <w:tc>
          <w:tcPr>
            <w:tcW w:w="736" w:type="dxa"/>
            <w:tcBorders>
              <w:right w:val="single" w:color="000000" w:sz="4" w:space="0"/>
            </w:tcBorders>
            <w:vAlign w:val="top"/>
          </w:tcPr>
          <w:p w14:paraId="34733516">
            <w:pPr>
              <w:rPr>
                <w:rFonts w:ascii="Arial"/>
                <w:color w:val="auto"/>
                <w:sz w:val="21"/>
                <w:highlight w:val="none"/>
              </w:rPr>
            </w:pPr>
          </w:p>
        </w:tc>
        <w:tc>
          <w:tcPr>
            <w:tcW w:w="947" w:type="dxa"/>
            <w:tcBorders>
              <w:left w:val="single" w:color="000000" w:sz="4" w:space="0"/>
              <w:right w:val="single" w:color="000000" w:sz="4" w:space="0"/>
            </w:tcBorders>
            <w:vAlign w:val="top"/>
          </w:tcPr>
          <w:p w14:paraId="55A85329">
            <w:pPr>
              <w:rPr>
                <w:rFonts w:ascii="Arial"/>
                <w:color w:val="auto"/>
                <w:sz w:val="21"/>
                <w:highlight w:val="none"/>
              </w:rPr>
            </w:pPr>
          </w:p>
        </w:tc>
      </w:tr>
      <w:tr w14:paraId="124B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E6C803D">
            <w:pPr>
              <w:rPr>
                <w:rFonts w:ascii="Arial"/>
                <w:color w:val="auto"/>
                <w:sz w:val="21"/>
                <w:highlight w:val="none"/>
              </w:rPr>
            </w:pPr>
          </w:p>
        </w:tc>
        <w:tc>
          <w:tcPr>
            <w:tcW w:w="1043" w:type="dxa"/>
            <w:tcBorders>
              <w:right w:val="single" w:color="000000" w:sz="4" w:space="0"/>
            </w:tcBorders>
            <w:vAlign w:val="top"/>
          </w:tcPr>
          <w:p w14:paraId="5FF88FE6">
            <w:pPr>
              <w:rPr>
                <w:rFonts w:ascii="Arial"/>
                <w:color w:val="auto"/>
                <w:sz w:val="21"/>
                <w:highlight w:val="none"/>
              </w:rPr>
            </w:pPr>
          </w:p>
        </w:tc>
        <w:tc>
          <w:tcPr>
            <w:tcW w:w="1027" w:type="dxa"/>
            <w:tcBorders>
              <w:left w:val="single" w:color="000000" w:sz="4" w:space="0"/>
              <w:right w:val="single" w:color="000000" w:sz="4" w:space="0"/>
            </w:tcBorders>
            <w:vAlign w:val="top"/>
          </w:tcPr>
          <w:p w14:paraId="212BD71C">
            <w:pPr>
              <w:rPr>
                <w:rFonts w:ascii="Arial"/>
                <w:color w:val="auto"/>
                <w:sz w:val="21"/>
                <w:highlight w:val="none"/>
              </w:rPr>
            </w:pPr>
          </w:p>
        </w:tc>
        <w:tc>
          <w:tcPr>
            <w:tcW w:w="1455" w:type="dxa"/>
            <w:tcBorders>
              <w:left w:val="single" w:color="000000" w:sz="4" w:space="0"/>
            </w:tcBorders>
            <w:vAlign w:val="top"/>
          </w:tcPr>
          <w:p w14:paraId="32D05B03">
            <w:pPr>
              <w:rPr>
                <w:rFonts w:ascii="Arial"/>
                <w:color w:val="auto"/>
                <w:sz w:val="21"/>
                <w:highlight w:val="none"/>
              </w:rPr>
            </w:pPr>
          </w:p>
        </w:tc>
        <w:tc>
          <w:tcPr>
            <w:tcW w:w="1019" w:type="dxa"/>
            <w:tcBorders>
              <w:right w:val="single" w:color="000000" w:sz="4" w:space="0"/>
            </w:tcBorders>
            <w:vAlign w:val="top"/>
          </w:tcPr>
          <w:p w14:paraId="7A2F18DE">
            <w:pPr>
              <w:rPr>
                <w:rFonts w:ascii="Arial"/>
                <w:color w:val="auto"/>
                <w:sz w:val="21"/>
                <w:highlight w:val="none"/>
              </w:rPr>
            </w:pPr>
          </w:p>
        </w:tc>
        <w:tc>
          <w:tcPr>
            <w:tcW w:w="834" w:type="dxa"/>
            <w:tcBorders>
              <w:left w:val="single" w:color="000000" w:sz="4" w:space="0"/>
              <w:right w:val="single" w:color="000000" w:sz="4" w:space="0"/>
            </w:tcBorders>
            <w:vAlign w:val="top"/>
          </w:tcPr>
          <w:p w14:paraId="36CB36EF">
            <w:pPr>
              <w:rPr>
                <w:rFonts w:ascii="Arial"/>
                <w:color w:val="auto"/>
                <w:sz w:val="21"/>
                <w:highlight w:val="none"/>
              </w:rPr>
            </w:pPr>
          </w:p>
        </w:tc>
        <w:tc>
          <w:tcPr>
            <w:tcW w:w="770" w:type="dxa"/>
            <w:tcBorders>
              <w:left w:val="single" w:color="000000" w:sz="4" w:space="0"/>
            </w:tcBorders>
            <w:vAlign w:val="top"/>
          </w:tcPr>
          <w:p w14:paraId="7BF8FA76">
            <w:pPr>
              <w:rPr>
                <w:rFonts w:ascii="Arial"/>
                <w:color w:val="auto"/>
                <w:sz w:val="21"/>
                <w:highlight w:val="none"/>
              </w:rPr>
            </w:pPr>
          </w:p>
        </w:tc>
        <w:tc>
          <w:tcPr>
            <w:tcW w:w="736" w:type="dxa"/>
            <w:tcBorders>
              <w:right w:val="single" w:color="000000" w:sz="4" w:space="0"/>
            </w:tcBorders>
            <w:vAlign w:val="top"/>
          </w:tcPr>
          <w:p w14:paraId="2294AAAA">
            <w:pPr>
              <w:rPr>
                <w:rFonts w:ascii="Arial"/>
                <w:color w:val="auto"/>
                <w:sz w:val="21"/>
                <w:highlight w:val="none"/>
              </w:rPr>
            </w:pPr>
          </w:p>
        </w:tc>
        <w:tc>
          <w:tcPr>
            <w:tcW w:w="947" w:type="dxa"/>
            <w:tcBorders>
              <w:left w:val="single" w:color="000000" w:sz="4" w:space="0"/>
              <w:right w:val="single" w:color="000000" w:sz="4" w:space="0"/>
            </w:tcBorders>
            <w:vAlign w:val="top"/>
          </w:tcPr>
          <w:p w14:paraId="5AB2C1E3">
            <w:pPr>
              <w:rPr>
                <w:rFonts w:ascii="Arial"/>
                <w:color w:val="auto"/>
                <w:sz w:val="21"/>
                <w:highlight w:val="none"/>
              </w:rPr>
            </w:pPr>
          </w:p>
        </w:tc>
      </w:tr>
      <w:tr w14:paraId="3ABAF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562FE807">
            <w:pPr>
              <w:rPr>
                <w:rFonts w:ascii="Arial"/>
                <w:color w:val="auto"/>
                <w:sz w:val="21"/>
                <w:highlight w:val="none"/>
              </w:rPr>
            </w:pPr>
          </w:p>
        </w:tc>
        <w:tc>
          <w:tcPr>
            <w:tcW w:w="1043" w:type="dxa"/>
            <w:tcBorders>
              <w:right w:val="single" w:color="000000" w:sz="4" w:space="0"/>
            </w:tcBorders>
            <w:vAlign w:val="top"/>
          </w:tcPr>
          <w:p w14:paraId="507C74DE">
            <w:pPr>
              <w:rPr>
                <w:rFonts w:ascii="Arial"/>
                <w:color w:val="auto"/>
                <w:sz w:val="21"/>
                <w:highlight w:val="none"/>
              </w:rPr>
            </w:pPr>
          </w:p>
        </w:tc>
        <w:tc>
          <w:tcPr>
            <w:tcW w:w="1027" w:type="dxa"/>
            <w:tcBorders>
              <w:left w:val="single" w:color="000000" w:sz="4" w:space="0"/>
              <w:right w:val="single" w:color="000000" w:sz="4" w:space="0"/>
            </w:tcBorders>
            <w:vAlign w:val="top"/>
          </w:tcPr>
          <w:p w14:paraId="798A2B09">
            <w:pPr>
              <w:rPr>
                <w:rFonts w:ascii="Arial"/>
                <w:color w:val="auto"/>
                <w:sz w:val="21"/>
                <w:highlight w:val="none"/>
              </w:rPr>
            </w:pPr>
          </w:p>
        </w:tc>
        <w:tc>
          <w:tcPr>
            <w:tcW w:w="1455" w:type="dxa"/>
            <w:tcBorders>
              <w:left w:val="single" w:color="000000" w:sz="4" w:space="0"/>
            </w:tcBorders>
            <w:vAlign w:val="top"/>
          </w:tcPr>
          <w:p w14:paraId="4E8261ED">
            <w:pPr>
              <w:rPr>
                <w:rFonts w:ascii="Arial"/>
                <w:color w:val="auto"/>
                <w:sz w:val="21"/>
                <w:highlight w:val="none"/>
              </w:rPr>
            </w:pPr>
          </w:p>
        </w:tc>
        <w:tc>
          <w:tcPr>
            <w:tcW w:w="1019" w:type="dxa"/>
            <w:tcBorders>
              <w:right w:val="single" w:color="000000" w:sz="4" w:space="0"/>
            </w:tcBorders>
            <w:vAlign w:val="top"/>
          </w:tcPr>
          <w:p w14:paraId="1FD36720">
            <w:pPr>
              <w:rPr>
                <w:rFonts w:ascii="Arial"/>
                <w:color w:val="auto"/>
                <w:sz w:val="21"/>
                <w:highlight w:val="none"/>
              </w:rPr>
            </w:pPr>
          </w:p>
        </w:tc>
        <w:tc>
          <w:tcPr>
            <w:tcW w:w="834" w:type="dxa"/>
            <w:tcBorders>
              <w:left w:val="single" w:color="000000" w:sz="4" w:space="0"/>
              <w:right w:val="single" w:color="000000" w:sz="4" w:space="0"/>
            </w:tcBorders>
            <w:vAlign w:val="top"/>
          </w:tcPr>
          <w:p w14:paraId="6E3ACB96">
            <w:pPr>
              <w:rPr>
                <w:rFonts w:ascii="Arial"/>
                <w:color w:val="auto"/>
                <w:sz w:val="21"/>
                <w:highlight w:val="none"/>
              </w:rPr>
            </w:pPr>
          </w:p>
        </w:tc>
        <w:tc>
          <w:tcPr>
            <w:tcW w:w="770" w:type="dxa"/>
            <w:tcBorders>
              <w:left w:val="single" w:color="000000" w:sz="4" w:space="0"/>
            </w:tcBorders>
            <w:vAlign w:val="top"/>
          </w:tcPr>
          <w:p w14:paraId="1C9D1AEA">
            <w:pPr>
              <w:rPr>
                <w:rFonts w:ascii="Arial"/>
                <w:color w:val="auto"/>
                <w:sz w:val="21"/>
                <w:highlight w:val="none"/>
              </w:rPr>
            </w:pPr>
          </w:p>
        </w:tc>
        <w:tc>
          <w:tcPr>
            <w:tcW w:w="736" w:type="dxa"/>
            <w:tcBorders>
              <w:right w:val="single" w:color="000000" w:sz="4" w:space="0"/>
            </w:tcBorders>
            <w:vAlign w:val="top"/>
          </w:tcPr>
          <w:p w14:paraId="1E953F0C">
            <w:pPr>
              <w:rPr>
                <w:rFonts w:ascii="Arial"/>
                <w:color w:val="auto"/>
                <w:sz w:val="21"/>
                <w:highlight w:val="none"/>
              </w:rPr>
            </w:pPr>
          </w:p>
        </w:tc>
        <w:tc>
          <w:tcPr>
            <w:tcW w:w="947" w:type="dxa"/>
            <w:tcBorders>
              <w:left w:val="single" w:color="000000" w:sz="4" w:space="0"/>
              <w:right w:val="single" w:color="000000" w:sz="4" w:space="0"/>
            </w:tcBorders>
            <w:vAlign w:val="top"/>
          </w:tcPr>
          <w:p w14:paraId="2B045E6D">
            <w:pPr>
              <w:rPr>
                <w:rFonts w:ascii="Arial"/>
                <w:color w:val="auto"/>
                <w:sz w:val="21"/>
                <w:highlight w:val="none"/>
              </w:rPr>
            </w:pPr>
          </w:p>
        </w:tc>
      </w:tr>
      <w:tr w14:paraId="44A3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10FE986">
            <w:pPr>
              <w:rPr>
                <w:rFonts w:ascii="Arial"/>
                <w:color w:val="auto"/>
                <w:sz w:val="21"/>
                <w:highlight w:val="none"/>
              </w:rPr>
            </w:pPr>
          </w:p>
        </w:tc>
        <w:tc>
          <w:tcPr>
            <w:tcW w:w="1043" w:type="dxa"/>
            <w:tcBorders>
              <w:right w:val="single" w:color="000000" w:sz="4" w:space="0"/>
            </w:tcBorders>
            <w:vAlign w:val="top"/>
          </w:tcPr>
          <w:p w14:paraId="50901771">
            <w:pPr>
              <w:rPr>
                <w:rFonts w:ascii="Arial"/>
                <w:color w:val="auto"/>
                <w:sz w:val="21"/>
                <w:highlight w:val="none"/>
              </w:rPr>
            </w:pPr>
          </w:p>
        </w:tc>
        <w:tc>
          <w:tcPr>
            <w:tcW w:w="1027" w:type="dxa"/>
            <w:tcBorders>
              <w:left w:val="single" w:color="000000" w:sz="4" w:space="0"/>
              <w:right w:val="single" w:color="000000" w:sz="4" w:space="0"/>
            </w:tcBorders>
            <w:vAlign w:val="top"/>
          </w:tcPr>
          <w:p w14:paraId="4A8A6522">
            <w:pPr>
              <w:rPr>
                <w:rFonts w:ascii="Arial"/>
                <w:color w:val="auto"/>
                <w:sz w:val="21"/>
                <w:highlight w:val="none"/>
              </w:rPr>
            </w:pPr>
          </w:p>
        </w:tc>
        <w:tc>
          <w:tcPr>
            <w:tcW w:w="1455" w:type="dxa"/>
            <w:tcBorders>
              <w:left w:val="single" w:color="000000" w:sz="4" w:space="0"/>
            </w:tcBorders>
            <w:vAlign w:val="top"/>
          </w:tcPr>
          <w:p w14:paraId="1A7E6324">
            <w:pPr>
              <w:rPr>
                <w:rFonts w:ascii="Arial"/>
                <w:color w:val="auto"/>
                <w:sz w:val="21"/>
                <w:highlight w:val="none"/>
              </w:rPr>
            </w:pPr>
          </w:p>
        </w:tc>
        <w:tc>
          <w:tcPr>
            <w:tcW w:w="1019" w:type="dxa"/>
            <w:tcBorders>
              <w:right w:val="single" w:color="000000" w:sz="4" w:space="0"/>
            </w:tcBorders>
            <w:vAlign w:val="top"/>
          </w:tcPr>
          <w:p w14:paraId="4AC65D4F">
            <w:pPr>
              <w:rPr>
                <w:rFonts w:ascii="Arial"/>
                <w:color w:val="auto"/>
                <w:sz w:val="21"/>
                <w:highlight w:val="none"/>
              </w:rPr>
            </w:pPr>
          </w:p>
        </w:tc>
        <w:tc>
          <w:tcPr>
            <w:tcW w:w="834" w:type="dxa"/>
            <w:tcBorders>
              <w:left w:val="single" w:color="000000" w:sz="4" w:space="0"/>
              <w:right w:val="single" w:color="000000" w:sz="4" w:space="0"/>
            </w:tcBorders>
            <w:vAlign w:val="top"/>
          </w:tcPr>
          <w:p w14:paraId="0B10F351">
            <w:pPr>
              <w:rPr>
                <w:rFonts w:ascii="Arial"/>
                <w:color w:val="auto"/>
                <w:sz w:val="21"/>
                <w:highlight w:val="none"/>
              </w:rPr>
            </w:pPr>
          </w:p>
        </w:tc>
        <w:tc>
          <w:tcPr>
            <w:tcW w:w="770" w:type="dxa"/>
            <w:tcBorders>
              <w:left w:val="single" w:color="000000" w:sz="4" w:space="0"/>
            </w:tcBorders>
            <w:vAlign w:val="top"/>
          </w:tcPr>
          <w:p w14:paraId="44D98B89">
            <w:pPr>
              <w:rPr>
                <w:rFonts w:ascii="Arial"/>
                <w:color w:val="auto"/>
                <w:sz w:val="21"/>
                <w:highlight w:val="none"/>
              </w:rPr>
            </w:pPr>
          </w:p>
        </w:tc>
        <w:tc>
          <w:tcPr>
            <w:tcW w:w="736" w:type="dxa"/>
            <w:tcBorders>
              <w:right w:val="single" w:color="000000" w:sz="4" w:space="0"/>
            </w:tcBorders>
            <w:vAlign w:val="top"/>
          </w:tcPr>
          <w:p w14:paraId="77DADEE2">
            <w:pPr>
              <w:rPr>
                <w:rFonts w:ascii="Arial"/>
                <w:color w:val="auto"/>
                <w:sz w:val="21"/>
                <w:highlight w:val="none"/>
              </w:rPr>
            </w:pPr>
          </w:p>
        </w:tc>
        <w:tc>
          <w:tcPr>
            <w:tcW w:w="947" w:type="dxa"/>
            <w:tcBorders>
              <w:left w:val="single" w:color="000000" w:sz="4" w:space="0"/>
              <w:right w:val="single" w:color="000000" w:sz="4" w:space="0"/>
            </w:tcBorders>
            <w:vAlign w:val="top"/>
          </w:tcPr>
          <w:p w14:paraId="73BEDBF9">
            <w:pPr>
              <w:rPr>
                <w:rFonts w:ascii="Arial"/>
                <w:color w:val="auto"/>
                <w:sz w:val="21"/>
                <w:highlight w:val="none"/>
              </w:rPr>
            </w:pPr>
          </w:p>
        </w:tc>
      </w:tr>
      <w:tr w14:paraId="5CBAD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0268DDD6">
            <w:pPr>
              <w:rPr>
                <w:rFonts w:ascii="Arial"/>
                <w:color w:val="auto"/>
                <w:sz w:val="21"/>
                <w:highlight w:val="none"/>
              </w:rPr>
            </w:pPr>
          </w:p>
        </w:tc>
        <w:tc>
          <w:tcPr>
            <w:tcW w:w="1043" w:type="dxa"/>
            <w:tcBorders>
              <w:right w:val="single" w:color="000000" w:sz="4" w:space="0"/>
            </w:tcBorders>
            <w:vAlign w:val="top"/>
          </w:tcPr>
          <w:p w14:paraId="46625667">
            <w:pPr>
              <w:rPr>
                <w:rFonts w:ascii="Arial"/>
                <w:color w:val="auto"/>
                <w:sz w:val="21"/>
                <w:highlight w:val="none"/>
              </w:rPr>
            </w:pPr>
          </w:p>
        </w:tc>
        <w:tc>
          <w:tcPr>
            <w:tcW w:w="1027" w:type="dxa"/>
            <w:tcBorders>
              <w:left w:val="single" w:color="000000" w:sz="4" w:space="0"/>
              <w:right w:val="single" w:color="000000" w:sz="4" w:space="0"/>
            </w:tcBorders>
            <w:vAlign w:val="top"/>
          </w:tcPr>
          <w:p w14:paraId="2905ED1C">
            <w:pPr>
              <w:rPr>
                <w:rFonts w:ascii="Arial"/>
                <w:color w:val="auto"/>
                <w:sz w:val="21"/>
                <w:highlight w:val="none"/>
              </w:rPr>
            </w:pPr>
          </w:p>
        </w:tc>
        <w:tc>
          <w:tcPr>
            <w:tcW w:w="1455" w:type="dxa"/>
            <w:tcBorders>
              <w:left w:val="single" w:color="000000" w:sz="4" w:space="0"/>
            </w:tcBorders>
            <w:vAlign w:val="top"/>
          </w:tcPr>
          <w:p w14:paraId="75DE9AD1">
            <w:pPr>
              <w:rPr>
                <w:rFonts w:ascii="Arial"/>
                <w:color w:val="auto"/>
                <w:sz w:val="21"/>
                <w:highlight w:val="none"/>
              </w:rPr>
            </w:pPr>
          </w:p>
        </w:tc>
        <w:tc>
          <w:tcPr>
            <w:tcW w:w="1019" w:type="dxa"/>
            <w:tcBorders>
              <w:right w:val="single" w:color="000000" w:sz="4" w:space="0"/>
            </w:tcBorders>
            <w:vAlign w:val="top"/>
          </w:tcPr>
          <w:p w14:paraId="6A0DEA39">
            <w:pPr>
              <w:rPr>
                <w:rFonts w:ascii="Arial"/>
                <w:color w:val="auto"/>
                <w:sz w:val="21"/>
                <w:highlight w:val="none"/>
              </w:rPr>
            </w:pPr>
          </w:p>
        </w:tc>
        <w:tc>
          <w:tcPr>
            <w:tcW w:w="834" w:type="dxa"/>
            <w:tcBorders>
              <w:left w:val="single" w:color="000000" w:sz="4" w:space="0"/>
              <w:right w:val="single" w:color="000000" w:sz="4" w:space="0"/>
            </w:tcBorders>
            <w:vAlign w:val="top"/>
          </w:tcPr>
          <w:p w14:paraId="62B2A56C">
            <w:pPr>
              <w:rPr>
                <w:rFonts w:ascii="Arial"/>
                <w:color w:val="auto"/>
                <w:sz w:val="21"/>
                <w:highlight w:val="none"/>
              </w:rPr>
            </w:pPr>
          </w:p>
        </w:tc>
        <w:tc>
          <w:tcPr>
            <w:tcW w:w="770" w:type="dxa"/>
            <w:tcBorders>
              <w:left w:val="single" w:color="000000" w:sz="4" w:space="0"/>
            </w:tcBorders>
            <w:vAlign w:val="top"/>
          </w:tcPr>
          <w:p w14:paraId="37626DF4">
            <w:pPr>
              <w:rPr>
                <w:rFonts w:ascii="Arial"/>
                <w:color w:val="auto"/>
                <w:sz w:val="21"/>
                <w:highlight w:val="none"/>
              </w:rPr>
            </w:pPr>
          </w:p>
        </w:tc>
        <w:tc>
          <w:tcPr>
            <w:tcW w:w="736" w:type="dxa"/>
            <w:tcBorders>
              <w:right w:val="single" w:color="000000" w:sz="4" w:space="0"/>
            </w:tcBorders>
            <w:vAlign w:val="top"/>
          </w:tcPr>
          <w:p w14:paraId="50BF90D0">
            <w:pPr>
              <w:rPr>
                <w:rFonts w:ascii="Arial"/>
                <w:color w:val="auto"/>
                <w:sz w:val="21"/>
                <w:highlight w:val="none"/>
              </w:rPr>
            </w:pPr>
          </w:p>
        </w:tc>
        <w:tc>
          <w:tcPr>
            <w:tcW w:w="947" w:type="dxa"/>
            <w:tcBorders>
              <w:left w:val="single" w:color="000000" w:sz="4" w:space="0"/>
              <w:right w:val="single" w:color="000000" w:sz="4" w:space="0"/>
            </w:tcBorders>
            <w:vAlign w:val="top"/>
          </w:tcPr>
          <w:p w14:paraId="31E4E4A9">
            <w:pPr>
              <w:rPr>
                <w:rFonts w:ascii="Arial"/>
                <w:color w:val="auto"/>
                <w:sz w:val="21"/>
                <w:highlight w:val="none"/>
              </w:rPr>
            </w:pPr>
          </w:p>
        </w:tc>
      </w:tr>
      <w:tr w14:paraId="2EF03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0764B696">
            <w:pPr>
              <w:rPr>
                <w:rFonts w:ascii="Arial"/>
                <w:color w:val="auto"/>
                <w:sz w:val="21"/>
                <w:highlight w:val="none"/>
              </w:rPr>
            </w:pPr>
          </w:p>
        </w:tc>
        <w:tc>
          <w:tcPr>
            <w:tcW w:w="1043" w:type="dxa"/>
            <w:tcBorders>
              <w:right w:val="single" w:color="000000" w:sz="4" w:space="0"/>
            </w:tcBorders>
            <w:vAlign w:val="top"/>
          </w:tcPr>
          <w:p w14:paraId="4D2552A1">
            <w:pPr>
              <w:rPr>
                <w:rFonts w:ascii="Arial"/>
                <w:color w:val="auto"/>
                <w:sz w:val="21"/>
                <w:highlight w:val="none"/>
              </w:rPr>
            </w:pPr>
          </w:p>
        </w:tc>
        <w:tc>
          <w:tcPr>
            <w:tcW w:w="1027" w:type="dxa"/>
            <w:tcBorders>
              <w:left w:val="single" w:color="000000" w:sz="4" w:space="0"/>
              <w:right w:val="single" w:color="000000" w:sz="4" w:space="0"/>
            </w:tcBorders>
            <w:vAlign w:val="top"/>
          </w:tcPr>
          <w:p w14:paraId="507B97FB">
            <w:pPr>
              <w:rPr>
                <w:rFonts w:ascii="Arial"/>
                <w:color w:val="auto"/>
                <w:sz w:val="21"/>
                <w:highlight w:val="none"/>
              </w:rPr>
            </w:pPr>
          </w:p>
        </w:tc>
        <w:tc>
          <w:tcPr>
            <w:tcW w:w="1455" w:type="dxa"/>
            <w:tcBorders>
              <w:left w:val="single" w:color="000000" w:sz="4" w:space="0"/>
            </w:tcBorders>
            <w:vAlign w:val="top"/>
          </w:tcPr>
          <w:p w14:paraId="465BA4EF">
            <w:pPr>
              <w:rPr>
                <w:rFonts w:ascii="Arial"/>
                <w:color w:val="auto"/>
                <w:sz w:val="21"/>
                <w:highlight w:val="none"/>
              </w:rPr>
            </w:pPr>
          </w:p>
        </w:tc>
        <w:tc>
          <w:tcPr>
            <w:tcW w:w="1019" w:type="dxa"/>
            <w:tcBorders>
              <w:right w:val="single" w:color="000000" w:sz="4" w:space="0"/>
            </w:tcBorders>
            <w:vAlign w:val="top"/>
          </w:tcPr>
          <w:p w14:paraId="290049CF">
            <w:pPr>
              <w:rPr>
                <w:rFonts w:ascii="Arial"/>
                <w:color w:val="auto"/>
                <w:sz w:val="21"/>
                <w:highlight w:val="none"/>
              </w:rPr>
            </w:pPr>
          </w:p>
        </w:tc>
        <w:tc>
          <w:tcPr>
            <w:tcW w:w="834" w:type="dxa"/>
            <w:tcBorders>
              <w:left w:val="single" w:color="000000" w:sz="4" w:space="0"/>
              <w:right w:val="single" w:color="000000" w:sz="4" w:space="0"/>
            </w:tcBorders>
            <w:vAlign w:val="top"/>
          </w:tcPr>
          <w:p w14:paraId="28ED24FC">
            <w:pPr>
              <w:rPr>
                <w:rFonts w:ascii="Arial"/>
                <w:color w:val="auto"/>
                <w:sz w:val="21"/>
                <w:highlight w:val="none"/>
              </w:rPr>
            </w:pPr>
          </w:p>
        </w:tc>
        <w:tc>
          <w:tcPr>
            <w:tcW w:w="770" w:type="dxa"/>
            <w:tcBorders>
              <w:left w:val="single" w:color="000000" w:sz="4" w:space="0"/>
            </w:tcBorders>
            <w:vAlign w:val="top"/>
          </w:tcPr>
          <w:p w14:paraId="541D5AA4">
            <w:pPr>
              <w:rPr>
                <w:rFonts w:ascii="Arial"/>
                <w:color w:val="auto"/>
                <w:sz w:val="21"/>
                <w:highlight w:val="none"/>
              </w:rPr>
            </w:pPr>
          </w:p>
        </w:tc>
        <w:tc>
          <w:tcPr>
            <w:tcW w:w="736" w:type="dxa"/>
            <w:tcBorders>
              <w:right w:val="single" w:color="000000" w:sz="4" w:space="0"/>
            </w:tcBorders>
            <w:vAlign w:val="top"/>
          </w:tcPr>
          <w:p w14:paraId="34A1CF1C">
            <w:pPr>
              <w:rPr>
                <w:rFonts w:ascii="Arial"/>
                <w:color w:val="auto"/>
                <w:sz w:val="21"/>
                <w:highlight w:val="none"/>
              </w:rPr>
            </w:pPr>
          </w:p>
        </w:tc>
        <w:tc>
          <w:tcPr>
            <w:tcW w:w="947" w:type="dxa"/>
            <w:tcBorders>
              <w:left w:val="single" w:color="000000" w:sz="4" w:space="0"/>
              <w:right w:val="single" w:color="000000" w:sz="4" w:space="0"/>
            </w:tcBorders>
            <w:vAlign w:val="top"/>
          </w:tcPr>
          <w:p w14:paraId="04B9F120">
            <w:pPr>
              <w:rPr>
                <w:rFonts w:ascii="Arial"/>
                <w:color w:val="auto"/>
                <w:sz w:val="21"/>
                <w:highlight w:val="none"/>
              </w:rPr>
            </w:pPr>
          </w:p>
        </w:tc>
      </w:tr>
      <w:tr w14:paraId="08C61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17EE4CA5">
            <w:pPr>
              <w:rPr>
                <w:rFonts w:ascii="Arial"/>
                <w:color w:val="auto"/>
                <w:sz w:val="21"/>
                <w:highlight w:val="none"/>
              </w:rPr>
            </w:pPr>
          </w:p>
        </w:tc>
        <w:tc>
          <w:tcPr>
            <w:tcW w:w="1043" w:type="dxa"/>
            <w:tcBorders>
              <w:right w:val="single" w:color="000000" w:sz="4" w:space="0"/>
            </w:tcBorders>
            <w:vAlign w:val="top"/>
          </w:tcPr>
          <w:p w14:paraId="763B079B">
            <w:pPr>
              <w:rPr>
                <w:rFonts w:ascii="Arial"/>
                <w:color w:val="auto"/>
                <w:sz w:val="21"/>
                <w:highlight w:val="none"/>
              </w:rPr>
            </w:pPr>
          </w:p>
        </w:tc>
        <w:tc>
          <w:tcPr>
            <w:tcW w:w="1027" w:type="dxa"/>
            <w:tcBorders>
              <w:left w:val="single" w:color="000000" w:sz="4" w:space="0"/>
              <w:right w:val="single" w:color="000000" w:sz="4" w:space="0"/>
            </w:tcBorders>
            <w:vAlign w:val="top"/>
          </w:tcPr>
          <w:p w14:paraId="7C2F805D">
            <w:pPr>
              <w:rPr>
                <w:rFonts w:ascii="Arial"/>
                <w:color w:val="auto"/>
                <w:sz w:val="21"/>
                <w:highlight w:val="none"/>
              </w:rPr>
            </w:pPr>
          </w:p>
        </w:tc>
        <w:tc>
          <w:tcPr>
            <w:tcW w:w="1455" w:type="dxa"/>
            <w:tcBorders>
              <w:left w:val="single" w:color="000000" w:sz="4" w:space="0"/>
            </w:tcBorders>
            <w:vAlign w:val="top"/>
          </w:tcPr>
          <w:p w14:paraId="23F84970">
            <w:pPr>
              <w:rPr>
                <w:rFonts w:ascii="Arial"/>
                <w:color w:val="auto"/>
                <w:sz w:val="21"/>
                <w:highlight w:val="none"/>
              </w:rPr>
            </w:pPr>
          </w:p>
        </w:tc>
        <w:tc>
          <w:tcPr>
            <w:tcW w:w="1019" w:type="dxa"/>
            <w:tcBorders>
              <w:right w:val="single" w:color="000000" w:sz="4" w:space="0"/>
            </w:tcBorders>
            <w:vAlign w:val="top"/>
          </w:tcPr>
          <w:p w14:paraId="3A6B020E">
            <w:pPr>
              <w:rPr>
                <w:rFonts w:ascii="Arial"/>
                <w:color w:val="auto"/>
                <w:sz w:val="21"/>
                <w:highlight w:val="none"/>
              </w:rPr>
            </w:pPr>
          </w:p>
        </w:tc>
        <w:tc>
          <w:tcPr>
            <w:tcW w:w="834" w:type="dxa"/>
            <w:tcBorders>
              <w:left w:val="single" w:color="000000" w:sz="4" w:space="0"/>
              <w:right w:val="single" w:color="000000" w:sz="4" w:space="0"/>
            </w:tcBorders>
            <w:vAlign w:val="top"/>
          </w:tcPr>
          <w:p w14:paraId="709D1E7E">
            <w:pPr>
              <w:rPr>
                <w:rFonts w:ascii="Arial"/>
                <w:color w:val="auto"/>
                <w:sz w:val="21"/>
                <w:highlight w:val="none"/>
              </w:rPr>
            </w:pPr>
          </w:p>
        </w:tc>
        <w:tc>
          <w:tcPr>
            <w:tcW w:w="770" w:type="dxa"/>
            <w:tcBorders>
              <w:left w:val="single" w:color="000000" w:sz="4" w:space="0"/>
            </w:tcBorders>
            <w:vAlign w:val="top"/>
          </w:tcPr>
          <w:p w14:paraId="5855A56B">
            <w:pPr>
              <w:rPr>
                <w:rFonts w:ascii="Arial"/>
                <w:color w:val="auto"/>
                <w:sz w:val="21"/>
                <w:highlight w:val="none"/>
              </w:rPr>
            </w:pPr>
          </w:p>
        </w:tc>
        <w:tc>
          <w:tcPr>
            <w:tcW w:w="736" w:type="dxa"/>
            <w:tcBorders>
              <w:right w:val="single" w:color="000000" w:sz="4" w:space="0"/>
            </w:tcBorders>
            <w:vAlign w:val="top"/>
          </w:tcPr>
          <w:p w14:paraId="3C064A53">
            <w:pPr>
              <w:rPr>
                <w:rFonts w:ascii="Arial"/>
                <w:color w:val="auto"/>
                <w:sz w:val="21"/>
                <w:highlight w:val="none"/>
              </w:rPr>
            </w:pPr>
          </w:p>
        </w:tc>
        <w:tc>
          <w:tcPr>
            <w:tcW w:w="947" w:type="dxa"/>
            <w:tcBorders>
              <w:left w:val="single" w:color="000000" w:sz="4" w:space="0"/>
              <w:right w:val="single" w:color="000000" w:sz="4" w:space="0"/>
            </w:tcBorders>
            <w:vAlign w:val="top"/>
          </w:tcPr>
          <w:p w14:paraId="63E204AF">
            <w:pPr>
              <w:rPr>
                <w:rFonts w:ascii="Arial"/>
                <w:color w:val="auto"/>
                <w:sz w:val="21"/>
                <w:highlight w:val="none"/>
              </w:rPr>
            </w:pPr>
          </w:p>
        </w:tc>
      </w:tr>
      <w:tr w14:paraId="203A8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58CF004A">
            <w:pPr>
              <w:rPr>
                <w:rFonts w:ascii="Arial"/>
                <w:color w:val="auto"/>
                <w:sz w:val="21"/>
                <w:highlight w:val="none"/>
              </w:rPr>
            </w:pPr>
          </w:p>
        </w:tc>
        <w:tc>
          <w:tcPr>
            <w:tcW w:w="1043" w:type="dxa"/>
            <w:tcBorders>
              <w:right w:val="single" w:color="000000" w:sz="4" w:space="0"/>
            </w:tcBorders>
            <w:vAlign w:val="top"/>
          </w:tcPr>
          <w:p w14:paraId="3A846A9C">
            <w:pPr>
              <w:rPr>
                <w:rFonts w:ascii="Arial"/>
                <w:color w:val="auto"/>
                <w:sz w:val="21"/>
                <w:highlight w:val="none"/>
              </w:rPr>
            </w:pPr>
          </w:p>
        </w:tc>
        <w:tc>
          <w:tcPr>
            <w:tcW w:w="1027" w:type="dxa"/>
            <w:tcBorders>
              <w:left w:val="single" w:color="000000" w:sz="4" w:space="0"/>
              <w:right w:val="single" w:color="000000" w:sz="4" w:space="0"/>
            </w:tcBorders>
            <w:vAlign w:val="top"/>
          </w:tcPr>
          <w:p w14:paraId="3E5E1DB0">
            <w:pPr>
              <w:rPr>
                <w:rFonts w:ascii="Arial"/>
                <w:color w:val="auto"/>
                <w:sz w:val="21"/>
                <w:highlight w:val="none"/>
              </w:rPr>
            </w:pPr>
          </w:p>
        </w:tc>
        <w:tc>
          <w:tcPr>
            <w:tcW w:w="1455" w:type="dxa"/>
            <w:tcBorders>
              <w:left w:val="single" w:color="000000" w:sz="4" w:space="0"/>
            </w:tcBorders>
            <w:vAlign w:val="top"/>
          </w:tcPr>
          <w:p w14:paraId="3E2AF0E4">
            <w:pPr>
              <w:rPr>
                <w:rFonts w:ascii="Arial"/>
                <w:color w:val="auto"/>
                <w:sz w:val="21"/>
                <w:highlight w:val="none"/>
              </w:rPr>
            </w:pPr>
          </w:p>
        </w:tc>
        <w:tc>
          <w:tcPr>
            <w:tcW w:w="1019" w:type="dxa"/>
            <w:tcBorders>
              <w:right w:val="single" w:color="000000" w:sz="4" w:space="0"/>
            </w:tcBorders>
            <w:vAlign w:val="top"/>
          </w:tcPr>
          <w:p w14:paraId="55301174">
            <w:pPr>
              <w:rPr>
                <w:rFonts w:ascii="Arial"/>
                <w:color w:val="auto"/>
                <w:sz w:val="21"/>
                <w:highlight w:val="none"/>
              </w:rPr>
            </w:pPr>
          </w:p>
        </w:tc>
        <w:tc>
          <w:tcPr>
            <w:tcW w:w="834" w:type="dxa"/>
            <w:tcBorders>
              <w:left w:val="single" w:color="000000" w:sz="4" w:space="0"/>
              <w:right w:val="single" w:color="000000" w:sz="4" w:space="0"/>
            </w:tcBorders>
            <w:vAlign w:val="top"/>
          </w:tcPr>
          <w:p w14:paraId="4CB5A470">
            <w:pPr>
              <w:rPr>
                <w:rFonts w:ascii="Arial"/>
                <w:color w:val="auto"/>
                <w:sz w:val="21"/>
                <w:highlight w:val="none"/>
              </w:rPr>
            </w:pPr>
          </w:p>
        </w:tc>
        <w:tc>
          <w:tcPr>
            <w:tcW w:w="770" w:type="dxa"/>
            <w:tcBorders>
              <w:left w:val="single" w:color="000000" w:sz="4" w:space="0"/>
            </w:tcBorders>
            <w:vAlign w:val="top"/>
          </w:tcPr>
          <w:p w14:paraId="74DC34B0">
            <w:pPr>
              <w:rPr>
                <w:rFonts w:ascii="Arial"/>
                <w:color w:val="auto"/>
                <w:sz w:val="21"/>
                <w:highlight w:val="none"/>
              </w:rPr>
            </w:pPr>
          </w:p>
        </w:tc>
        <w:tc>
          <w:tcPr>
            <w:tcW w:w="736" w:type="dxa"/>
            <w:tcBorders>
              <w:right w:val="single" w:color="000000" w:sz="4" w:space="0"/>
            </w:tcBorders>
            <w:vAlign w:val="top"/>
          </w:tcPr>
          <w:p w14:paraId="59DA6C97">
            <w:pPr>
              <w:rPr>
                <w:rFonts w:ascii="Arial"/>
                <w:color w:val="auto"/>
                <w:sz w:val="21"/>
                <w:highlight w:val="none"/>
              </w:rPr>
            </w:pPr>
          </w:p>
        </w:tc>
        <w:tc>
          <w:tcPr>
            <w:tcW w:w="947" w:type="dxa"/>
            <w:tcBorders>
              <w:left w:val="single" w:color="000000" w:sz="4" w:space="0"/>
              <w:right w:val="single" w:color="000000" w:sz="4" w:space="0"/>
            </w:tcBorders>
            <w:vAlign w:val="top"/>
          </w:tcPr>
          <w:p w14:paraId="7EBCDBE5">
            <w:pPr>
              <w:rPr>
                <w:rFonts w:ascii="Arial"/>
                <w:color w:val="auto"/>
                <w:sz w:val="21"/>
                <w:highlight w:val="none"/>
              </w:rPr>
            </w:pPr>
          </w:p>
        </w:tc>
      </w:tr>
      <w:tr w14:paraId="08D45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14:paraId="0CAEF0F4">
            <w:pPr>
              <w:pStyle w:val="18"/>
              <w:spacing w:before="148" w:line="220" w:lineRule="auto"/>
              <w:ind w:left="2986"/>
              <w:rPr>
                <w:color w:val="auto"/>
                <w:highlight w:val="none"/>
              </w:rPr>
            </w:pPr>
            <w:r>
              <w:rPr>
                <w:color w:val="auto"/>
                <w:spacing w:val="-1"/>
                <w:highlight w:val="none"/>
              </w:rPr>
              <w:t>本页小计</w:t>
            </w:r>
          </w:p>
        </w:tc>
        <w:tc>
          <w:tcPr>
            <w:tcW w:w="736" w:type="dxa"/>
            <w:tcBorders>
              <w:right w:val="single" w:color="000000" w:sz="4" w:space="0"/>
            </w:tcBorders>
            <w:vAlign w:val="top"/>
          </w:tcPr>
          <w:p w14:paraId="1198C302">
            <w:pPr>
              <w:rPr>
                <w:rFonts w:ascii="Arial"/>
                <w:color w:val="auto"/>
                <w:sz w:val="21"/>
                <w:highlight w:val="none"/>
              </w:rPr>
            </w:pPr>
          </w:p>
        </w:tc>
        <w:tc>
          <w:tcPr>
            <w:tcW w:w="947" w:type="dxa"/>
            <w:tcBorders>
              <w:left w:val="single" w:color="000000" w:sz="4" w:space="0"/>
              <w:right w:val="single" w:color="000000" w:sz="4" w:space="0"/>
            </w:tcBorders>
            <w:vAlign w:val="top"/>
          </w:tcPr>
          <w:p w14:paraId="058BEDCC">
            <w:pPr>
              <w:rPr>
                <w:rFonts w:ascii="Arial"/>
                <w:color w:val="auto"/>
                <w:sz w:val="21"/>
                <w:highlight w:val="none"/>
              </w:rPr>
            </w:pPr>
          </w:p>
        </w:tc>
      </w:tr>
      <w:tr w14:paraId="1DC4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14:paraId="1674CC39">
            <w:pPr>
              <w:pStyle w:val="18"/>
              <w:spacing w:before="149" w:line="222" w:lineRule="auto"/>
              <w:ind w:left="3144"/>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736" w:type="dxa"/>
            <w:tcBorders>
              <w:bottom w:val="single" w:color="000000" w:sz="4" w:space="0"/>
              <w:right w:val="single" w:color="000000" w:sz="4" w:space="0"/>
            </w:tcBorders>
            <w:vAlign w:val="top"/>
          </w:tcPr>
          <w:p w14:paraId="3AA981AB">
            <w:pPr>
              <w:rPr>
                <w:rFonts w:ascii="Arial"/>
                <w:color w:val="auto"/>
                <w:sz w:val="21"/>
                <w:highlight w:val="none"/>
              </w:rPr>
            </w:pPr>
          </w:p>
        </w:tc>
        <w:tc>
          <w:tcPr>
            <w:tcW w:w="947" w:type="dxa"/>
            <w:tcBorders>
              <w:left w:val="single" w:color="000000" w:sz="4" w:space="0"/>
              <w:bottom w:val="single" w:color="000000" w:sz="4" w:space="0"/>
              <w:right w:val="single" w:color="000000" w:sz="4" w:space="0"/>
            </w:tcBorders>
            <w:vAlign w:val="top"/>
          </w:tcPr>
          <w:p w14:paraId="2AE08C0E">
            <w:pPr>
              <w:rPr>
                <w:rFonts w:ascii="Arial"/>
                <w:color w:val="auto"/>
                <w:sz w:val="21"/>
                <w:highlight w:val="none"/>
              </w:rPr>
            </w:pPr>
          </w:p>
        </w:tc>
      </w:tr>
    </w:tbl>
    <w:p w14:paraId="63A4FE20">
      <w:pPr>
        <w:pStyle w:val="5"/>
        <w:rPr>
          <w:color w:val="auto"/>
          <w:highlight w:val="none"/>
        </w:rPr>
      </w:pPr>
    </w:p>
    <w:p w14:paraId="0C354420">
      <w:pPr>
        <w:rPr>
          <w:color w:val="auto"/>
          <w:highlight w:val="none"/>
        </w:rPr>
        <w:sectPr>
          <w:footerReference r:id="rId130" w:type="default"/>
          <w:pgSz w:w="11905" w:h="16839"/>
          <w:pgMar w:top="400" w:right="1700" w:bottom="1004" w:left="1709" w:header="0" w:footer="828" w:gutter="0"/>
          <w:pgNumType w:fmt="decimal"/>
          <w:cols w:space="720" w:num="1"/>
        </w:sectPr>
      </w:pPr>
    </w:p>
    <w:p w14:paraId="155E90F3">
      <w:pPr>
        <w:pStyle w:val="5"/>
        <w:spacing w:line="267" w:lineRule="auto"/>
        <w:rPr>
          <w:color w:val="auto"/>
          <w:highlight w:val="none"/>
        </w:rPr>
      </w:pPr>
    </w:p>
    <w:p w14:paraId="49088947">
      <w:pPr>
        <w:pStyle w:val="5"/>
        <w:spacing w:line="267" w:lineRule="auto"/>
        <w:rPr>
          <w:color w:val="auto"/>
          <w:highlight w:val="none"/>
        </w:rPr>
      </w:pPr>
    </w:p>
    <w:p w14:paraId="61FE34D1">
      <w:pPr>
        <w:pStyle w:val="5"/>
        <w:spacing w:line="268" w:lineRule="auto"/>
        <w:rPr>
          <w:color w:val="auto"/>
          <w:highlight w:val="none"/>
        </w:rPr>
      </w:pPr>
    </w:p>
    <w:p w14:paraId="0E568A6A">
      <w:pPr>
        <w:pStyle w:val="5"/>
        <w:spacing w:line="268" w:lineRule="auto"/>
        <w:rPr>
          <w:color w:val="auto"/>
          <w:highlight w:val="none"/>
        </w:rPr>
      </w:pPr>
    </w:p>
    <w:p w14:paraId="5E4E5297">
      <w:pPr>
        <w:spacing w:before="78" w:line="219" w:lineRule="auto"/>
        <w:ind w:left="32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4.10 </w:t>
      </w:r>
      <w:r>
        <w:rPr>
          <w:rFonts w:ascii="黑体" w:hAnsi="黑体" w:eastAsia="黑体" w:cs="黑体"/>
          <w:color w:val="auto"/>
          <w:spacing w:val="-1"/>
          <w:sz w:val="24"/>
          <w:szCs w:val="24"/>
          <w:highlight w:val="none"/>
        </w:rPr>
        <w:t>综合单价分析表</w:t>
      </w:r>
    </w:p>
    <w:p w14:paraId="618076B2">
      <w:pPr>
        <w:spacing w:before="161" w:line="225" w:lineRule="auto"/>
        <w:ind w:left="3509"/>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综合单价分析表</w:t>
      </w:r>
    </w:p>
    <w:p w14:paraId="4FC54A66">
      <w:pPr>
        <w:spacing w:before="143" w:line="234" w:lineRule="auto"/>
        <w:ind w:left="3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工程名称</w:t>
      </w:r>
      <w:r>
        <w:rPr>
          <w:rFonts w:ascii="Times New Roman" w:hAnsi="Times New Roman" w:eastAsia="Times New Roman" w:cs="Times New Roman"/>
          <w:color w:val="auto"/>
          <w:spacing w:val="-3"/>
          <w:sz w:val="21"/>
          <w:szCs w:val="21"/>
          <w:highlight w:val="none"/>
        </w:rPr>
        <w:t xml:space="preserve">:                           </w:t>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标段名称：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rPr>
        <w:t>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4"/>
          <w:sz w:val="21"/>
          <w:szCs w:val="21"/>
          <w:highlight w:val="none"/>
        </w:rPr>
        <w:t>页</w:t>
      </w:r>
    </w:p>
    <w:p w14:paraId="1A57E721">
      <w:pPr>
        <w:spacing w:line="97" w:lineRule="exact"/>
        <w:rPr>
          <w:color w:val="auto"/>
          <w:highlight w:val="none"/>
        </w:rPr>
      </w:pPr>
    </w:p>
    <w:tbl>
      <w:tblPr>
        <w:tblStyle w:val="17"/>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14:paraId="6A7F2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14:paraId="3D4515DC">
            <w:pPr>
              <w:pStyle w:val="18"/>
              <w:spacing w:before="162" w:line="221" w:lineRule="auto"/>
              <w:ind w:left="217"/>
              <w:rPr>
                <w:color w:val="auto"/>
                <w:sz w:val="20"/>
                <w:szCs w:val="20"/>
                <w:highlight w:val="none"/>
              </w:rPr>
            </w:pPr>
            <w:r>
              <w:rPr>
                <w:color w:val="auto"/>
                <w:spacing w:val="-1"/>
                <w:sz w:val="20"/>
                <w:szCs w:val="20"/>
                <w:highlight w:val="none"/>
              </w:rPr>
              <w:t>项目编码</w:t>
            </w:r>
          </w:p>
        </w:tc>
        <w:tc>
          <w:tcPr>
            <w:tcW w:w="1084" w:type="dxa"/>
            <w:gridSpan w:val="3"/>
            <w:tcBorders>
              <w:top w:val="single" w:color="000000" w:sz="4" w:space="0"/>
              <w:left w:val="single" w:color="000000" w:sz="4" w:space="0"/>
              <w:right w:val="single" w:color="000000" w:sz="4" w:space="0"/>
            </w:tcBorders>
            <w:vAlign w:val="top"/>
          </w:tcPr>
          <w:p w14:paraId="4B633331">
            <w:pPr>
              <w:rPr>
                <w:rFonts w:ascii="Arial"/>
                <w:color w:val="auto"/>
                <w:sz w:val="21"/>
                <w:highlight w:val="none"/>
              </w:rPr>
            </w:pPr>
          </w:p>
        </w:tc>
        <w:tc>
          <w:tcPr>
            <w:tcW w:w="1034" w:type="dxa"/>
            <w:gridSpan w:val="3"/>
            <w:tcBorders>
              <w:top w:val="single" w:color="000000" w:sz="4" w:space="0"/>
              <w:left w:val="single" w:color="000000" w:sz="4" w:space="0"/>
            </w:tcBorders>
            <w:vAlign w:val="top"/>
          </w:tcPr>
          <w:p w14:paraId="24E7EC81">
            <w:pPr>
              <w:pStyle w:val="18"/>
              <w:spacing w:before="162" w:line="222" w:lineRule="auto"/>
              <w:ind w:left="115"/>
              <w:rPr>
                <w:color w:val="auto"/>
                <w:sz w:val="20"/>
                <w:szCs w:val="20"/>
                <w:highlight w:val="none"/>
              </w:rPr>
            </w:pPr>
            <w:r>
              <w:rPr>
                <w:color w:val="auto"/>
                <w:spacing w:val="-1"/>
                <w:sz w:val="20"/>
                <w:szCs w:val="20"/>
                <w:highlight w:val="none"/>
              </w:rPr>
              <w:t>项目名称</w:t>
            </w:r>
          </w:p>
        </w:tc>
        <w:tc>
          <w:tcPr>
            <w:tcW w:w="1388" w:type="dxa"/>
            <w:gridSpan w:val="3"/>
            <w:tcBorders>
              <w:top w:val="single" w:color="000000" w:sz="4" w:space="0"/>
              <w:right w:val="single" w:color="000000" w:sz="4" w:space="0"/>
            </w:tcBorders>
            <w:vAlign w:val="top"/>
          </w:tcPr>
          <w:p w14:paraId="5990C969">
            <w:pPr>
              <w:rPr>
                <w:rFonts w:ascii="Arial"/>
                <w:color w:val="auto"/>
                <w:sz w:val="21"/>
                <w:highlight w:val="none"/>
              </w:rPr>
            </w:pPr>
          </w:p>
        </w:tc>
        <w:tc>
          <w:tcPr>
            <w:tcW w:w="930" w:type="dxa"/>
            <w:gridSpan w:val="2"/>
            <w:tcBorders>
              <w:top w:val="single" w:color="000000" w:sz="4" w:space="0"/>
              <w:left w:val="single" w:color="000000" w:sz="4" w:space="0"/>
              <w:right w:val="single" w:color="000000" w:sz="4" w:space="0"/>
            </w:tcBorders>
            <w:vAlign w:val="top"/>
          </w:tcPr>
          <w:p w14:paraId="0B176426">
            <w:pPr>
              <w:pStyle w:val="18"/>
              <w:spacing w:before="33" w:line="239" w:lineRule="auto"/>
              <w:ind w:left="268"/>
              <w:rPr>
                <w:color w:val="auto"/>
                <w:sz w:val="20"/>
                <w:szCs w:val="20"/>
                <w:highlight w:val="none"/>
              </w:rPr>
            </w:pPr>
            <w:r>
              <w:rPr>
                <w:color w:val="auto"/>
                <w:spacing w:val="-2"/>
                <w:sz w:val="20"/>
                <w:szCs w:val="20"/>
                <w:highlight w:val="none"/>
              </w:rPr>
              <w:t>计量</w:t>
            </w:r>
          </w:p>
          <w:p w14:paraId="0403514C">
            <w:pPr>
              <w:pStyle w:val="18"/>
              <w:spacing w:line="207" w:lineRule="auto"/>
              <w:ind w:left="270"/>
              <w:rPr>
                <w:color w:val="auto"/>
                <w:sz w:val="20"/>
                <w:szCs w:val="20"/>
                <w:highlight w:val="none"/>
              </w:rPr>
            </w:pPr>
            <w:r>
              <w:rPr>
                <w:color w:val="auto"/>
                <w:spacing w:val="-2"/>
                <w:sz w:val="20"/>
                <w:szCs w:val="20"/>
                <w:highlight w:val="none"/>
              </w:rPr>
              <w:t>单位</w:t>
            </w:r>
          </w:p>
        </w:tc>
        <w:tc>
          <w:tcPr>
            <w:tcW w:w="873" w:type="dxa"/>
            <w:tcBorders>
              <w:top w:val="single" w:color="000000" w:sz="4" w:space="0"/>
              <w:left w:val="single" w:color="000000" w:sz="4" w:space="0"/>
              <w:right w:val="single" w:color="000000" w:sz="4" w:space="0"/>
            </w:tcBorders>
            <w:vAlign w:val="top"/>
          </w:tcPr>
          <w:p w14:paraId="49BC41EC">
            <w:pPr>
              <w:rPr>
                <w:rFonts w:ascii="Arial"/>
                <w:color w:val="auto"/>
                <w:sz w:val="21"/>
                <w:highlight w:val="none"/>
              </w:rPr>
            </w:pPr>
          </w:p>
        </w:tc>
        <w:tc>
          <w:tcPr>
            <w:tcW w:w="1262" w:type="dxa"/>
            <w:gridSpan w:val="3"/>
            <w:tcBorders>
              <w:top w:val="single" w:color="000000" w:sz="4" w:space="0"/>
              <w:left w:val="single" w:color="000000" w:sz="4" w:space="0"/>
              <w:right w:val="single" w:color="000000" w:sz="4" w:space="0"/>
            </w:tcBorders>
            <w:vAlign w:val="top"/>
          </w:tcPr>
          <w:p w14:paraId="521468D9">
            <w:pPr>
              <w:pStyle w:val="18"/>
              <w:spacing w:before="162" w:line="222" w:lineRule="auto"/>
              <w:ind w:left="341"/>
              <w:rPr>
                <w:color w:val="auto"/>
                <w:sz w:val="20"/>
                <w:szCs w:val="20"/>
                <w:highlight w:val="none"/>
              </w:rPr>
            </w:pPr>
            <w:r>
              <w:rPr>
                <w:color w:val="auto"/>
                <w:spacing w:val="-2"/>
                <w:sz w:val="20"/>
                <w:szCs w:val="20"/>
                <w:highlight w:val="none"/>
              </w:rPr>
              <w:t>工程量</w:t>
            </w:r>
          </w:p>
        </w:tc>
        <w:tc>
          <w:tcPr>
            <w:tcW w:w="1162" w:type="dxa"/>
            <w:gridSpan w:val="2"/>
            <w:tcBorders>
              <w:top w:val="single" w:color="000000" w:sz="4" w:space="0"/>
              <w:left w:val="single" w:color="000000" w:sz="4" w:space="0"/>
              <w:right w:val="single" w:color="000000" w:sz="4" w:space="0"/>
            </w:tcBorders>
            <w:vAlign w:val="top"/>
          </w:tcPr>
          <w:p w14:paraId="48DF08C7">
            <w:pPr>
              <w:rPr>
                <w:rFonts w:ascii="Arial"/>
                <w:color w:val="auto"/>
                <w:sz w:val="21"/>
                <w:highlight w:val="none"/>
              </w:rPr>
            </w:pPr>
          </w:p>
        </w:tc>
      </w:tr>
      <w:tr w14:paraId="2CF9E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14:paraId="1F380151">
            <w:pPr>
              <w:pStyle w:val="18"/>
              <w:spacing w:before="169" w:line="219" w:lineRule="auto"/>
              <w:ind w:left="3431"/>
              <w:rPr>
                <w:color w:val="auto"/>
                <w:highlight w:val="none"/>
              </w:rPr>
            </w:pPr>
            <w:r>
              <w:rPr>
                <w:color w:val="auto"/>
                <w:spacing w:val="-1"/>
                <w:highlight w:val="none"/>
              </w:rPr>
              <w:t>清单综合单价组成明细</w:t>
            </w:r>
          </w:p>
        </w:tc>
      </w:tr>
      <w:tr w14:paraId="01AFB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vAlign w:val="top"/>
          </w:tcPr>
          <w:p w14:paraId="36F5C4A3">
            <w:pPr>
              <w:spacing w:line="376" w:lineRule="auto"/>
              <w:rPr>
                <w:rFonts w:ascii="Arial"/>
                <w:color w:val="auto"/>
                <w:sz w:val="21"/>
                <w:highlight w:val="none"/>
              </w:rPr>
            </w:pPr>
          </w:p>
          <w:p w14:paraId="3FDDEEFD">
            <w:pPr>
              <w:pStyle w:val="18"/>
              <w:spacing w:before="69" w:line="231" w:lineRule="auto"/>
              <w:ind w:left="148" w:right="132" w:firstLine="3"/>
              <w:rPr>
                <w:color w:val="auto"/>
                <w:highlight w:val="none"/>
              </w:rPr>
            </w:pPr>
            <w:r>
              <w:rPr>
                <w:color w:val="auto"/>
                <w:spacing w:val="-6"/>
                <w:highlight w:val="none"/>
              </w:rPr>
              <w:t>定额</w:t>
            </w:r>
            <w:r>
              <w:rPr>
                <w:color w:val="auto"/>
                <w:highlight w:val="none"/>
              </w:rPr>
              <w:t xml:space="preserve"> </w:t>
            </w:r>
            <w:r>
              <w:rPr>
                <w:color w:val="auto"/>
                <w:spacing w:val="-4"/>
                <w:highlight w:val="none"/>
              </w:rPr>
              <w:t>编号</w:t>
            </w:r>
          </w:p>
        </w:tc>
        <w:tc>
          <w:tcPr>
            <w:tcW w:w="669" w:type="dxa"/>
            <w:gridSpan w:val="2"/>
            <w:vMerge w:val="restart"/>
            <w:tcBorders>
              <w:bottom w:val="nil"/>
              <w:right w:val="single" w:color="000000" w:sz="4" w:space="0"/>
            </w:tcBorders>
            <w:vAlign w:val="top"/>
          </w:tcPr>
          <w:p w14:paraId="6A8D8787">
            <w:pPr>
              <w:spacing w:line="245" w:lineRule="auto"/>
              <w:rPr>
                <w:rFonts w:ascii="Arial"/>
                <w:color w:val="auto"/>
                <w:sz w:val="21"/>
                <w:highlight w:val="none"/>
              </w:rPr>
            </w:pPr>
          </w:p>
          <w:p w14:paraId="405A8DB3">
            <w:pPr>
              <w:pStyle w:val="18"/>
              <w:spacing w:before="68" w:line="233" w:lineRule="auto"/>
              <w:ind w:left="133" w:right="116" w:firstLine="2"/>
              <w:jc w:val="both"/>
              <w:rPr>
                <w:color w:val="auto"/>
                <w:highlight w:val="none"/>
              </w:rPr>
            </w:pPr>
            <w:r>
              <w:rPr>
                <w:color w:val="auto"/>
                <w:spacing w:val="-6"/>
                <w:highlight w:val="none"/>
              </w:rPr>
              <w:t>定额</w:t>
            </w:r>
            <w:r>
              <w:rPr>
                <w:color w:val="auto"/>
                <w:highlight w:val="none"/>
              </w:rPr>
              <w:t xml:space="preserve"> </w:t>
            </w:r>
            <w:r>
              <w:rPr>
                <w:color w:val="auto"/>
                <w:spacing w:val="-5"/>
                <w:highlight w:val="none"/>
              </w:rPr>
              <w:t>项目</w:t>
            </w:r>
            <w:r>
              <w:rPr>
                <w:color w:val="auto"/>
                <w:highlight w:val="none"/>
              </w:rPr>
              <w:t xml:space="preserve"> </w:t>
            </w:r>
            <w:r>
              <w:rPr>
                <w:color w:val="auto"/>
                <w:spacing w:val="-5"/>
                <w:highlight w:val="none"/>
              </w:rPr>
              <w:t>名称</w:t>
            </w:r>
          </w:p>
        </w:tc>
        <w:tc>
          <w:tcPr>
            <w:tcW w:w="672" w:type="dxa"/>
            <w:vMerge w:val="restart"/>
            <w:tcBorders>
              <w:left w:val="single" w:color="000000" w:sz="4" w:space="0"/>
              <w:bottom w:val="nil"/>
              <w:right w:val="single" w:color="000000" w:sz="4" w:space="0"/>
            </w:tcBorders>
            <w:vAlign w:val="top"/>
          </w:tcPr>
          <w:p w14:paraId="7FBD9077">
            <w:pPr>
              <w:spacing w:line="377" w:lineRule="auto"/>
              <w:rPr>
                <w:rFonts w:ascii="Arial"/>
                <w:color w:val="auto"/>
                <w:sz w:val="21"/>
                <w:highlight w:val="none"/>
              </w:rPr>
            </w:pPr>
          </w:p>
          <w:p w14:paraId="568032B7">
            <w:pPr>
              <w:pStyle w:val="18"/>
              <w:spacing w:before="69" w:line="231" w:lineRule="auto"/>
              <w:ind w:left="132" w:right="116" w:firstLine="3"/>
              <w:rPr>
                <w:color w:val="auto"/>
                <w:highlight w:val="none"/>
              </w:rPr>
            </w:pPr>
            <w:r>
              <w:rPr>
                <w:color w:val="auto"/>
                <w:spacing w:val="-6"/>
                <w:highlight w:val="none"/>
              </w:rPr>
              <w:t>定额</w:t>
            </w:r>
            <w:r>
              <w:rPr>
                <w:color w:val="auto"/>
                <w:highlight w:val="none"/>
              </w:rPr>
              <w:t xml:space="preserve"> </w:t>
            </w:r>
            <w:r>
              <w:rPr>
                <w:color w:val="auto"/>
                <w:spacing w:val="-4"/>
                <w:highlight w:val="none"/>
              </w:rPr>
              <w:t>单位</w:t>
            </w:r>
          </w:p>
        </w:tc>
        <w:tc>
          <w:tcPr>
            <w:tcW w:w="427" w:type="dxa"/>
            <w:gridSpan w:val="2"/>
            <w:vMerge w:val="restart"/>
            <w:tcBorders>
              <w:left w:val="single" w:color="000000" w:sz="4" w:space="0"/>
              <w:bottom w:val="nil"/>
              <w:right w:val="single" w:color="000000" w:sz="4" w:space="0"/>
            </w:tcBorders>
            <w:textDirection w:val="tbRlV"/>
            <w:vAlign w:val="top"/>
          </w:tcPr>
          <w:p w14:paraId="6F89F4E2">
            <w:pPr>
              <w:pStyle w:val="18"/>
              <w:spacing w:before="101" w:line="209" w:lineRule="auto"/>
              <w:ind w:left="448"/>
              <w:rPr>
                <w:color w:val="auto"/>
                <w:highlight w:val="none"/>
              </w:rPr>
            </w:pPr>
            <w:r>
              <w:rPr>
                <w:color w:val="auto"/>
                <w:spacing w:val="1"/>
                <w:highlight w:val="none"/>
              </w:rPr>
              <w:t>数</w:t>
            </w:r>
            <w:r>
              <w:rPr>
                <w:color w:val="auto"/>
                <w:spacing w:val="-43"/>
                <w:highlight w:val="none"/>
              </w:rPr>
              <w:t xml:space="preserve"> </w:t>
            </w:r>
            <w:r>
              <w:rPr>
                <w:color w:val="auto"/>
                <w:spacing w:val="1"/>
                <w:highlight w:val="none"/>
              </w:rPr>
              <w:t>量</w:t>
            </w:r>
          </w:p>
        </w:tc>
        <w:tc>
          <w:tcPr>
            <w:tcW w:w="2249" w:type="dxa"/>
            <w:gridSpan w:val="5"/>
            <w:tcBorders>
              <w:left w:val="single" w:color="000000" w:sz="4" w:space="0"/>
              <w:right w:val="single" w:color="000000" w:sz="4" w:space="0"/>
            </w:tcBorders>
            <w:vAlign w:val="top"/>
          </w:tcPr>
          <w:p w14:paraId="0D7BF2A2">
            <w:pPr>
              <w:pStyle w:val="18"/>
              <w:spacing w:before="174" w:line="219" w:lineRule="auto"/>
              <w:ind w:left="921"/>
              <w:rPr>
                <w:color w:val="auto"/>
                <w:highlight w:val="none"/>
              </w:rPr>
            </w:pPr>
            <w:r>
              <w:rPr>
                <w:color w:val="auto"/>
                <w:spacing w:val="-2"/>
                <w:highlight w:val="none"/>
              </w:rPr>
              <w:t>单价</w:t>
            </w:r>
          </w:p>
        </w:tc>
        <w:tc>
          <w:tcPr>
            <w:tcW w:w="4227" w:type="dxa"/>
            <w:gridSpan w:val="8"/>
            <w:tcBorders>
              <w:left w:val="single" w:color="000000" w:sz="4" w:space="0"/>
              <w:right w:val="single" w:color="000000" w:sz="4" w:space="0"/>
            </w:tcBorders>
            <w:vAlign w:val="top"/>
          </w:tcPr>
          <w:p w14:paraId="20913A0F">
            <w:pPr>
              <w:pStyle w:val="18"/>
              <w:spacing w:before="174" w:line="219" w:lineRule="auto"/>
              <w:ind w:left="1908"/>
              <w:rPr>
                <w:color w:val="auto"/>
                <w:highlight w:val="none"/>
              </w:rPr>
            </w:pPr>
            <w:r>
              <w:rPr>
                <w:color w:val="auto"/>
                <w:spacing w:val="-2"/>
                <w:highlight w:val="none"/>
              </w:rPr>
              <w:t>合价</w:t>
            </w:r>
          </w:p>
        </w:tc>
      </w:tr>
      <w:tr w14:paraId="4C62A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14:paraId="5FE5962D">
            <w:pPr>
              <w:rPr>
                <w:rFonts w:ascii="Arial"/>
                <w:color w:val="auto"/>
                <w:sz w:val="21"/>
                <w:highlight w:val="none"/>
              </w:rPr>
            </w:pPr>
          </w:p>
        </w:tc>
        <w:tc>
          <w:tcPr>
            <w:tcW w:w="669" w:type="dxa"/>
            <w:gridSpan w:val="2"/>
            <w:vMerge w:val="continue"/>
            <w:tcBorders>
              <w:top w:val="nil"/>
              <w:right w:val="single" w:color="000000" w:sz="4" w:space="0"/>
            </w:tcBorders>
            <w:vAlign w:val="top"/>
          </w:tcPr>
          <w:p w14:paraId="7EDBA1A6">
            <w:pPr>
              <w:rPr>
                <w:rFonts w:ascii="Arial"/>
                <w:color w:val="auto"/>
                <w:sz w:val="21"/>
                <w:highlight w:val="none"/>
              </w:rPr>
            </w:pPr>
          </w:p>
        </w:tc>
        <w:tc>
          <w:tcPr>
            <w:tcW w:w="672" w:type="dxa"/>
            <w:vMerge w:val="continue"/>
            <w:tcBorders>
              <w:top w:val="nil"/>
              <w:left w:val="single" w:color="000000" w:sz="4" w:space="0"/>
              <w:right w:val="single" w:color="000000" w:sz="4" w:space="0"/>
            </w:tcBorders>
            <w:vAlign w:val="top"/>
          </w:tcPr>
          <w:p w14:paraId="33F52842">
            <w:pPr>
              <w:rPr>
                <w:rFonts w:ascii="Arial"/>
                <w:color w:val="auto"/>
                <w:sz w:val="21"/>
                <w:highlight w:val="none"/>
              </w:rPr>
            </w:pPr>
          </w:p>
        </w:tc>
        <w:tc>
          <w:tcPr>
            <w:tcW w:w="427" w:type="dxa"/>
            <w:gridSpan w:val="2"/>
            <w:vMerge w:val="continue"/>
            <w:tcBorders>
              <w:top w:val="nil"/>
              <w:left w:val="single" w:color="000000" w:sz="4" w:space="0"/>
              <w:right w:val="single" w:color="000000" w:sz="4" w:space="0"/>
            </w:tcBorders>
            <w:textDirection w:val="tbRlV"/>
            <w:vAlign w:val="top"/>
          </w:tcPr>
          <w:p w14:paraId="7101E035">
            <w:pPr>
              <w:rPr>
                <w:rFonts w:ascii="Arial"/>
                <w:color w:val="auto"/>
                <w:sz w:val="21"/>
                <w:highlight w:val="none"/>
              </w:rPr>
            </w:pPr>
          </w:p>
        </w:tc>
        <w:tc>
          <w:tcPr>
            <w:tcW w:w="427" w:type="dxa"/>
            <w:tcBorders>
              <w:left w:val="single" w:color="000000" w:sz="4" w:space="0"/>
              <w:right w:val="single" w:color="000000" w:sz="4" w:space="0"/>
            </w:tcBorders>
            <w:textDirection w:val="tbRlV"/>
            <w:vAlign w:val="top"/>
          </w:tcPr>
          <w:p w14:paraId="4F962316">
            <w:pPr>
              <w:pStyle w:val="18"/>
              <w:spacing w:before="101" w:line="208" w:lineRule="auto"/>
              <w:ind w:left="31"/>
              <w:rPr>
                <w:color w:val="auto"/>
                <w:highlight w:val="none"/>
              </w:rPr>
            </w:pPr>
            <w:r>
              <w:rPr>
                <w:color w:val="auto"/>
                <w:spacing w:val="41"/>
                <w:highlight w:val="none"/>
              </w:rPr>
              <w:t>人工费</w:t>
            </w:r>
          </w:p>
        </w:tc>
        <w:tc>
          <w:tcPr>
            <w:tcW w:w="664" w:type="dxa"/>
            <w:gridSpan w:val="2"/>
            <w:tcBorders>
              <w:left w:val="single" w:color="000000" w:sz="4" w:space="0"/>
            </w:tcBorders>
            <w:vAlign w:val="top"/>
          </w:tcPr>
          <w:p w14:paraId="60094563">
            <w:pPr>
              <w:pStyle w:val="18"/>
              <w:spacing w:before="165" w:line="220" w:lineRule="auto"/>
              <w:ind w:left="127"/>
              <w:rPr>
                <w:color w:val="auto"/>
                <w:highlight w:val="none"/>
              </w:rPr>
            </w:pPr>
            <w:r>
              <w:rPr>
                <w:color w:val="auto"/>
                <w:spacing w:val="-2"/>
                <w:highlight w:val="none"/>
              </w:rPr>
              <w:t>材料</w:t>
            </w:r>
          </w:p>
          <w:p w14:paraId="004B3B5D">
            <w:pPr>
              <w:pStyle w:val="18"/>
              <w:spacing w:before="23" w:line="221" w:lineRule="auto"/>
              <w:ind w:left="240"/>
              <w:rPr>
                <w:color w:val="auto"/>
                <w:highlight w:val="none"/>
              </w:rPr>
            </w:pPr>
            <w:r>
              <w:rPr>
                <w:color w:val="auto"/>
                <w:highlight w:val="none"/>
              </w:rPr>
              <w:t>费</w:t>
            </w:r>
          </w:p>
        </w:tc>
        <w:tc>
          <w:tcPr>
            <w:tcW w:w="419" w:type="dxa"/>
            <w:tcBorders>
              <w:right w:val="single" w:color="000000" w:sz="4" w:space="0"/>
            </w:tcBorders>
            <w:textDirection w:val="tbRlV"/>
            <w:vAlign w:val="top"/>
          </w:tcPr>
          <w:p w14:paraId="41CFFFB7">
            <w:pPr>
              <w:pStyle w:val="18"/>
              <w:spacing w:before="94" w:line="209" w:lineRule="auto"/>
              <w:ind w:left="31"/>
              <w:rPr>
                <w:color w:val="auto"/>
                <w:highlight w:val="none"/>
              </w:rPr>
            </w:pPr>
            <w:r>
              <w:rPr>
                <w:color w:val="auto"/>
                <w:spacing w:val="41"/>
                <w:highlight w:val="none"/>
              </w:rPr>
              <w:t>机械费</w:t>
            </w:r>
          </w:p>
        </w:tc>
        <w:tc>
          <w:tcPr>
            <w:tcW w:w="739" w:type="dxa"/>
            <w:tcBorders>
              <w:left w:val="single" w:color="000000" w:sz="4" w:space="0"/>
              <w:right w:val="single" w:color="000000" w:sz="4" w:space="0"/>
            </w:tcBorders>
            <w:vAlign w:val="top"/>
          </w:tcPr>
          <w:p w14:paraId="65E51754">
            <w:pPr>
              <w:pStyle w:val="18"/>
              <w:spacing w:before="30" w:line="241" w:lineRule="auto"/>
              <w:ind w:left="168"/>
              <w:rPr>
                <w:color w:val="auto"/>
                <w:highlight w:val="none"/>
              </w:rPr>
            </w:pPr>
            <w:r>
              <w:rPr>
                <w:color w:val="auto"/>
                <w:spacing w:val="-3"/>
                <w:highlight w:val="none"/>
              </w:rPr>
              <w:t>管理</w:t>
            </w:r>
          </w:p>
          <w:p w14:paraId="2CBB0975">
            <w:pPr>
              <w:pStyle w:val="18"/>
              <w:spacing w:line="221" w:lineRule="auto"/>
              <w:ind w:left="175"/>
              <w:rPr>
                <w:color w:val="auto"/>
                <w:highlight w:val="none"/>
              </w:rPr>
            </w:pPr>
            <w:r>
              <w:rPr>
                <w:color w:val="auto"/>
                <w:spacing w:val="-5"/>
                <w:highlight w:val="none"/>
              </w:rPr>
              <w:t>费和</w:t>
            </w:r>
          </w:p>
          <w:p w14:paraId="707469B7">
            <w:pPr>
              <w:pStyle w:val="18"/>
              <w:spacing w:before="16" w:line="208" w:lineRule="auto"/>
              <w:ind w:left="164"/>
              <w:rPr>
                <w:color w:val="auto"/>
                <w:highlight w:val="none"/>
              </w:rPr>
            </w:pPr>
            <w:r>
              <w:rPr>
                <w:color w:val="auto"/>
                <w:spacing w:val="-2"/>
                <w:highlight w:val="none"/>
              </w:rPr>
              <w:t>利润</w:t>
            </w:r>
          </w:p>
        </w:tc>
        <w:tc>
          <w:tcPr>
            <w:tcW w:w="844" w:type="dxa"/>
            <w:tcBorders>
              <w:left w:val="single" w:color="000000" w:sz="4" w:space="0"/>
              <w:right w:val="single" w:color="000000" w:sz="4" w:space="0"/>
            </w:tcBorders>
            <w:vAlign w:val="top"/>
          </w:tcPr>
          <w:p w14:paraId="6D1EA32C">
            <w:pPr>
              <w:pStyle w:val="18"/>
              <w:spacing w:before="305" w:line="221" w:lineRule="auto"/>
              <w:ind w:left="112"/>
              <w:rPr>
                <w:color w:val="auto"/>
                <w:highlight w:val="none"/>
              </w:rPr>
            </w:pPr>
            <w:r>
              <w:rPr>
                <w:color w:val="auto"/>
                <w:spacing w:val="-2"/>
                <w:highlight w:val="none"/>
              </w:rPr>
              <w:t>人工费</w:t>
            </w:r>
          </w:p>
        </w:tc>
        <w:tc>
          <w:tcPr>
            <w:tcW w:w="1343" w:type="dxa"/>
            <w:gridSpan w:val="4"/>
            <w:tcBorders>
              <w:left w:val="single" w:color="000000" w:sz="4" w:space="0"/>
              <w:right w:val="single" w:color="000000" w:sz="4" w:space="0"/>
            </w:tcBorders>
            <w:vAlign w:val="top"/>
          </w:tcPr>
          <w:p w14:paraId="70C92B27">
            <w:pPr>
              <w:pStyle w:val="18"/>
              <w:spacing w:before="304" w:line="220" w:lineRule="auto"/>
              <w:ind w:left="366"/>
              <w:rPr>
                <w:color w:val="auto"/>
                <w:highlight w:val="none"/>
              </w:rPr>
            </w:pPr>
            <w:r>
              <w:rPr>
                <w:color w:val="auto"/>
                <w:spacing w:val="-2"/>
                <w:highlight w:val="none"/>
              </w:rPr>
              <w:t>材料费</w:t>
            </w:r>
          </w:p>
        </w:tc>
        <w:tc>
          <w:tcPr>
            <w:tcW w:w="935" w:type="dxa"/>
            <w:gridSpan w:val="2"/>
            <w:tcBorders>
              <w:left w:val="single" w:color="000000" w:sz="4" w:space="0"/>
              <w:right w:val="single" w:color="000000" w:sz="4" w:space="0"/>
            </w:tcBorders>
            <w:vAlign w:val="top"/>
          </w:tcPr>
          <w:p w14:paraId="375DB4C2">
            <w:pPr>
              <w:pStyle w:val="18"/>
              <w:spacing w:before="304" w:line="220" w:lineRule="auto"/>
              <w:ind w:left="156"/>
              <w:rPr>
                <w:color w:val="auto"/>
                <w:highlight w:val="none"/>
              </w:rPr>
            </w:pPr>
            <w:r>
              <w:rPr>
                <w:color w:val="auto"/>
                <w:spacing w:val="-1"/>
                <w:highlight w:val="none"/>
              </w:rPr>
              <w:t>机械费</w:t>
            </w:r>
          </w:p>
        </w:tc>
        <w:tc>
          <w:tcPr>
            <w:tcW w:w="1105" w:type="dxa"/>
            <w:tcBorders>
              <w:left w:val="single" w:color="000000" w:sz="4" w:space="0"/>
              <w:right w:val="single" w:color="000000" w:sz="4" w:space="0"/>
            </w:tcBorders>
            <w:vAlign w:val="top"/>
          </w:tcPr>
          <w:p w14:paraId="4AC30819">
            <w:pPr>
              <w:pStyle w:val="18"/>
              <w:spacing w:before="30" w:line="241" w:lineRule="auto"/>
              <w:ind w:left="355"/>
              <w:rPr>
                <w:color w:val="auto"/>
                <w:highlight w:val="none"/>
              </w:rPr>
            </w:pPr>
            <w:r>
              <w:rPr>
                <w:color w:val="auto"/>
                <w:spacing w:val="-3"/>
                <w:highlight w:val="none"/>
              </w:rPr>
              <w:t>管理</w:t>
            </w:r>
          </w:p>
          <w:p w14:paraId="1B36C746">
            <w:pPr>
              <w:pStyle w:val="18"/>
              <w:spacing w:line="221" w:lineRule="auto"/>
              <w:ind w:left="361"/>
              <w:rPr>
                <w:color w:val="auto"/>
                <w:highlight w:val="none"/>
              </w:rPr>
            </w:pPr>
            <w:r>
              <w:rPr>
                <w:color w:val="auto"/>
                <w:spacing w:val="-5"/>
                <w:highlight w:val="none"/>
              </w:rPr>
              <w:t>费和</w:t>
            </w:r>
          </w:p>
          <w:p w14:paraId="45AADB75">
            <w:pPr>
              <w:pStyle w:val="18"/>
              <w:spacing w:before="16" w:line="208" w:lineRule="auto"/>
              <w:ind w:left="351"/>
              <w:rPr>
                <w:color w:val="auto"/>
                <w:highlight w:val="none"/>
              </w:rPr>
            </w:pPr>
            <w:r>
              <w:rPr>
                <w:color w:val="auto"/>
                <w:spacing w:val="-2"/>
                <w:highlight w:val="none"/>
              </w:rPr>
              <w:t>利润</w:t>
            </w:r>
          </w:p>
        </w:tc>
      </w:tr>
      <w:tr w14:paraId="3D0A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58FF5C9E">
            <w:pPr>
              <w:rPr>
                <w:rFonts w:ascii="Arial"/>
                <w:color w:val="auto"/>
                <w:sz w:val="21"/>
                <w:highlight w:val="none"/>
              </w:rPr>
            </w:pPr>
          </w:p>
        </w:tc>
        <w:tc>
          <w:tcPr>
            <w:tcW w:w="669" w:type="dxa"/>
            <w:gridSpan w:val="2"/>
            <w:tcBorders>
              <w:right w:val="single" w:color="000000" w:sz="4" w:space="0"/>
            </w:tcBorders>
            <w:vAlign w:val="top"/>
          </w:tcPr>
          <w:p w14:paraId="06FCF535">
            <w:pPr>
              <w:rPr>
                <w:rFonts w:ascii="Arial"/>
                <w:color w:val="auto"/>
                <w:sz w:val="21"/>
                <w:highlight w:val="none"/>
              </w:rPr>
            </w:pPr>
          </w:p>
        </w:tc>
        <w:tc>
          <w:tcPr>
            <w:tcW w:w="672" w:type="dxa"/>
            <w:tcBorders>
              <w:left w:val="single" w:color="000000" w:sz="4" w:space="0"/>
              <w:right w:val="single" w:color="000000" w:sz="4" w:space="0"/>
            </w:tcBorders>
            <w:vAlign w:val="top"/>
          </w:tcPr>
          <w:p w14:paraId="6478D415">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2673D720">
            <w:pPr>
              <w:rPr>
                <w:rFonts w:ascii="Arial"/>
                <w:color w:val="auto"/>
                <w:sz w:val="21"/>
                <w:highlight w:val="none"/>
              </w:rPr>
            </w:pPr>
          </w:p>
        </w:tc>
        <w:tc>
          <w:tcPr>
            <w:tcW w:w="427" w:type="dxa"/>
            <w:tcBorders>
              <w:left w:val="single" w:color="000000" w:sz="4" w:space="0"/>
              <w:right w:val="single" w:color="000000" w:sz="4" w:space="0"/>
            </w:tcBorders>
            <w:vAlign w:val="top"/>
          </w:tcPr>
          <w:p w14:paraId="196FC81E">
            <w:pPr>
              <w:rPr>
                <w:rFonts w:ascii="Arial"/>
                <w:color w:val="auto"/>
                <w:sz w:val="21"/>
                <w:highlight w:val="none"/>
              </w:rPr>
            </w:pPr>
          </w:p>
        </w:tc>
        <w:tc>
          <w:tcPr>
            <w:tcW w:w="664" w:type="dxa"/>
            <w:gridSpan w:val="2"/>
            <w:tcBorders>
              <w:left w:val="single" w:color="000000" w:sz="4" w:space="0"/>
            </w:tcBorders>
            <w:vAlign w:val="top"/>
          </w:tcPr>
          <w:p w14:paraId="23947FAE">
            <w:pPr>
              <w:rPr>
                <w:rFonts w:ascii="Arial"/>
                <w:color w:val="auto"/>
                <w:sz w:val="21"/>
                <w:highlight w:val="none"/>
              </w:rPr>
            </w:pPr>
          </w:p>
        </w:tc>
        <w:tc>
          <w:tcPr>
            <w:tcW w:w="419" w:type="dxa"/>
            <w:tcBorders>
              <w:right w:val="single" w:color="000000" w:sz="4" w:space="0"/>
            </w:tcBorders>
            <w:vAlign w:val="top"/>
          </w:tcPr>
          <w:p w14:paraId="2B04317E">
            <w:pPr>
              <w:rPr>
                <w:rFonts w:ascii="Arial"/>
                <w:color w:val="auto"/>
                <w:sz w:val="21"/>
                <w:highlight w:val="none"/>
              </w:rPr>
            </w:pPr>
          </w:p>
        </w:tc>
        <w:tc>
          <w:tcPr>
            <w:tcW w:w="739" w:type="dxa"/>
            <w:tcBorders>
              <w:left w:val="single" w:color="000000" w:sz="4" w:space="0"/>
              <w:right w:val="single" w:color="000000" w:sz="4" w:space="0"/>
            </w:tcBorders>
            <w:vAlign w:val="top"/>
          </w:tcPr>
          <w:p w14:paraId="1CFDA8BE">
            <w:pPr>
              <w:rPr>
                <w:rFonts w:ascii="Arial"/>
                <w:color w:val="auto"/>
                <w:sz w:val="21"/>
                <w:highlight w:val="none"/>
              </w:rPr>
            </w:pPr>
          </w:p>
        </w:tc>
        <w:tc>
          <w:tcPr>
            <w:tcW w:w="844" w:type="dxa"/>
            <w:tcBorders>
              <w:left w:val="single" w:color="000000" w:sz="4" w:space="0"/>
              <w:right w:val="single" w:color="000000" w:sz="4" w:space="0"/>
            </w:tcBorders>
            <w:vAlign w:val="top"/>
          </w:tcPr>
          <w:p w14:paraId="6B2582A7">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7B0857CA">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628C4E5C">
            <w:pPr>
              <w:rPr>
                <w:rFonts w:ascii="Arial"/>
                <w:color w:val="auto"/>
                <w:sz w:val="21"/>
                <w:highlight w:val="none"/>
              </w:rPr>
            </w:pPr>
          </w:p>
        </w:tc>
        <w:tc>
          <w:tcPr>
            <w:tcW w:w="1105" w:type="dxa"/>
            <w:tcBorders>
              <w:left w:val="single" w:color="000000" w:sz="4" w:space="0"/>
              <w:right w:val="single" w:color="000000" w:sz="4" w:space="0"/>
            </w:tcBorders>
            <w:vAlign w:val="top"/>
          </w:tcPr>
          <w:p w14:paraId="63A7A949">
            <w:pPr>
              <w:rPr>
                <w:rFonts w:ascii="Arial"/>
                <w:color w:val="auto"/>
                <w:sz w:val="21"/>
                <w:highlight w:val="none"/>
              </w:rPr>
            </w:pPr>
          </w:p>
        </w:tc>
      </w:tr>
      <w:tr w14:paraId="4BEC4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727A14BA">
            <w:pPr>
              <w:rPr>
                <w:rFonts w:ascii="Arial"/>
                <w:color w:val="auto"/>
                <w:sz w:val="21"/>
                <w:highlight w:val="none"/>
              </w:rPr>
            </w:pPr>
          </w:p>
        </w:tc>
        <w:tc>
          <w:tcPr>
            <w:tcW w:w="669" w:type="dxa"/>
            <w:gridSpan w:val="2"/>
            <w:tcBorders>
              <w:right w:val="single" w:color="000000" w:sz="4" w:space="0"/>
            </w:tcBorders>
            <w:vAlign w:val="top"/>
          </w:tcPr>
          <w:p w14:paraId="781EBD0C">
            <w:pPr>
              <w:rPr>
                <w:rFonts w:ascii="Arial"/>
                <w:color w:val="auto"/>
                <w:sz w:val="21"/>
                <w:highlight w:val="none"/>
              </w:rPr>
            </w:pPr>
          </w:p>
        </w:tc>
        <w:tc>
          <w:tcPr>
            <w:tcW w:w="672" w:type="dxa"/>
            <w:tcBorders>
              <w:left w:val="single" w:color="000000" w:sz="4" w:space="0"/>
              <w:right w:val="single" w:color="000000" w:sz="4" w:space="0"/>
            </w:tcBorders>
            <w:vAlign w:val="top"/>
          </w:tcPr>
          <w:p w14:paraId="7A8D0E45">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63831DA4">
            <w:pPr>
              <w:rPr>
                <w:rFonts w:ascii="Arial"/>
                <w:color w:val="auto"/>
                <w:sz w:val="21"/>
                <w:highlight w:val="none"/>
              </w:rPr>
            </w:pPr>
          </w:p>
        </w:tc>
        <w:tc>
          <w:tcPr>
            <w:tcW w:w="427" w:type="dxa"/>
            <w:tcBorders>
              <w:left w:val="single" w:color="000000" w:sz="4" w:space="0"/>
              <w:right w:val="single" w:color="000000" w:sz="4" w:space="0"/>
            </w:tcBorders>
            <w:vAlign w:val="top"/>
          </w:tcPr>
          <w:p w14:paraId="039D783E">
            <w:pPr>
              <w:rPr>
                <w:rFonts w:ascii="Arial"/>
                <w:color w:val="auto"/>
                <w:sz w:val="21"/>
                <w:highlight w:val="none"/>
              </w:rPr>
            </w:pPr>
          </w:p>
        </w:tc>
        <w:tc>
          <w:tcPr>
            <w:tcW w:w="664" w:type="dxa"/>
            <w:gridSpan w:val="2"/>
            <w:tcBorders>
              <w:left w:val="single" w:color="000000" w:sz="4" w:space="0"/>
            </w:tcBorders>
            <w:vAlign w:val="top"/>
          </w:tcPr>
          <w:p w14:paraId="724745CD">
            <w:pPr>
              <w:rPr>
                <w:rFonts w:ascii="Arial"/>
                <w:color w:val="auto"/>
                <w:sz w:val="21"/>
                <w:highlight w:val="none"/>
              </w:rPr>
            </w:pPr>
          </w:p>
        </w:tc>
        <w:tc>
          <w:tcPr>
            <w:tcW w:w="419" w:type="dxa"/>
            <w:tcBorders>
              <w:right w:val="single" w:color="000000" w:sz="4" w:space="0"/>
            </w:tcBorders>
            <w:vAlign w:val="top"/>
          </w:tcPr>
          <w:p w14:paraId="46E80BC9">
            <w:pPr>
              <w:rPr>
                <w:rFonts w:ascii="Arial"/>
                <w:color w:val="auto"/>
                <w:sz w:val="21"/>
                <w:highlight w:val="none"/>
              </w:rPr>
            </w:pPr>
          </w:p>
        </w:tc>
        <w:tc>
          <w:tcPr>
            <w:tcW w:w="739" w:type="dxa"/>
            <w:tcBorders>
              <w:left w:val="single" w:color="000000" w:sz="4" w:space="0"/>
              <w:right w:val="single" w:color="000000" w:sz="4" w:space="0"/>
            </w:tcBorders>
            <w:vAlign w:val="top"/>
          </w:tcPr>
          <w:p w14:paraId="0BDFFF49">
            <w:pPr>
              <w:rPr>
                <w:rFonts w:ascii="Arial"/>
                <w:color w:val="auto"/>
                <w:sz w:val="21"/>
                <w:highlight w:val="none"/>
              </w:rPr>
            </w:pPr>
          </w:p>
        </w:tc>
        <w:tc>
          <w:tcPr>
            <w:tcW w:w="844" w:type="dxa"/>
            <w:tcBorders>
              <w:left w:val="single" w:color="000000" w:sz="4" w:space="0"/>
              <w:right w:val="single" w:color="000000" w:sz="4" w:space="0"/>
            </w:tcBorders>
            <w:vAlign w:val="top"/>
          </w:tcPr>
          <w:p w14:paraId="66959804">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4634B91D">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27B40FB7">
            <w:pPr>
              <w:rPr>
                <w:rFonts w:ascii="Arial"/>
                <w:color w:val="auto"/>
                <w:sz w:val="21"/>
                <w:highlight w:val="none"/>
              </w:rPr>
            </w:pPr>
          </w:p>
        </w:tc>
        <w:tc>
          <w:tcPr>
            <w:tcW w:w="1105" w:type="dxa"/>
            <w:tcBorders>
              <w:left w:val="single" w:color="000000" w:sz="4" w:space="0"/>
              <w:right w:val="single" w:color="000000" w:sz="4" w:space="0"/>
            </w:tcBorders>
            <w:vAlign w:val="top"/>
          </w:tcPr>
          <w:p w14:paraId="2078609E">
            <w:pPr>
              <w:rPr>
                <w:rFonts w:ascii="Arial"/>
                <w:color w:val="auto"/>
                <w:sz w:val="21"/>
                <w:highlight w:val="none"/>
              </w:rPr>
            </w:pPr>
          </w:p>
        </w:tc>
      </w:tr>
      <w:tr w14:paraId="64ECA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493C4B0D">
            <w:pPr>
              <w:rPr>
                <w:rFonts w:ascii="Arial"/>
                <w:color w:val="auto"/>
                <w:sz w:val="21"/>
                <w:highlight w:val="none"/>
              </w:rPr>
            </w:pPr>
          </w:p>
        </w:tc>
        <w:tc>
          <w:tcPr>
            <w:tcW w:w="669" w:type="dxa"/>
            <w:gridSpan w:val="2"/>
            <w:tcBorders>
              <w:right w:val="single" w:color="000000" w:sz="4" w:space="0"/>
            </w:tcBorders>
            <w:vAlign w:val="top"/>
          </w:tcPr>
          <w:p w14:paraId="21DE1497">
            <w:pPr>
              <w:rPr>
                <w:rFonts w:ascii="Arial"/>
                <w:color w:val="auto"/>
                <w:sz w:val="21"/>
                <w:highlight w:val="none"/>
              </w:rPr>
            </w:pPr>
          </w:p>
        </w:tc>
        <w:tc>
          <w:tcPr>
            <w:tcW w:w="672" w:type="dxa"/>
            <w:tcBorders>
              <w:left w:val="single" w:color="000000" w:sz="4" w:space="0"/>
              <w:right w:val="single" w:color="000000" w:sz="4" w:space="0"/>
            </w:tcBorders>
            <w:vAlign w:val="top"/>
          </w:tcPr>
          <w:p w14:paraId="5EDEEB1F">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341A6575">
            <w:pPr>
              <w:rPr>
                <w:rFonts w:ascii="Arial"/>
                <w:color w:val="auto"/>
                <w:sz w:val="21"/>
                <w:highlight w:val="none"/>
              </w:rPr>
            </w:pPr>
          </w:p>
        </w:tc>
        <w:tc>
          <w:tcPr>
            <w:tcW w:w="427" w:type="dxa"/>
            <w:tcBorders>
              <w:left w:val="single" w:color="000000" w:sz="4" w:space="0"/>
              <w:right w:val="single" w:color="000000" w:sz="4" w:space="0"/>
            </w:tcBorders>
            <w:vAlign w:val="top"/>
          </w:tcPr>
          <w:p w14:paraId="5B3AD07F">
            <w:pPr>
              <w:rPr>
                <w:rFonts w:ascii="Arial"/>
                <w:color w:val="auto"/>
                <w:sz w:val="21"/>
                <w:highlight w:val="none"/>
              </w:rPr>
            </w:pPr>
          </w:p>
        </w:tc>
        <w:tc>
          <w:tcPr>
            <w:tcW w:w="664" w:type="dxa"/>
            <w:gridSpan w:val="2"/>
            <w:tcBorders>
              <w:left w:val="single" w:color="000000" w:sz="4" w:space="0"/>
            </w:tcBorders>
            <w:vAlign w:val="top"/>
          </w:tcPr>
          <w:p w14:paraId="085D0D1E">
            <w:pPr>
              <w:rPr>
                <w:rFonts w:ascii="Arial"/>
                <w:color w:val="auto"/>
                <w:sz w:val="21"/>
                <w:highlight w:val="none"/>
              </w:rPr>
            </w:pPr>
          </w:p>
        </w:tc>
        <w:tc>
          <w:tcPr>
            <w:tcW w:w="419" w:type="dxa"/>
            <w:tcBorders>
              <w:right w:val="single" w:color="000000" w:sz="4" w:space="0"/>
            </w:tcBorders>
            <w:vAlign w:val="top"/>
          </w:tcPr>
          <w:p w14:paraId="3656E1A4">
            <w:pPr>
              <w:rPr>
                <w:rFonts w:ascii="Arial"/>
                <w:color w:val="auto"/>
                <w:sz w:val="21"/>
                <w:highlight w:val="none"/>
              </w:rPr>
            </w:pPr>
          </w:p>
        </w:tc>
        <w:tc>
          <w:tcPr>
            <w:tcW w:w="739" w:type="dxa"/>
            <w:tcBorders>
              <w:left w:val="single" w:color="000000" w:sz="4" w:space="0"/>
              <w:right w:val="single" w:color="000000" w:sz="4" w:space="0"/>
            </w:tcBorders>
            <w:vAlign w:val="top"/>
          </w:tcPr>
          <w:p w14:paraId="2AAE6957">
            <w:pPr>
              <w:rPr>
                <w:rFonts w:ascii="Arial"/>
                <w:color w:val="auto"/>
                <w:sz w:val="21"/>
                <w:highlight w:val="none"/>
              </w:rPr>
            </w:pPr>
          </w:p>
        </w:tc>
        <w:tc>
          <w:tcPr>
            <w:tcW w:w="844" w:type="dxa"/>
            <w:tcBorders>
              <w:left w:val="single" w:color="000000" w:sz="4" w:space="0"/>
              <w:right w:val="single" w:color="000000" w:sz="4" w:space="0"/>
            </w:tcBorders>
            <w:vAlign w:val="top"/>
          </w:tcPr>
          <w:p w14:paraId="5F51C9F3">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2778106D">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F3C4E00">
            <w:pPr>
              <w:rPr>
                <w:rFonts w:ascii="Arial"/>
                <w:color w:val="auto"/>
                <w:sz w:val="21"/>
                <w:highlight w:val="none"/>
              </w:rPr>
            </w:pPr>
          </w:p>
        </w:tc>
        <w:tc>
          <w:tcPr>
            <w:tcW w:w="1105" w:type="dxa"/>
            <w:tcBorders>
              <w:left w:val="single" w:color="000000" w:sz="4" w:space="0"/>
              <w:right w:val="single" w:color="000000" w:sz="4" w:space="0"/>
            </w:tcBorders>
            <w:vAlign w:val="top"/>
          </w:tcPr>
          <w:p w14:paraId="2C93C650">
            <w:pPr>
              <w:rPr>
                <w:rFonts w:ascii="Arial"/>
                <w:color w:val="auto"/>
                <w:sz w:val="21"/>
                <w:highlight w:val="none"/>
              </w:rPr>
            </w:pPr>
          </w:p>
        </w:tc>
      </w:tr>
      <w:tr w14:paraId="002A3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1" w:type="dxa"/>
            <w:tcBorders>
              <w:left w:val="single" w:color="000000" w:sz="4" w:space="0"/>
            </w:tcBorders>
            <w:vAlign w:val="top"/>
          </w:tcPr>
          <w:p w14:paraId="10429F51">
            <w:pPr>
              <w:rPr>
                <w:rFonts w:ascii="Arial"/>
                <w:color w:val="auto"/>
                <w:sz w:val="21"/>
                <w:highlight w:val="none"/>
              </w:rPr>
            </w:pPr>
          </w:p>
        </w:tc>
        <w:tc>
          <w:tcPr>
            <w:tcW w:w="669" w:type="dxa"/>
            <w:gridSpan w:val="2"/>
            <w:tcBorders>
              <w:right w:val="single" w:color="000000" w:sz="4" w:space="0"/>
            </w:tcBorders>
            <w:vAlign w:val="top"/>
          </w:tcPr>
          <w:p w14:paraId="44542EAE">
            <w:pPr>
              <w:rPr>
                <w:rFonts w:ascii="Arial"/>
                <w:color w:val="auto"/>
                <w:sz w:val="21"/>
                <w:highlight w:val="none"/>
              </w:rPr>
            </w:pPr>
          </w:p>
        </w:tc>
        <w:tc>
          <w:tcPr>
            <w:tcW w:w="672" w:type="dxa"/>
            <w:tcBorders>
              <w:left w:val="single" w:color="000000" w:sz="4" w:space="0"/>
              <w:right w:val="single" w:color="000000" w:sz="4" w:space="0"/>
            </w:tcBorders>
            <w:vAlign w:val="top"/>
          </w:tcPr>
          <w:p w14:paraId="446934BF">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28BDAEDB">
            <w:pPr>
              <w:rPr>
                <w:rFonts w:ascii="Arial"/>
                <w:color w:val="auto"/>
                <w:sz w:val="21"/>
                <w:highlight w:val="none"/>
              </w:rPr>
            </w:pPr>
          </w:p>
        </w:tc>
        <w:tc>
          <w:tcPr>
            <w:tcW w:w="427" w:type="dxa"/>
            <w:tcBorders>
              <w:left w:val="single" w:color="000000" w:sz="4" w:space="0"/>
              <w:right w:val="single" w:color="000000" w:sz="4" w:space="0"/>
            </w:tcBorders>
            <w:vAlign w:val="top"/>
          </w:tcPr>
          <w:p w14:paraId="16AAAFFB">
            <w:pPr>
              <w:rPr>
                <w:rFonts w:ascii="Arial"/>
                <w:color w:val="auto"/>
                <w:sz w:val="21"/>
                <w:highlight w:val="none"/>
              </w:rPr>
            </w:pPr>
          </w:p>
        </w:tc>
        <w:tc>
          <w:tcPr>
            <w:tcW w:w="664" w:type="dxa"/>
            <w:gridSpan w:val="2"/>
            <w:tcBorders>
              <w:left w:val="single" w:color="000000" w:sz="4" w:space="0"/>
            </w:tcBorders>
            <w:vAlign w:val="top"/>
          </w:tcPr>
          <w:p w14:paraId="500D907F">
            <w:pPr>
              <w:rPr>
                <w:rFonts w:ascii="Arial"/>
                <w:color w:val="auto"/>
                <w:sz w:val="21"/>
                <w:highlight w:val="none"/>
              </w:rPr>
            </w:pPr>
          </w:p>
        </w:tc>
        <w:tc>
          <w:tcPr>
            <w:tcW w:w="419" w:type="dxa"/>
            <w:tcBorders>
              <w:right w:val="single" w:color="000000" w:sz="4" w:space="0"/>
            </w:tcBorders>
            <w:vAlign w:val="top"/>
          </w:tcPr>
          <w:p w14:paraId="46D3C829">
            <w:pPr>
              <w:rPr>
                <w:rFonts w:ascii="Arial"/>
                <w:color w:val="auto"/>
                <w:sz w:val="21"/>
                <w:highlight w:val="none"/>
              </w:rPr>
            </w:pPr>
          </w:p>
        </w:tc>
        <w:tc>
          <w:tcPr>
            <w:tcW w:w="739" w:type="dxa"/>
            <w:tcBorders>
              <w:left w:val="single" w:color="000000" w:sz="4" w:space="0"/>
              <w:right w:val="single" w:color="000000" w:sz="4" w:space="0"/>
            </w:tcBorders>
            <w:vAlign w:val="top"/>
          </w:tcPr>
          <w:p w14:paraId="56FACFAE">
            <w:pPr>
              <w:rPr>
                <w:rFonts w:ascii="Arial"/>
                <w:color w:val="auto"/>
                <w:sz w:val="21"/>
                <w:highlight w:val="none"/>
              </w:rPr>
            </w:pPr>
          </w:p>
        </w:tc>
        <w:tc>
          <w:tcPr>
            <w:tcW w:w="844" w:type="dxa"/>
            <w:tcBorders>
              <w:left w:val="single" w:color="000000" w:sz="4" w:space="0"/>
              <w:right w:val="single" w:color="000000" w:sz="4" w:space="0"/>
            </w:tcBorders>
            <w:vAlign w:val="top"/>
          </w:tcPr>
          <w:p w14:paraId="684A52C4">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454E5E4B">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AAD204A">
            <w:pPr>
              <w:rPr>
                <w:rFonts w:ascii="Arial"/>
                <w:color w:val="auto"/>
                <w:sz w:val="21"/>
                <w:highlight w:val="none"/>
              </w:rPr>
            </w:pPr>
          </w:p>
        </w:tc>
        <w:tc>
          <w:tcPr>
            <w:tcW w:w="1105" w:type="dxa"/>
            <w:tcBorders>
              <w:left w:val="single" w:color="000000" w:sz="4" w:space="0"/>
              <w:right w:val="single" w:color="000000" w:sz="4" w:space="0"/>
            </w:tcBorders>
            <w:vAlign w:val="top"/>
          </w:tcPr>
          <w:p w14:paraId="4259C888">
            <w:pPr>
              <w:rPr>
                <w:rFonts w:ascii="Arial"/>
                <w:color w:val="auto"/>
                <w:sz w:val="21"/>
                <w:highlight w:val="none"/>
              </w:rPr>
            </w:pPr>
          </w:p>
        </w:tc>
      </w:tr>
      <w:tr w14:paraId="3EE36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3B3886BC">
            <w:pPr>
              <w:pStyle w:val="18"/>
              <w:spacing w:before="173" w:line="219" w:lineRule="auto"/>
              <w:ind w:left="273"/>
              <w:rPr>
                <w:color w:val="auto"/>
                <w:highlight w:val="none"/>
              </w:rPr>
            </w:pPr>
            <w:r>
              <w:rPr>
                <w:color w:val="auto"/>
                <w:spacing w:val="-1"/>
                <w:highlight w:val="none"/>
              </w:rPr>
              <w:t>人工单价</w:t>
            </w:r>
          </w:p>
        </w:tc>
        <w:tc>
          <w:tcPr>
            <w:tcW w:w="3348" w:type="dxa"/>
            <w:gridSpan w:val="8"/>
            <w:tcBorders>
              <w:left w:val="single" w:color="000000" w:sz="4" w:space="0"/>
              <w:right w:val="single" w:color="000000" w:sz="4" w:space="0"/>
            </w:tcBorders>
            <w:vAlign w:val="top"/>
          </w:tcPr>
          <w:p w14:paraId="163BAEC3">
            <w:pPr>
              <w:pStyle w:val="18"/>
              <w:spacing w:before="173" w:line="222" w:lineRule="auto"/>
              <w:ind w:left="1477"/>
              <w:rPr>
                <w:color w:val="auto"/>
                <w:highlight w:val="none"/>
              </w:rPr>
            </w:pPr>
            <w:r>
              <w:rPr>
                <w:color w:val="auto"/>
                <w:spacing w:val="-3"/>
                <w:highlight w:val="none"/>
              </w:rPr>
              <w:t>小计</w:t>
            </w:r>
          </w:p>
        </w:tc>
        <w:tc>
          <w:tcPr>
            <w:tcW w:w="844" w:type="dxa"/>
            <w:tcBorders>
              <w:left w:val="single" w:color="000000" w:sz="4" w:space="0"/>
              <w:right w:val="single" w:color="000000" w:sz="4" w:space="0"/>
            </w:tcBorders>
            <w:vAlign w:val="top"/>
          </w:tcPr>
          <w:p w14:paraId="4121376C">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317DDC49">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8166917">
            <w:pPr>
              <w:rPr>
                <w:rFonts w:ascii="Arial"/>
                <w:color w:val="auto"/>
                <w:sz w:val="21"/>
                <w:highlight w:val="none"/>
              </w:rPr>
            </w:pPr>
          </w:p>
        </w:tc>
        <w:tc>
          <w:tcPr>
            <w:tcW w:w="1105" w:type="dxa"/>
            <w:tcBorders>
              <w:left w:val="single" w:color="000000" w:sz="4" w:space="0"/>
              <w:right w:val="single" w:color="000000" w:sz="4" w:space="0"/>
            </w:tcBorders>
            <w:vAlign w:val="top"/>
          </w:tcPr>
          <w:p w14:paraId="4193F6CC">
            <w:pPr>
              <w:rPr>
                <w:rFonts w:ascii="Arial"/>
                <w:color w:val="auto"/>
                <w:sz w:val="21"/>
                <w:highlight w:val="none"/>
              </w:rPr>
            </w:pPr>
          </w:p>
        </w:tc>
      </w:tr>
      <w:tr w14:paraId="58EF1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3372E81C">
            <w:pPr>
              <w:pStyle w:val="18"/>
              <w:spacing w:before="174" w:line="235" w:lineRule="auto"/>
              <w:ind w:left="456"/>
              <w:rPr>
                <w:color w:val="auto"/>
                <w:highlight w:val="none"/>
              </w:rPr>
            </w:pPr>
            <w:r>
              <w:rPr>
                <w:color w:val="auto"/>
                <w:spacing w:val="-2"/>
                <w:highlight w:val="none"/>
              </w:rPr>
              <w:t>元</w:t>
            </w:r>
            <w:r>
              <w:rPr>
                <w:rFonts w:ascii="Times New Roman" w:hAnsi="Times New Roman" w:eastAsia="Times New Roman" w:cs="Times New Roman"/>
                <w:color w:val="auto"/>
                <w:spacing w:val="-2"/>
                <w:highlight w:val="none"/>
              </w:rPr>
              <w:t>/</w:t>
            </w:r>
            <w:r>
              <w:rPr>
                <w:color w:val="auto"/>
                <w:spacing w:val="-2"/>
                <w:highlight w:val="none"/>
              </w:rPr>
              <w:t>工日</w:t>
            </w:r>
          </w:p>
        </w:tc>
        <w:tc>
          <w:tcPr>
            <w:tcW w:w="3348" w:type="dxa"/>
            <w:gridSpan w:val="8"/>
            <w:tcBorders>
              <w:left w:val="single" w:color="000000" w:sz="4" w:space="0"/>
              <w:right w:val="single" w:color="000000" w:sz="4" w:space="0"/>
            </w:tcBorders>
            <w:vAlign w:val="top"/>
          </w:tcPr>
          <w:p w14:paraId="46E07D0B">
            <w:pPr>
              <w:pStyle w:val="18"/>
              <w:spacing w:before="174" w:line="219" w:lineRule="auto"/>
              <w:ind w:left="1051"/>
              <w:rPr>
                <w:color w:val="auto"/>
                <w:highlight w:val="none"/>
              </w:rPr>
            </w:pPr>
            <w:r>
              <w:rPr>
                <w:color w:val="auto"/>
                <w:spacing w:val="-1"/>
                <w:highlight w:val="none"/>
              </w:rPr>
              <w:t>未计价材料费</w:t>
            </w:r>
          </w:p>
        </w:tc>
        <w:tc>
          <w:tcPr>
            <w:tcW w:w="4227" w:type="dxa"/>
            <w:gridSpan w:val="8"/>
            <w:tcBorders>
              <w:left w:val="single" w:color="000000" w:sz="4" w:space="0"/>
              <w:right w:val="single" w:color="000000" w:sz="4" w:space="0"/>
            </w:tcBorders>
            <w:vAlign w:val="top"/>
          </w:tcPr>
          <w:p w14:paraId="21117992">
            <w:pPr>
              <w:rPr>
                <w:rFonts w:ascii="Arial"/>
                <w:color w:val="auto"/>
                <w:sz w:val="21"/>
                <w:highlight w:val="none"/>
              </w:rPr>
            </w:pPr>
          </w:p>
        </w:tc>
      </w:tr>
      <w:tr w14:paraId="757E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718" w:type="dxa"/>
            <w:gridSpan w:val="11"/>
            <w:tcBorders>
              <w:left w:val="single" w:color="000000" w:sz="4" w:space="0"/>
              <w:right w:val="single" w:color="000000" w:sz="4" w:space="0"/>
            </w:tcBorders>
            <w:vAlign w:val="top"/>
          </w:tcPr>
          <w:p w14:paraId="5432A197">
            <w:pPr>
              <w:pStyle w:val="18"/>
              <w:spacing w:before="174" w:line="219" w:lineRule="auto"/>
              <w:ind w:left="1525"/>
              <w:rPr>
                <w:color w:val="auto"/>
                <w:highlight w:val="none"/>
              </w:rPr>
            </w:pPr>
            <w:r>
              <w:rPr>
                <w:color w:val="auto"/>
                <w:spacing w:val="-1"/>
                <w:highlight w:val="none"/>
              </w:rPr>
              <w:t>清单项目综合单价</w:t>
            </w:r>
          </w:p>
        </w:tc>
        <w:tc>
          <w:tcPr>
            <w:tcW w:w="4227" w:type="dxa"/>
            <w:gridSpan w:val="8"/>
            <w:tcBorders>
              <w:left w:val="single" w:color="000000" w:sz="4" w:space="0"/>
              <w:right w:val="single" w:color="000000" w:sz="4" w:space="0"/>
            </w:tcBorders>
            <w:vAlign w:val="top"/>
          </w:tcPr>
          <w:p w14:paraId="64F61805">
            <w:pPr>
              <w:rPr>
                <w:rFonts w:ascii="Arial"/>
                <w:color w:val="auto"/>
                <w:sz w:val="21"/>
                <w:highlight w:val="none"/>
              </w:rPr>
            </w:pPr>
          </w:p>
        </w:tc>
      </w:tr>
      <w:tr w14:paraId="21FB6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14:paraId="70C033EA">
            <w:pPr>
              <w:pStyle w:val="18"/>
              <w:spacing w:before="242" w:line="208" w:lineRule="auto"/>
              <w:ind w:left="1331"/>
              <w:rPr>
                <w:color w:val="auto"/>
                <w:highlight w:val="none"/>
              </w:rPr>
            </w:pPr>
            <w:r>
              <w:rPr>
                <w:color w:val="auto"/>
                <w:spacing w:val="1"/>
                <w:highlight w:val="none"/>
              </w:rPr>
              <w:t>材</w:t>
            </w:r>
            <w:r>
              <w:rPr>
                <w:color w:val="auto"/>
                <w:spacing w:val="-43"/>
                <w:highlight w:val="none"/>
              </w:rPr>
              <w:t xml:space="preserve"> </w:t>
            </w:r>
            <w:r>
              <w:rPr>
                <w:color w:val="auto"/>
                <w:spacing w:val="1"/>
                <w:highlight w:val="none"/>
              </w:rPr>
              <w:t>料</w:t>
            </w:r>
            <w:r>
              <w:rPr>
                <w:color w:val="auto"/>
                <w:spacing w:val="-43"/>
                <w:highlight w:val="none"/>
              </w:rPr>
              <w:t xml:space="preserve"> </w:t>
            </w:r>
            <w:r>
              <w:rPr>
                <w:color w:val="auto"/>
                <w:spacing w:val="1"/>
                <w:highlight w:val="none"/>
              </w:rPr>
              <w:t>费</w:t>
            </w:r>
            <w:r>
              <w:rPr>
                <w:color w:val="auto"/>
                <w:spacing w:val="-47"/>
                <w:highlight w:val="none"/>
              </w:rPr>
              <w:t xml:space="preserve"> </w:t>
            </w:r>
            <w:r>
              <w:rPr>
                <w:color w:val="auto"/>
                <w:spacing w:val="1"/>
                <w:highlight w:val="none"/>
              </w:rPr>
              <w:t>明</w:t>
            </w:r>
            <w:r>
              <w:rPr>
                <w:color w:val="auto"/>
                <w:spacing w:val="-42"/>
                <w:highlight w:val="none"/>
              </w:rPr>
              <w:t xml:space="preserve"> </w:t>
            </w:r>
            <w:r>
              <w:rPr>
                <w:color w:val="auto"/>
                <w:spacing w:val="1"/>
                <w:highlight w:val="none"/>
              </w:rPr>
              <w:t>细</w:t>
            </w:r>
          </w:p>
        </w:tc>
        <w:tc>
          <w:tcPr>
            <w:tcW w:w="2195" w:type="dxa"/>
            <w:gridSpan w:val="6"/>
            <w:tcBorders>
              <w:right w:val="single" w:color="000000" w:sz="4" w:space="0"/>
            </w:tcBorders>
            <w:vAlign w:val="top"/>
          </w:tcPr>
          <w:p w14:paraId="7200BA8B">
            <w:pPr>
              <w:pStyle w:val="18"/>
              <w:spacing w:before="41" w:line="224" w:lineRule="auto"/>
              <w:ind w:left="681" w:right="250" w:hanging="420"/>
              <w:rPr>
                <w:color w:val="auto"/>
                <w:highlight w:val="none"/>
              </w:rPr>
            </w:pPr>
            <w:r>
              <w:rPr>
                <w:color w:val="auto"/>
                <w:spacing w:val="-1"/>
                <w:highlight w:val="none"/>
              </w:rPr>
              <w:t>主要材料名称、规</w:t>
            </w:r>
            <w:r>
              <w:rPr>
                <w:color w:val="auto"/>
                <w:spacing w:val="1"/>
                <w:highlight w:val="none"/>
              </w:rPr>
              <w:t xml:space="preserve"> </w:t>
            </w:r>
            <w:r>
              <w:rPr>
                <w:color w:val="auto"/>
                <w:spacing w:val="-1"/>
                <w:highlight w:val="none"/>
              </w:rPr>
              <w:t>格、型号</w:t>
            </w:r>
          </w:p>
        </w:tc>
        <w:tc>
          <w:tcPr>
            <w:tcW w:w="664" w:type="dxa"/>
            <w:gridSpan w:val="2"/>
            <w:tcBorders>
              <w:left w:val="single" w:color="000000" w:sz="4" w:space="0"/>
            </w:tcBorders>
            <w:vAlign w:val="top"/>
          </w:tcPr>
          <w:p w14:paraId="74F3061B">
            <w:pPr>
              <w:pStyle w:val="18"/>
              <w:spacing w:before="175" w:line="221" w:lineRule="auto"/>
              <w:ind w:left="129"/>
              <w:rPr>
                <w:color w:val="auto"/>
                <w:highlight w:val="none"/>
              </w:rPr>
            </w:pPr>
            <w:r>
              <w:rPr>
                <w:color w:val="auto"/>
                <w:spacing w:val="-2"/>
                <w:highlight w:val="none"/>
              </w:rPr>
              <w:t>单位</w:t>
            </w:r>
          </w:p>
        </w:tc>
        <w:tc>
          <w:tcPr>
            <w:tcW w:w="1158" w:type="dxa"/>
            <w:gridSpan w:val="2"/>
            <w:tcBorders>
              <w:right w:val="single" w:color="000000" w:sz="4" w:space="0"/>
            </w:tcBorders>
            <w:vAlign w:val="top"/>
          </w:tcPr>
          <w:p w14:paraId="5113D19A">
            <w:pPr>
              <w:pStyle w:val="18"/>
              <w:spacing w:before="174" w:line="221" w:lineRule="auto"/>
              <w:ind w:left="379"/>
              <w:rPr>
                <w:color w:val="auto"/>
                <w:highlight w:val="none"/>
              </w:rPr>
            </w:pPr>
            <w:r>
              <w:rPr>
                <w:color w:val="auto"/>
                <w:spacing w:val="-2"/>
                <w:highlight w:val="none"/>
              </w:rPr>
              <w:t>数量</w:t>
            </w:r>
          </w:p>
        </w:tc>
        <w:tc>
          <w:tcPr>
            <w:tcW w:w="844" w:type="dxa"/>
            <w:tcBorders>
              <w:left w:val="single" w:color="000000" w:sz="4" w:space="0"/>
              <w:right w:val="single" w:color="000000" w:sz="4" w:space="0"/>
            </w:tcBorders>
            <w:vAlign w:val="top"/>
          </w:tcPr>
          <w:p w14:paraId="5EBEB056">
            <w:pPr>
              <w:pStyle w:val="18"/>
              <w:spacing w:before="41" w:line="224" w:lineRule="auto"/>
              <w:ind w:left="117" w:right="112" w:firstLine="100"/>
              <w:rPr>
                <w:color w:val="auto"/>
                <w:highlight w:val="none"/>
              </w:rPr>
            </w:pPr>
            <w:r>
              <w:rPr>
                <w:color w:val="auto"/>
                <w:spacing w:val="-4"/>
                <w:highlight w:val="none"/>
              </w:rPr>
              <w:t>单价</w:t>
            </w:r>
            <w:r>
              <w:rPr>
                <w:color w:val="auto"/>
                <w:highlight w:val="none"/>
              </w:rPr>
              <w:t xml:space="preserve">  </w:t>
            </w:r>
            <w:r>
              <w:rPr>
                <w:color w:val="auto"/>
                <w:spacing w:val="-9"/>
                <w:highlight w:val="none"/>
              </w:rPr>
              <w:t>（元）</w:t>
            </w:r>
          </w:p>
        </w:tc>
        <w:tc>
          <w:tcPr>
            <w:tcW w:w="1005" w:type="dxa"/>
            <w:gridSpan w:val="3"/>
            <w:tcBorders>
              <w:left w:val="single" w:color="000000" w:sz="4" w:space="0"/>
            </w:tcBorders>
            <w:vAlign w:val="top"/>
          </w:tcPr>
          <w:p w14:paraId="0B80C73B">
            <w:pPr>
              <w:pStyle w:val="18"/>
              <w:spacing w:before="41" w:line="224" w:lineRule="auto"/>
              <w:ind w:left="200" w:right="192" w:firstLine="100"/>
              <w:rPr>
                <w:color w:val="auto"/>
                <w:highlight w:val="none"/>
              </w:rPr>
            </w:pPr>
            <w:r>
              <w:rPr>
                <w:color w:val="auto"/>
                <w:spacing w:val="-4"/>
                <w:highlight w:val="none"/>
              </w:rPr>
              <w:t>合价</w:t>
            </w:r>
            <w:r>
              <w:rPr>
                <w:color w:val="auto"/>
                <w:highlight w:val="none"/>
              </w:rPr>
              <w:t xml:space="preserve">  </w:t>
            </w:r>
            <w:r>
              <w:rPr>
                <w:color w:val="auto"/>
                <w:spacing w:val="-9"/>
                <w:highlight w:val="none"/>
              </w:rPr>
              <w:t>（元）</w:t>
            </w:r>
          </w:p>
        </w:tc>
        <w:tc>
          <w:tcPr>
            <w:tcW w:w="1273" w:type="dxa"/>
            <w:gridSpan w:val="3"/>
            <w:tcBorders>
              <w:right w:val="single" w:color="000000" w:sz="4" w:space="0"/>
            </w:tcBorders>
            <w:vAlign w:val="top"/>
          </w:tcPr>
          <w:p w14:paraId="712620C2">
            <w:pPr>
              <w:pStyle w:val="18"/>
              <w:spacing w:before="41" w:line="224" w:lineRule="auto"/>
              <w:ind w:left="340" w:right="200" w:hanging="105"/>
              <w:rPr>
                <w:color w:val="auto"/>
                <w:highlight w:val="none"/>
              </w:rPr>
            </w:pPr>
            <w:r>
              <w:rPr>
                <w:color w:val="auto"/>
                <w:spacing w:val="-3"/>
                <w:highlight w:val="none"/>
              </w:rPr>
              <w:t>暂估单价</w:t>
            </w:r>
            <w:r>
              <w:rPr>
                <w:color w:val="auto"/>
                <w:spacing w:val="1"/>
                <w:highlight w:val="none"/>
              </w:rPr>
              <w:t xml:space="preserve"> </w:t>
            </w:r>
            <w:r>
              <w:rPr>
                <w:color w:val="auto"/>
                <w:spacing w:val="-6"/>
                <w:highlight w:val="none"/>
              </w:rPr>
              <w:t>（元）</w:t>
            </w:r>
          </w:p>
        </w:tc>
        <w:tc>
          <w:tcPr>
            <w:tcW w:w="1105" w:type="dxa"/>
            <w:tcBorders>
              <w:left w:val="single" w:color="000000" w:sz="4" w:space="0"/>
              <w:right w:val="single" w:color="000000" w:sz="4" w:space="0"/>
            </w:tcBorders>
            <w:vAlign w:val="top"/>
          </w:tcPr>
          <w:p w14:paraId="42AC1BA9">
            <w:pPr>
              <w:pStyle w:val="18"/>
              <w:spacing w:before="41" w:line="224" w:lineRule="auto"/>
              <w:ind w:left="250" w:right="119" w:hanging="105"/>
              <w:rPr>
                <w:color w:val="auto"/>
                <w:highlight w:val="none"/>
              </w:rPr>
            </w:pPr>
            <w:r>
              <w:rPr>
                <w:color w:val="auto"/>
                <w:spacing w:val="-3"/>
                <w:highlight w:val="none"/>
              </w:rPr>
              <w:t>暂估合价</w:t>
            </w:r>
            <w:r>
              <w:rPr>
                <w:color w:val="auto"/>
                <w:spacing w:val="1"/>
                <w:highlight w:val="none"/>
              </w:rPr>
              <w:t xml:space="preserve"> </w:t>
            </w:r>
            <w:r>
              <w:rPr>
                <w:color w:val="auto"/>
                <w:spacing w:val="-6"/>
                <w:highlight w:val="none"/>
              </w:rPr>
              <w:t>（元）</w:t>
            </w:r>
          </w:p>
        </w:tc>
      </w:tr>
      <w:tr w14:paraId="6306B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5D813DC">
            <w:pPr>
              <w:rPr>
                <w:rFonts w:ascii="Arial"/>
                <w:color w:val="auto"/>
                <w:sz w:val="21"/>
                <w:highlight w:val="none"/>
              </w:rPr>
            </w:pPr>
          </w:p>
        </w:tc>
        <w:tc>
          <w:tcPr>
            <w:tcW w:w="2195" w:type="dxa"/>
            <w:gridSpan w:val="6"/>
            <w:tcBorders>
              <w:right w:val="single" w:color="000000" w:sz="4" w:space="0"/>
            </w:tcBorders>
            <w:vAlign w:val="top"/>
          </w:tcPr>
          <w:p w14:paraId="17E0A525">
            <w:pPr>
              <w:rPr>
                <w:rFonts w:ascii="Arial"/>
                <w:color w:val="auto"/>
                <w:sz w:val="21"/>
                <w:highlight w:val="none"/>
              </w:rPr>
            </w:pPr>
          </w:p>
        </w:tc>
        <w:tc>
          <w:tcPr>
            <w:tcW w:w="664" w:type="dxa"/>
            <w:gridSpan w:val="2"/>
            <w:tcBorders>
              <w:left w:val="single" w:color="000000" w:sz="4" w:space="0"/>
            </w:tcBorders>
            <w:vAlign w:val="top"/>
          </w:tcPr>
          <w:p w14:paraId="2341FC2C">
            <w:pPr>
              <w:rPr>
                <w:rFonts w:ascii="Arial"/>
                <w:color w:val="auto"/>
                <w:sz w:val="21"/>
                <w:highlight w:val="none"/>
              </w:rPr>
            </w:pPr>
          </w:p>
        </w:tc>
        <w:tc>
          <w:tcPr>
            <w:tcW w:w="1158" w:type="dxa"/>
            <w:gridSpan w:val="2"/>
            <w:tcBorders>
              <w:right w:val="single" w:color="000000" w:sz="4" w:space="0"/>
            </w:tcBorders>
            <w:vAlign w:val="top"/>
          </w:tcPr>
          <w:p w14:paraId="29CE563E">
            <w:pPr>
              <w:rPr>
                <w:rFonts w:ascii="Arial"/>
                <w:color w:val="auto"/>
                <w:sz w:val="21"/>
                <w:highlight w:val="none"/>
              </w:rPr>
            </w:pPr>
          </w:p>
        </w:tc>
        <w:tc>
          <w:tcPr>
            <w:tcW w:w="844" w:type="dxa"/>
            <w:tcBorders>
              <w:left w:val="single" w:color="000000" w:sz="4" w:space="0"/>
              <w:right w:val="single" w:color="000000" w:sz="4" w:space="0"/>
            </w:tcBorders>
            <w:vAlign w:val="top"/>
          </w:tcPr>
          <w:p w14:paraId="7578CF4C">
            <w:pPr>
              <w:rPr>
                <w:rFonts w:ascii="Arial"/>
                <w:color w:val="auto"/>
                <w:sz w:val="21"/>
                <w:highlight w:val="none"/>
              </w:rPr>
            </w:pPr>
          </w:p>
        </w:tc>
        <w:tc>
          <w:tcPr>
            <w:tcW w:w="1005" w:type="dxa"/>
            <w:gridSpan w:val="3"/>
            <w:tcBorders>
              <w:left w:val="single" w:color="000000" w:sz="4" w:space="0"/>
            </w:tcBorders>
            <w:vAlign w:val="top"/>
          </w:tcPr>
          <w:p w14:paraId="0C0543F4">
            <w:pPr>
              <w:rPr>
                <w:rFonts w:ascii="Arial"/>
                <w:color w:val="auto"/>
                <w:sz w:val="21"/>
                <w:highlight w:val="none"/>
              </w:rPr>
            </w:pPr>
          </w:p>
        </w:tc>
        <w:tc>
          <w:tcPr>
            <w:tcW w:w="1273" w:type="dxa"/>
            <w:gridSpan w:val="3"/>
            <w:tcBorders>
              <w:right w:val="single" w:color="000000" w:sz="4" w:space="0"/>
            </w:tcBorders>
            <w:vAlign w:val="top"/>
          </w:tcPr>
          <w:p w14:paraId="23ABBA40">
            <w:pPr>
              <w:rPr>
                <w:rFonts w:ascii="Arial"/>
                <w:color w:val="auto"/>
                <w:sz w:val="21"/>
                <w:highlight w:val="none"/>
              </w:rPr>
            </w:pPr>
          </w:p>
        </w:tc>
        <w:tc>
          <w:tcPr>
            <w:tcW w:w="1105" w:type="dxa"/>
            <w:tcBorders>
              <w:left w:val="single" w:color="000000" w:sz="4" w:space="0"/>
              <w:right w:val="single" w:color="000000" w:sz="4" w:space="0"/>
            </w:tcBorders>
            <w:vAlign w:val="top"/>
          </w:tcPr>
          <w:p w14:paraId="5F870CB2">
            <w:pPr>
              <w:rPr>
                <w:rFonts w:ascii="Arial"/>
                <w:color w:val="auto"/>
                <w:sz w:val="21"/>
                <w:highlight w:val="none"/>
              </w:rPr>
            </w:pPr>
          </w:p>
        </w:tc>
      </w:tr>
      <w:tr w14:paraId="3CFF3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154F02EB">
            <w:pPr>
              <w:rPr>
                <w:rFonts w:ascii="Arial"/>
                <w:color w:val="auto"/>
                <w:sz w:val="21"/>
                <w:highlight w:val="none"/>
              </w:rPr>
            </w:pPr>
          </w:p>
        </w:tc>
        <w:tc>
          <w:tcPr>
            <w:tcW w:w="2195" w:type="dxa"/>
            <w:gridSpan w:val="6"/>
            <w:tcBorders>
              <w:right w:val="single" w:color="000000" w:sz="4" w:space="0"/>
            </w:tcBorders>
            <w:vAlign w:val="top"/>
          </w:tcPr>
          <w:p w14:paraId="3DF09285">
            <w:pPr>
              <w:rPr>
                <w:rFonts w:ascii="Arial"/>
                <w:color w:val="auto"/>
                <w:sz w:val="21"/>
                <w:highlight w:val="none"/>
              </w:rPr>
            </w:pPr>
          </w:p>
        </w:tc>
        <w:tc>
          <w:tcPr>
            <w:tcW w:w="664" w:type="dxa"/>
            <w:gridSpan w:val="2"/>
            <w:tcBorders>
              <w:left w:val="single" w:color="000000" w:sz="4" w:space="0"/>
            </w:tcBorders>
            <w:vAlign w:val="top"/>
          </w:tcPr>
          <w:p w14:paraId="4E59A7BF">
            <w:pPr>
              <w:rPr>
                <w:rFonts w:ascii="Arial"/>
                <w:color w:val="auto"/>
                <w:sz w:val="21"/>
                <w:highlight w:val="none"/>
              </w:rPr>
            </w:pPr>
          </w:p>
        </w:tc>
        <w:tc>
          <w:tcPr>
            <w:tcW w:w="1158" w:type="dxa"/>
            <w:gridSpan w:val="2"/>
            <w:tcBorders>
              <w:right w:val="single" w:color="000000" w:sz="4" w:space="0"/>
            </w:tcBorders>
            <w:vAlign w:val="top"/>
          </w:tcPr>
          <w:p w14:paraId="4575F350">
            <w:pPr>
              <w:rPr>
                <w:rFonts w:ascii="Arial"/>
                <w:color w:val="auto"/>
                <w:sz w:val="21"/>
                <w:highlight w:val="none"/>
              </w:rPr>
            </w:pPr>
          </w:p>
        </w:tc>
        <w:tc>
          <w:tcPr>
            <w:tcW w:w="844" w:type="dxa"/>
            <w:tcBorders>
              <w:left w:val="single" w:color="000000" w:sz="4" w:space="0"/>
              <w:right w:val="single" w:color="000000" w:sz="4" w:space="0"/>
            </w:tcBorders>
            <w:vAlign w:val="top"/>
          </w:tcPr>
          <w:p w14:paraId="0F810016">
            <w:pPr>
              <w:rPr>
                <w:rFonts w:ascii="Arial"/>
                <w:color w:val="auto"/>
                <w:sz w:val="21"/>
                <w:highlight w:val="none"/>
              </w:rPr>
            </w:pPr>
          </w:p>
        </w:tc>
        <w:tc>
          <w:tcPr>
            <w:tcW w:w="1005" w:type="dxa"/>
            <w:gridSpan w:val="3"/>
            <w:tcBorders>
              <w:left w:val="single" w:color="000000" w:sz="4" w:space="0"/>
            </w:tcBorders>
            <w:vAlign w:val="top"/>
          </w:tcPr>
          <w:p w14:paraId="1FAE7A45">
            <w:pPr>
              <w:rPr>
                <w:rFonts w:ascii="Arial"/>
                <w:color w:val="auto"/>
                <w:sz w:val="21"/>
                <w:highlight w:val="none"/>
              </w:rPr>
            </w:pPr>
          </w:p>
        </w:tc>
        <w:tc>
          <w:tcPr>
            <w:tcW w:w="1273" w:type="dxa"/>
            <w:gridSpan w:val="3"/>
            <w:tcBorders>
              <w:right w:val="single" w:color="000000" w:sz="4" w:space="0"/>
            </w:tcBorders>
            <w:vAlign w:val="top"/>
          </w:tcPr>
          <w:p w14:paraId="2545BEE2">
            <w:pPr>
              <w:rPr>
                <w:rFonts w:ascii="Arial"/>
                <w:color w:val="auto"/>
                <w:sz w:val="21"/>
                <w:highlight w:val="none"/>
              </w:rPr>
            </w:pPr>
          </w:p>
        </w:tc>
        <w:tc>
          <w:tcPr>
            <w:tcW w:w="1105" w:type="dxa"/>
            <w:tcBorders>
              <w:left w:val="single" w:color="000000" w:sz="4" w:space="0"/>
              <w:right w:val="single" w:color="000000" w:sz="4" w:space="0"/>
            </w:tcBorders>
            <w:vAlign w:val="top"/>
          </w:tcPr>
          <w:p w14:paraId="7CE9B27A">
            <w:pPr>
              <w:rPr>
                <w:rFonts w:ascii="Arial"/>
                <w:color w:val="auto"/>
                <w:sz w:val="21"/>
                <w:highlight w:val="none"/>
              </w:rPr>
            </w:pPr>
          </w:p>
        </w:tc>
      </w:tr>
      <w:tr w14:paraId="76981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4A7CD05">
            <w:pPr>
              <w:rPr>
                <w:rFonts w:ascii="Arial"/>
                <w:color w:val="auto"/>
                <w:sz w:val="21"/>
                <w:highlight w:val="none"/>
              </w:rPr>
            </w:pPr>
          </w:p>
        </w:tc>
        <w:tc>
          <w:tcPr>
            <w:tcW w:w="2195" w:type="dxa"/>
            <w:gridSpan w:val="6"/>
            <w:tcBorders>
              <w:right w:val="single" w:color="000000" w:sz="4" w:space="0"/>
            </w:tcBorders>
            <w:vAlign w:val="top"/>
          </w:tcPr>
          <w:p w14:paraId="02788D8C">
            <w:pPr>
              <w:rPr>
                <w:rFonts w:ascii="Arial"/>
                <w:color w:val="auto"/>
                <w:sz w:val="21"/>
                <w:highlight w:val="none"/>
              </w:rPr>
            </w:pPr>
          </w:p>
        </w:tc>
        <w:tc>
          <w:tcPr>
            <w:tcW w:w="664" w:type="dxa"/>
            <w:gridSpan w:val="2"/>
            <w:tcBorders>
              <w:left w:val="single" w:color="000000" w:sz="4" w:space="0"/>
            </w:tcBorders>
            <w:vAlign w:val="top"/>
          </w:tcPr>
          <w:p w14:paraId="5B7DE348">
            <w:pPr>
              <w:rPr>
                <w:rFonts w:ascii="Arial"/>
                <w:color w:val="auto"/>
                <w:sz w:val="21"/>
                <w:highlight w:val="none"/>
              </w:rPr>
            </w:pPr>
          </w:p>
        </w:tc>
        <w:tc>
          <w:tcPr>
            <w:tcW w:w="1158" w:type="dxa"/>
            <w:gridSpan w:val="2"/>
            <w:tcBorders>
              <w:right w:val="single" w:color="000000" w:sz="4" w:space="0"/>
            </w:tcBorders>
            <w:vAlign w:val="top"/>
          </w:tcPr>
          <w:p w14:paraId="304FB0FA">
            <w:pPr>
              <w:rPr>
                <w:rFonts w:ascii="Arial"/>
                <w:color w:val="auto"/>
                <w:sz w:val="21"/>
                <w:highlight w:val="none"/>
              </w:rPr>
            </w:pPr>
          </w:p>
        </w:tc>
        <w:tc>
          <w:tcPr>
            <w:tcW w:w="844" w:type="dxa"/>
            <w:tcBorders>
              <w:left w:val="single" w:color="000000" w:sz="4" w:space="0"/>
              <w:right w:val="single" w:color="000000" w:sz="4" w:space="0"/>
            </w:tcBorders>
            <w:vAlign w:val="top"/>
          </w:tcPr>
          <w:p w14:paraId="043358CF">
            <w:pPr>
              <w:rPr>
                <w:rFonts w:ascii="Arial"/>
                <w:color w:val="auto"/>
                <w:sz w:val="21"/>
                <w:highlight w:val="none"/>
              </w:rPr>
            </w:pPr>
          </w:p>
        </w:tc>
        <w:tc>
          <w:tcPr>
            <w:tcW w:w="1005" w:type="dxa"/>
            <w:gridSpan w:val="3"/>
            <w:tcBorders>
              <w:left w:val="single" w:color="000000" w:sz="4" w:space="0"/>
            </w:tcBorders>
            <w:vAlign w:val="top"/>
          </w:tcPr>
          <w:p w14:paraId="60B50D4D">
            <w:pPr>
              <w:rPr>
                <w:rFonts w:ascii="Arial"/>
                <w:color w:val="auto"/>
                <w:sz w:val="21"/>
                <w:highlight w:val="none"/>
              </w:rPr>
            </w:pPr>
          </w:p>
        </w:tc>
        <w:tc>
          <w:tcPr>
            <w:tcW w:w="1273" w:type="dxa"/>
            <w:gridSpan w:val="3"/>
            <w:tcBorders>
              <w:right w:val="single" w:color="000000" w:sz="4" w:space="0"/>
            </w:tcBorders>
            <w:vAlign w:val="top"/>
          </w:tcPr>
          <w:p w14:paraId="04F96AEB">
            <w:pPr>
              <w:rPr>
                <w:rFonts w:ascii="Arial"/>
                <w:color w:val="auto"/>
                <w:sz w:val="21"/>
                <w:highlight w:val="none"/>
              </w:rPr>
            </w:pPr>
          </w:p>
        </w:tc>
        <w:tc>
          <w:tcPr>
            <w:tcW w:w="1105" w:type="dxa"/>
            <w:tcBorders>
              <w:left w:val="single" w:color="000000" w:sz="4" w:space="0"/>
              <w:right w:val="single" w:color="000000" w:sz="4" w:space="0"/>
            </w:tcBorders>
            <w:vAlign w:val="top"/>
          </w:tcPr>
          <w:p w14:paraId="1506553F">
            <w:pPr>
              <w:rPr>
                <w:rFonts w:ascii="Arial"/>
                <w:color w:val="auto"/>
                <w:sz w:val="21"/>
                <w:highlight w:val="none"/>
              </w:rPr>
            </w:pPr>
          </w:p>
        </w:tc>
      </w:tr>
      <w:tr w14:paraId="7FC6F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3FFA5E6B">
            <w:pPr>
              <w:rPr>
                <w:rFonts w:ascii="Arial"/>
                <w:color w:val="auto"/>
                <w:sz w:val="21"/>
                <w:highlight w:val="none"/>
              </w:rPr>
            </w:pPr>
          </w:p>
        </w:tc>
        <w:tc>
          <w:tcPr>
            <w:tcW w:w="2195" w:type="dxa"/>
            <w:gridSpan w:val="6"/>
            <w:tcBorders>
              <w:right w:val="single" w:color="000000" w:sz="4" w:space="0"/>
            </w:tcBorders>
            <w:vAlign w:val="top"/>
          </w:tcPr>
          <w:p w14:paraId="218B18AA">
            <w:pPr>
              <w:rPr>
                <w:rFonts w:ascii="Arial"/>
                <w:color w:val="auto"/>
                <w:sz w:val="21"/>
                <w:highlight w:val="none"/>
              </w:rPr>
            </w:pPr>
          </w:p>
        </w:tc>
        <w:tc>
          <w:tcPr>
            <w:tcW w:w="664" w:type="dxa"/>
            <w:gridSpan w:val="2"/>
            <w:tcBorders>
              <w:left w:val="single" w:color="000000" w:sz="4" w:space="0"/>
            </w:tcBorders>
            <w:vAlign w:val="top"/>
          </w:tcPr>
          <w:p w14:paraId="308AD2C8">
            <w:pPr>
              <w:rPr>
                <w:rFonts w:ascii="Arial"/>
                <w:color w:val="auto"/>
                <w:sz w:val="21"/>
                <w:highlight w:val="none"/>
              </w:rPr>
            </w:pPr>
          </w:p>
        </w:tc>
        <w:tc>
          <w:tcPr>
            <w:tcW w:w="1158" w:type="dxa"/>
            <w:gridSpan w:val="2"/>
            <w:tcBorders>
              <w:right w:val="single" w:color="000000" w:sz="4" w:space="0"/>
            </w:tcBorders>
            <w:vAlign w:val="top"/>
          </w:tcPr>
          <w:p w14:paraId="698FFC3B">
            <w:pPr>
              <w:rPr>
                <w:rFonts w:ascii="Arial"/>
                <w:color w:val="auto"/>
                <w:sz w:val="21"/>
                <w:highlight w:val="none"/>
              </w:rPr>
            </w:pPr>
          </w:p>
        </w:tc>
        <w:tc>
          <w:tcPr>
            <w:tcW w:w="844" w:type="dxa"/>
            <w:tcBorders>
              <w:left w:val="single" w:color="000000" w:sz="4" w:space="0"/>
              <w:right w:val="single" w:color="000000" w:sz="4" w:space="0"/>
            </w:tcBorders>
            <w:vAlign w:val="top"/>
          </w:tcPr>
          <w:p w14:paraId="5EAE856C">
            <w:pPr>
              <w:rPr>
                <w:rFonts w:ascii="Arial"/>
                <w:color w:val="auto"/>
                <w:sz w:val="21"/>
                <w:highlight w:val="none"/>
              </w:rPr>
            </w:pPr>
          </w:p>
        </w:tc>
        <w:tc>
          <w:tcPr>
            <w:tcW w:w="1005" w:type="dxa"/>
            <w:gridSpan w:val="3"/>
            <w:tcBorders>
              <w:left w:val="single" w:color="000000" w:sz="4" w:space="0"/>
            </w:tcBorders>
            <w:vAlign w:val="top"/>
          </w:tcPr>
          <w:p w14:paraId="4F78D609">
            <w:pPr>
              <w:rPr>
                <w:rFonts w:ascii="Arial"/>
                <w:color w:val="auto"/>
                <w:sz w:val="21"/>
                <w:highlight w:val="none"/>
              </w:rPr>
            </w:pPr>
          </w:p>
        </w:tc>
        <w:tc>
          <w:tcPr>
            <w:tcW w:w="1273" w:type="dxa"/>
            <w:gridSpan w:val="3"/>
            <w:tcBorders>
              <w:right w:val="single" w:color="000000" w:sz="4" w:space="0"/>
            </w:tcBorders>
            <w:vAlign w:val="top"/>
          </w:tcPr>
          <w:p w14:paraId="4B95D6C9">
            <w:pPr>
              <w:rPr>
                <w:rFonts w:ascii="Arial"/>
                <w:color w:val="auto"/>
                <w:sz w:val="21"/>
                <w:highlight w:val="none"/>
              </w:rPr>
            </w:pPr>
          </w:p>
        </w:tc>
        <w:tc>
          <w:tcPr>
            <w:tcW w:w="1105" w:type="dxa"/>
            <w:tcBorders>
              <w:left w:val="single" w:color="000000" w:sz="4" w:space="0"/>
              <w:right w:val="single" w:color="000000" w:sz="4" w:space="0"/>
            </w:tcBorders>
            <w:vAlign w:val="top"/>
          </w:tcPr>
          <w:p w14:paraId="366FC4F2">
            <w:pPr>
              <w:rPr>
                <w:rFonts w:ascii="Arial"/>
                <w:color w:val="auto"/>
                <w:sz w:val="21"/>
                <w:highlight w:val="none"/>
              </w:rPr>
            </w:pPr>
          </w:p>
        </w:tc>
      </w:tr>
      <w:tr w14:paraId="37C27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1076FC9F">
            <w:pPr>
              <w:rPr>
                <w:rFonts w:ascii="Arial"/>
                <w:color w:val="auto"/>
                <w:sz w:val="21"/>
                <w:highlight w:val="none"/>
              </w:rPr>
            </w:pPr>
          </w:p>
        </w:tc>
        <w:tc>
          <w:tcPr>
            <w:tcW w:w="4017" w:type="dxa"/>
            <w:gridSpan w:val="10"/>
            <w:tcBorders>
              <w:right w:val="single" w:color="000000" w:sz="4" w:space="0"/>
            </w:tcBorders>
            <w:vAlign w:val="top"/>
          </w:tcPr>
          <w:p w14:paraId="33E8C556">
            <w:pPr>
              <w:pStyle w:val="18"/>
              <w:spacing w:before="182" w:line="220" w:lineRule="auto"/>
              <w:ind w:left="1490"/>
              <w:rPr>
                <w:color w:val="auto"/>
                <w:highlight w:val="none"/>
              </w:rPr>
            </w:pPr>
            <w:r>
              <w:rPr>
                <w:color w:val="auto"/>
                <w:spacing w:val="-1"/>
                <w:highlight w:val="none"/>
              </w:rPr>
              <w:t>其他材料费</w:t>
            </w:r>
          </w:p>
        </w:tc>
        <w:tc>
          <w:tcPr>
            <w:tcW w:w="844" w:type="dxa"/>
            <w:tcBorders>
              <w:left w:val="single" w:color="000000" w:sz="4" w:space="0"/>
              <w:right w:val="single" w:color="000000" w:sz="4" w:space="0"/>
            </w:tcBorders>
            <w:vAlign w:val="top"/>
          </w:tcPr>
          <w:p w14:paraId="789A555E">
            <w:pPr>
              <w:pStyle w:val="18"/>
              <w:spacing w:before="282" w:line="142" w:lineRule="exact"/>
              <w:ind w:left="315"/>
              <w:rPr>
                <w:color w:val="auto"/>
                <w:highlight w:val="none"/>
              </w:rPr>
            </w:pPr>
            <w:r>
              <w:rPr>
                <w:color w:val="auto"/>
                <w:position w:val="-3"/>
                <w:highlight w:val="none"/>
              </w:rPr>
              <w:t>—</w:t>
            </w:r>
          </w:p>
        </w:tc>
        <w:tc>
          <w:tcPr>
            <w:tcW w:w="1005" w:type="dxa"/>
            <w:gridSpan w:val="3"/>
            <w:tcBorders>
              <w:left w:val="single" w:color="000000" w:sz="4" w:space="0"/>
            </w:tcBorders>
            <w:vAlign w:val="top"/>
          </w:tcPr>
          <w:p w14:paraId="1F4434DF">
            <w:pPr>
              <w:rPr>
                <w:rFonts w:ascii="Arial"/>
                <w:color w:val="auto"/>
                <w:sz w:val="21"/>
                <w:highlight w:val="none"/>
              </w:rPr>
            </w:pPr>
          </w:p>
        </w:tc>
        <w:tc>
          <w:tcPr>
            <w:tcW w:w="1273" w:type="dxa"/>
            <w:gridSpan w:val="3"/>
            <w:tcBorders>
              <w:right w:val="single" w:color="000000" w:sz="4" w:space="0"/>
            </w:tcBorders>
            <w:vAlign w:val="top"/>
          </w:tcPr>
          <w:p w14:paraId="112C8593">
            <w:pPr>
              <w:pStyle w:val="18"/>
              <w:spacing w:before="282" w:line="142" w:lineRule="exact"/>
              <w:ind w:left="538"/>
              <w:rPr>
                <w:color w:val="auto"/>
                <w:highlight w:val="none"/>
              </w:rPr>
            </w:pPr>
            <w:r>
              <w:rPr>
                <w:color w:val="auto"/>
                <w:position w:val="-3"/>
                <w:highlight w:val="none"/>
              </w:rPr>
              <w:t>—</w:t>
            </w:r>
          </w:p>
        </w:tc>
        <w:tc>
          <w:tcPr>
            <w:tcW w:w="1105" w:type="dxa"/>
            <w:tcBorders>
              <w:left w:val="single" w:color="000000" w:sz="4" w:space="0"/>
              <w:right w:val="single" w:color="000000" w:sz="4" w:space="0"/>
            </w:tcBorders>
            <w:vAlign w:val="top"/>
          </w:tcPr>
          <w:p w14:paraId="31ED1A5C">
            <w:pPr>
              <w:rPr>
                <w:rFonts w:ascii="Arial"/>
                <w:color w:val="auto"/>
                <w:sz w:val="21"/>
                <w:highlight w:val="none"/>
              </w:rPr>
            </w:pPr>
          </w:p>
        </w:tc>
      </w:tr>
      <w:tr w14:paraId="10AF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14:paraId="3FC99FB4">
            <w:pPr>
              <w:rPr>
                <w:rFonts w:ascii="Arial"/>
                <w:color w:val="auto"/>
                <w:sz w:val="21"/>
                <w:highlight w:val="none"/>
              </w:rPr>
            </w:pPr>
          </w:p>
        </w:tc>
        <w:tc>
          <w:tcPr>
            <w:tcW w:w="4017" w:type="dxa"/>
            <w:gridSpan w:val="10"/>
            <w:tcBorders>
              <w:bottom w:val="single" w:color="000000" w:sz="4" w:space="0"/>
              <w:right w:val="single" w:color="000000" w:sz="4" w:space="0"/>
            </w:tcBorders>
            <w:vAlign w:val="top"/>
          </w:tcPr>
          <w:p w14:paraId="412605FF">
            <w:pPr>
              <w:pStyle w:val="18"/>
              <w:spacing w:before="182" w:line="220" w:lineRule="auto"/>
              <w:ind w:left="1489"/>
              <w:rPr>
                <w:color w:val="auto"/>
                <w:highlight w:val="none"/>
              </w:rPr>
            </w:pPr>
            <w:r>
              <w:rPr>
                <w:color w:val="auto"/>
                <w:spacing w:val="-1"/>
                <w:highlight w:val="none"/>
              </w:rPr>
              <w:t>材料费小计</w:t>
            </w:r>
          </w:p>
        </w:tc>
        <w:tc>
          <w:tcPr>
            <w:tcW w:w="844" w:type="dxa"/>
            <w:tcBorders>
              <w:left w:val="single" w:color="000000" w:sz="4" w:space="0"/>
              <w:bottom w:val="single" w:color="000000" w:sz="4" w:space="0"/>
              <w:right w:val="single" w:color="000000" w:sz="4" w:space="0"/>
            </w:tcBorders>
            <w:vAlign w:val="top"/>
          </w:tcPr>
          <w:p w14:paraId="180CF62F">
            <w:pPr>
              <w:pStyle w:val="18"/>
              <w:spacing w:before="282" w:line="142" w:lineRule="exact"/>
              <w:ind w:left="315"/>
              <w:rPr>
                <w:color w:val="auto"/>
                <w:highlight w:val="none"/>
              </w:rPr>
            </w:pPr>
            <w:r>
              <w:rPr>
                <w:color w:val="auto"/>
                <w:position w:val="-3"/>
                <w:highlight w:val="none"/>
              </w:rPr>
              <w:t>—</w:t>
            </w:r>
          </w:p>
        </w:tc>
        <w:tc>
          <w:tcPr>
            <w:tcW w:w="1005" w:type="dxa"/>
            <w:gridSpan w:val="3"/>
            <w:tcBorders>
              <w:left w:val="single" w:color="000000" w:sz="4" w:space="0"/>
              <w:bottom w:val="single" w:color="000000" w:sz="4" w:space="0"/>
            </w:tcBorders>
            <w:vAlign w:val="top"/>
          </w:tcPr>
          <w:p w14:paraId="0950BA98">
            <w:pPr>
              <w:rPr>
                <w:rFonts w:ascii="Arial"/>
                <w:color w:val="auto"/>
                <w:sz w:val="21"/>
                <w:highlight w:val="none"/>
              </w:rPr>
            </w:pPr>
          </w:p>
        </w:tc>
        <w:tc>
          <w:tcPr>
            <w:tcW w:w="1273" w:type="dxa"/>
            <w:gridSpan w:val="3"/>
            <w:tcBorders>
              <w:bottom w:val="single" w:color="000000" w:sz="4" w:space="0"/>
              <w:right w:val="single" w:color="000000" w:sz="4" w:space="0"/>
            </w:tcBorders>
            <w:vAlign w:val="top"/>
          </w:tcPr>
          <w:p w14:paraId="03EED3AD">
            <w:pPr>
              <w:tabs>
                <w:tab w:val="left" w:pos="743"/>
              </w:tabs>
              <w:spacing w:before="90" w:line="241" w:lineRule="exact"/>
              <w:ind w:left="538"/>
              <w:rPr>
                <w:rFonts w:ascii="Arial"/>
                <w:color w:val="auto"/>
                <w:sz w:val="21"/>
                <w:highlight w:val="none"/>
              </w:rPr>
            </w:pPr>
            <w:r>
              <w:rPr>
                <w:rFonts w:ascii="Arial" w:hAnsi="Arial" w:eastAsia="Arial" w:cs="Arial"/>
                <w:color w:val="auto"/>
                <w:sz w:val="21"/>
                <w:szCs w:val="21"/>
                <w:highlight w:val="none"/>
                <w:u w:val="single" w:color="auto"/>
              </w:rPr>
              <w:tab/>
            </w:r>
          </w:p>
        </w:tc>
        <w:tc>
          <w:tcPr>
            <w:tcW w:w="1105" w:type="dxa"/>
            <w:tcBorders>
              <w:left w:val="single" w:color="000000" w:sz="4" w:space="0"/>
              <w:bottom w:val="single" w:color="000000" w:sz="4" w:space="0"/>
              <w:right w:val="single" w:color="000000" w:sz="4" w:space="0"/>
            </w:tcBorders>
            <w:vAlign w:val="top"/>
          </w:tcPr>
          <w:p w14:paraId="118E7541">
            <w:pPr>
              <w:rPr>
                <w:rFonts w:ascii="Arial"/>
                <w:color w:val="auto"/>
                <w:sz w:val="21"/>
                <w:highlight w:val="none"/>
              </w:rPr>
            </w:pPr>
          </w:p>
        </w:tc>
      </w:tr>
    </w:tbl>
    <w:p w14:paraId="498541E8">
      <w:pPr>
        <w:spacing w:before="25" w:line="219" w:lineRule="auto"/>
        <w:ind w:left="329"/>
        <w:rPr>
          <w:rFonts w:ascii="宋体" w:hAnsi="宋体" w:eastAsia="宋体" w:cs="宋体"/>
          <w:color w:val="auto"/>
          <w:sz w:val="21"/>
          <w:szCs w:val="21"/>
          <w:highlight w:val="none"/>
        </w:rPr>
      </w:pPr>
      <w:r>
        <w:rPr>
          <w:rFonts w:ascii="宋体" w:hAnsi="宋体" w:eastAsia="宋体" w:cs="宋体"/>
          <w:color w:val="auto"/>
          <w:sz w:val="21"/>
          <w:szCs w:val="21"/>
          <w:highlight w:val="none"/>
        </w:rPr>
        <w:t>注</w:t>
      </w:r>
      <w:r>
        <w:rPr>
          <w:rFonts w:ascii="黑体" w:hAnsi="黑体" w:eastAsia="黑体" w:cs="黑体"/>
          <w:color w:val="auto"/>
          <w:sz w:val="21"/>
          <w:szCs w:val="21"/>
          <w:highlight w:val="none"/>
        </w:rPr>
        <w:t>：1.</w:t>
      </w:r>
      <w:r>
        <w:rPr>
          <w:rFonts w:ascii="宋体" w:hAnsi="宋体" w:eastAsia="宋体" w:cs="宋体"/>
          <w:color w:val="auto"/>
          <w:sz w:val="21"/>
          <w:szCs w:val="21"/>
          <w:highlight w:val="none"/>
        </w:rPr>
        <w:t>招标文件提供了暂估单价的材料， 按暂估的单价填入表内“暂估单价”栏及“暂估</w:t>
      </w:r>
    </w:p>
    <w:p w14:paraId="00038B58">
      <w:pPr>
        <w:spacing w:before="25" w:line="219" w:lineRule="auto"/>
        <w:ind w:left="33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合价”栏。</w:t>
      </w:r>
    </w:p>
    <w:p w14:paraId="5E908E12">
      <w:pPr>
        <w:spacing w:line="219" w:lineRule="auto"/>
        <w:rPr>
          <w:rFonts w:ascii="宋体" w:hAnsi="宋体" w:eastAsia="宋体" w:cs="宋体"/>
          <w:color w:val="auto"/>
          <w:sz w:val="21"/>
          <w:szCs w:val="21"/>
          <w:highlight w:val="none"/>
        </w:rPr>
        <w:sectPr>
          <w:footerReference r:id="rId131" w:type="default"/>
          <w:pgSz w:w="11905" w:h="16839"/>
          <w:pgMar w:top="400" w:right="1474" w:bottom="1004" w:left="1474" w:header="0" w:footer="828" w:gutter="0"/>
          <w:pgNumType w:fmt="decimal"/>
          <w:cols w:space="720" w:num="1"/>
        </w:sectPr>
      </w:pPr>
    </w:p>
    <w:p w14:paraId="29670188">
      <w:pPr>
        <w:pStyle w:val="5"/>
        <w:spacing w:line="267" w:lineRule="auto"/>
        <w:rPr>
          <w:color w:val="auto"/>
          <w:highlight w:val="none"/>
        </w:rPr>
      </w:pPr>
    </w:p>
    <w:p w14:paraId="6A312629">
      <w:pPr>
        <w:pStyle w:val="5"/>
        <w:spacing w:line="267" w:lineRule="auto"/>
        <w:rPr>
          <w:color w:val="auto"/>
          <w:highlight w:val="none"/>
        </w:rPr>
      </w:pPr>
    </w:p>
    <w:p w14:paraId="2F953D8D">
      <w:pPr>
        <w:pStyle w:val="5"/>
        <w:spacing w:line="268" w:lineRule="auto"/>
        <w:rPr>
          <w:color w:val="auto"/>
          <w:highlight w:val="none"/>
        </w:rPr>
      </w:pPr>
    </w:p>
    <w:p w14:paraId="284547C7">
      <w:pPr>
        <w:pStyle w:val="5"/>
        <w:spacing w:line="268" w:lineRule="auto"/>
        <w:rPr>
          <w:color w:val="auto"/>
          <w:highlight w:val="none"/>
        </w:rPr>
      </w:pPr>
    </w:p>
    <w:p w14:paraId="689893CF">
      <w:pPr>
        <w:spacing w:before="78" w:line="219" w:lineRule="auto"/>
        <w:ind w:left="25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4.11 </w:t>
      </w:r>
      <w:r>
        <w:rPr>
          <w:rFonts w:ascii="黑体" w:hAnsi="黑体" w:eastAsia="黑体" w:cs="黑体"/>
          <w:color w:val="auto"/>
          <w:spacing w:val="-2"/>
          <w:sz w:val="24"/>
          <w:szCs w:val="24"/>
          <w:highlight w:val="none"/>
        </w:rPr>
        <w:t>总价措施项目清单与计价表</w:t>
      </w:r>
    </w:p>
    <w:p w14:paraId="04C0110D">
      <w:pPr>
        <w:spacing w:before="161" w:line="225" w:lineRule="auto"/>
        <w:ind w:left="2748"/>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总价措施项目清单与计价表</w:t>
      </w:r>
    </w:p>
    <w:p w14:paraId="4709B294">
      <w:pPr>
        <w:spacing w:before="143" w:line="214" w:lineRule="auto"/>
        <w:ind w:left="26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标段名称：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7"/>
          <w:sz w:val="21"/>
          <w:szCs w:val="21"/>
          <w:highlight w:val="none"/>
        </w:rPr>
        <w:t>第 页</w:t>
      </w:r>
      <w:r>
        <w:rPr>
          <w:rFonts w:ascii="宋体" w:hAnsi="宋体" w:eastAsia="宋体" w:cs="宋体"/>
          <w:color w:val="auto"/>
          <w:spacing w:val="-36"/>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15"/>
          <w:sz w:val="21"/>
          <w:szCs w:val="21"/>
          <w:highlight w:val="none"/>
        </w:rPr>
        <w:t xml:space="preserve"> </w:t>
      </w:r>
      <w:r>
        <w:rPr>
          <w:rFonts w:ascii="宋体" w:hAnsi="宋体" w:eastAsia="宋体" w:cs="宋体"/>
          <w:color w:val="auto"/>
          <w:spacing w:val="-17"/>
          <w:sz w:val="21"/>
          <w:szCs w:val="21"/>
          <w:highlight w:val="none"/>
        </w:rPr>
        <w:t>页</w:t>
      </w:r>
    </w:p>
    <w:tbl>
      <w:tblPr>
        <w:tblStyle w:val="17"/>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14:paraId="5474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14:paraId="026CF7A1">
            <w:pPr>
              <w:pStyle w:val="18"/>
              <w:spacing w:before="185" w:line="211" w:lineRule="auto"/>
              <w:ind w:left="173"/>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127" w:type="dxa"/>
            <w:tcBorders>
              <w:top w:val="single" w:color="000000" w:sz="4" w:space="0"/>
            </w:tcBorders>
            <w:vAlign w:val="top"/>
          </w:tcPr>
          <w:p w14:paraId="696B4568">
            <w:pPr>
              <w:spacing w:line="242" w:lineRule="auto"/>
              <w:rPr>
                <w:rFonts w:ascii="Arial"/>
                <w:color w:val="auto"/>
                <w:sz w:val="21"/>
                <w:highlight w:val="none"/>
              </w:rPr>
            </w:pPr>
          </w:p>
          <w:p w14:paraId="37EFC88D">
            <w:pPr>
              <w:pStyle w:val="18"/>
              <w:spacing w:before="68" w:line="221" w:lineRule="auto"/>
              <w:ind w:left="143"/>
              <w:rPr>
                <w:color w:val="auto"/>
                <w:highlight w:val="none"/>
              </w:rPr>
            </w:pPr>
            <w:r>
              <w:rPr>
                <w:color w:val="auto"/>
                <w:spacing w:val="-2"/>
                <w:highlight w:val="none"/>
              </w:rPr>
              <w:t>项目编码</w:t>
            </w:r>
          </w:p>
        </w:tc>
        <w:tc>
          <w:tcPr>
            <w:tcW w:w="1386" w:type="dxa"/>
            <w:tcBorders>
              <w:top w:val="single" w:color="000000" w:sz="4" w:space="0"/>
            </w:tcBorders>
            <w:vAlign w:val="top"/>
          </w:tcPr>
          <w:p w14:paraId="7EA4D523">
            <w:pPr>
              <w:spacing w:line="243" w:lineRule="auto"/>
              <w:rPr>
                <w:rFonts w:ascii="Arial"/>
                <w:color w:val="auto"/>
                <w:sz w:val="21"/>
                <w:highlight w:val="none"/>
              </w:rPr>
            </w:pPr>
          </w:p>
          <w:p w14:paraId="2D87CB91">
            <w:pPr>
              <w:pStyle w:val="18"/>
              <w:spacing w:before="68" w:line="221" w:lineRule="auto"/>
              <w:ind w:left="274"/>
              <w:rPr>
                <w:color w:val="auto"/>
                <w:highlight w:val="none"/>
              </w:rPr>
            </w:pPr>
            <w:r>
              <w:rPr>
                <w:color w:val="auto"/>
                <w:spacing w:val="-2"/>
                <w:highlight w:val="none"/>
              </w:rPr>
              <w:t>项目名称</w:t>
            </w:r>
          </w:p>
        </w:tc>
        <w:tc>
          <w:tcPr>
            <w:tcW w:w="1271" w:type="dxa"/>
            <w:tcBorders>
              <w:top w:val="single" w:color="000000" w:sz="4" w:space="0"/>
            </w:tcBorders>
            <w:vAlign w:val="top"/>
          </w:tcPr>
          <w:p w14:paraId="179B60E2">
            <w:pPr>
              <w:spacing w:line="242" w:lineRule="auto"/>
              <w:rPr>
                <w:rFonts w:ascii="Arial"/>
                <w:color w:val="auto"/>
                <w:sz w:val="21"/>
                <w:highlight w:val="none"/>
              </w:rPr>
            </w:pPr>
          </w:p>
          <w:p w14:paraId="0F0DEEF1">
            <w:pPr>
              <w:pStyle w:val="18"/>
              <w:spacing w:before="68" w:line="221" w:lineRule="auto"/>
              <w:ind w:left="220"/>
              <w:rPr>
                <w:color w:val="auto"/>
                <w:highlight w:val="none"/>
              </w:rPr>
            </w:pPr>
            <w:r>
              <w:rPr>
                <w:color w:val="auto"/>
                <w:spacing w:val="-1"/>
                <w:highlight w:val="none"/>
              </w:rPr>
              <w:t>计算基础</w:t>
            </w:r>
          </w:p>
        </w:tc>
        <w:tc>
          <w:tcPr>
            <w:tcW w:w="854" w:type="dxa"/>
            <w:tcBorders>
              <w:top w:val="single" w:color="000000" w:sz="4" w:space="0"/>
            </w:tcBorders>
            <w:vAlign w:val="top"/>
          </w:tcPr>
          <w:p w14:paraId="3F354467">
            <w:pPr>
              <w:pStyle w:val="18"/>
              <w:spacing w:before="172" w:line="241" w:lineRule="auto"/>
              <w:ind w:left="233"/>
              <w:rPr>
                <w:color w:val="auto"/>
                <w:highlight w:val="none"/>
              </w:rPr>
            </w:pPr>
            <w:r>
              <w:rPr>
                <w:color w:val="auto"/>
                <w:spacing w:val="-5"/>
                <w:highlight w:val="none"/>
              </w:rPr>
              <w:t>费率</w:t>
            </w:r>
          </w:p>
          <w:p w14:paraId="58880706">
            <w:pPr>
              <w:pStyle w:val="18"/>
              <w:spacing w:line="223" w:lineRule="auto"/>
              <w:ind w:left="227"/>
              <w:rPr>
                <w:color w:val="auto"/>
                <w:highlight w:val="none"/>
              </w:rPr>
            </w:pPr>
            <w:r>
              <w:rPr>
                <w:color w:val="auto"/>
                <w:spacing w:val="14"/>
                <w:w w:val="111"/>
                <w:highlight w:val="none"/>
              </w:rPr>
              <w:t>(%)</w:t>
            </w:r>
          </w:p>
        </w:tc>
        <w:tc>
          <w:tcPr>
            <w:tcW w:w="1271" w:type="dxa"/>
            <w:tcBorders>
              <w:top w:val="single" w:color="000000" w:sz="4" w:space="0"/>
            </w:tcBorders>
            <w:vAlign w:val="top"/>
          </w:tcPr>
          <w:p w14:paraId="25133D86">
            <w:pPr>
              <w:spacing w:line="242" w:lineRule="auto"/>
              <w:rPr>
                <w:rFonts w:ascii="Arial"/>
                <w:color w:val="auto"/>
                <w:sz w:val="21"/>
                <w:highlight w:val="none"/>
              </w:rPr>
            </w:pPr>
          </w:p>
          <w:p w14:paraId="7A35D379">
            <w:pPr>
              <w:pStyle w:val="18"/>
              <w:spacing w:before="68" w:line="221" w:lineRule="auto"/>
              <w:ind w:left="118"/>
              <w:rPr>
                <w:color w:val="auto"/>
                <w:highlight w:val="none"/>
              </w:rPr>
            </w:pPr>
            <w:r>
              <w:rPr>
                <w:color w:val="auto"/>
                <w:spacing w:val="-2"/>
                <w:highlight w:val="none"/>
              </w:rPr>
              <w:t>金额（元）</w:t>
            </w:r>
          </w:p>
        </w:tc>
        <w:tc>
          <w:tcPr>
            <w:tcW w:w="853" w:type="dxa"/>
            <w:tcBorders>
              <w:top w:val="single" w:color="000000" w:sz="4" w:space="0"/>
            </w:tcBorders>
            <w:vAlign w:val="top"/>
          </w:tcPr>
          <w:p w14:paraId="1FB51896">
            <w:pPr>
              <w:pStyle w:val="18"/>
              <w:spacing w:before="37" w:line="231" w:lineRule="auto"/>
              <w:ind w:left="326" w:right="108" w:hanging="211"/>
              <w:rPr>
                <w:color w:val="auto"/>
                <w:highlight w:val="none"/>
              </w:rPr>
            </w:pPr>
            <w:r>
              <w:rPr>
                <w:color w:val="auto"/>
                <w:spacing w:val="-3"/>
                <w:highlight w:val="none"/>
              </w:rPr>
              <w:t>调整费</w:t>
            </w:r>
            <w:r>
              <w:rPr>
                <w:color w:val="auto"/>
                <w:spacing w:val="1"/>
                <w:highlight w:val="none"/>
              </w:rPr>
              <w:t xml:space="preserve"> </w:t>
            </w:r>
            <w:r>
              <w:rPr>
                <w:color w:val="auto"/>
                <w:highlight w:val="none"/>
              </w:rPr>
              <w:t>率</w:t>
            </w:r>
          </w:p>
          <w:p w14:paraId="57E4E7E9">
            <w:pPr>
              <w:pStyle w:val="18"/>
              <w:spacing w:before="23" w:line="213" w:lineRule="auto"/>
              <w:ind w:left="172"/>
              <w:rPr>
                <w:color w:val="auto"/>
                <w:highlight w:val="none"/>
              </w:rPr>
            </w:pPr>
            <w:r>
              <w:rPr>
                <w:color w:val="auto"/>
                <w:spacing w:val="-5"/>
                <w:highlight w:val="none"/>
              </w:rPr>
              <w:t>（%）</w:t>
            </w:r>
          </w:p>
        </w:tc>
        <w:tc>
          <w:tcPr>
            <w:tcW w:w="950" w:type="dxa"/>
            <w:tcBorders>
              <w:top w:val="single" w:color="000000" w:sz="4" w:space="0"/>
            </w:tcBorders>
            <w:vAlign w:val="top"/>
          </w:tcPr>
          <w:p w14:paraId="4549AE5D">
            <w:pPr>
              <w:pStyle w:val="18"/>
              <w:spacing w:before="37" w:line="232" w:lineRule="auto"/>
              <w:ind w:left="173" w:right="151" w:hanging="4"/>
              <w:rPr>
                <w:color w:val="auto"/>
                <w:highlight w:val="none"/>
              </w:rPr>
            </w:pPr>
            <w:r>
              <w:rPr>
                <w:color w:val="auto"/>
                <w:spacing w:val="-3"/>
                <w:highlight w:val="none"/>
              </w:rPr>
              <w:t>调整后</w:t>
            </w:r>
            <w:r>
              <w:rPr>
                <w:color w:val="auto"/>
                <w:spacing w:val="1"/>
                <w:highlight w:val="none"/>
              </w:rPr>
              <w:t xml:space="preserve"> </w:t>
            </w:r>
            <w:r>
              <w:rPr>
                <w:color w:val="auto"/>
                <w:spacing w:val="38"/>
                <w:highlight w:val="none"/>
              </w:rPr>
              <w:t xml:space="preserve">金额 </w:t>
            </w:r>
            <w:r>
              <w:rPr>
                <w:color w:val="auto"/>
                <w:spacing w:val="-4"/>
                <w:highlight w:val="none"/>
              </w:rPr>
              <w:t>（元）</w:t>
            </w:r>
          </w:p>
        </w:tc>
        <w:tc>
          <w:tcPr>
            <w:tcW w:w="527" w:type="dxa"/>
            <w:tcBorders>
              <w:top w:val="single" w:color="000000" w:sz="4" w:space="0"/>
              <w:right w:val="single" w:color="000000" w:sz="4" w:space="0"/>
            </w:tcBorders>
            <w:textDirection w:val="tbRlV"/>
            <w:vAlign w:val="top"/>
          </w:tcPr>
          <w:p w14:paraId="08968B35">
            <w:pPr>
              <w:pStyle w:val="18"/>
              <w:spacing w:before="152" w:line="210" w:lineRule="auto"/>
              <w:ind w:left="173"/>
              <w:rPr>
                <w:color w:val="auto"/>
                <w:highlight w:val="none"/>
              </w:rPr>
            </w:pPr>
            <w:r>
              <w:rPr>
                <w:color w:val="auto"/>
                <w:spacing w:val="1"/>
                <w:highlight w:val="none"/>
              </w:rPr>
              <w:t>备</w:t>
            </w:r>
            <w:r>
              <w:rPr>
                <w:color w:val="auto"/>
                <w:spacing w:val="-43"/>
                <w:highlight w:val="none"/>
              </w:rPr>
              <w:t xml:space="preserve"> </w:t>
            </w:r>
            <w:r>
              <w:rPr>
                <w:color w:val="auto"/>
                <w:spacing w:val="1"/>
                <w:highlight w:val="none"/>
              </w:rPr>
              <w:t>注</w:t>
            </w:r>
          </w:p>
        </w:tc>
      </w:tr>
      <w:tr w14:paraId="492DB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5EF4D7FD">
            <w:pPr>
              <w:rPr>
                <w:rFonts w:ascii="Arial"/>
                <w:color w:val="auto"/>
                <w:sz w:val="21"/>
                <w:highlight w:val="none"/>
              </w:rPr>
            </w:pPr>
          </w:p>
        </w:tc>
        <w:tc>
          <w:tcPr>
            <w:tcW w:w="1127" w:type="dxa"/>
            <w:vAlign w:val="top"/>
          </w:tcPr>
          <w:p w14:paraId="7C1E5A07">
            <w:pPr>
              <w:rPr>
                <w:rFonts w:ascii="Arial"/>
                <w:color w:val="auto"/>
                <w:sz w:val="21"/>
                <w:highlight w:val="none"/>
              </w:rPr>
            </w:pPr>
          </w:p>
        </w:tc>
        <w:tc>
          <w:tcPr>
            <w:tcW w:w="1386" w:type="dxa"/>
            <w:vAlign w:val="top"/>
          </w:tcPr>
          <w:p w14:paraId="117859A3">
            <w:pPr>
              <w:rPr>
                <w:rFonts w:ascii="Arial"/>
                <w:color w:val="auto"/>
                <w:sz w:val="21"/>
                <w:highlight w:val="none"/>
              </w:rPr>
            </w:pPr>
          </w:p>
        </w:tc>
        <w:tc>
          <w:tcPr>
            <w:tcW w:w="1271" w:type="dxa"/>
            <w:vAlign w:val="top"/>
          </w:tcPr>
          <w:p w14:paraId="5DF45AEF">
            <w:pPr>
              <w:rPr>
                <w:rFonts w:ascii="Arial"/>
                <w:color w:val="auto"/>
                <w:sz w:val="21"/>
                <w:highlight w:val="none"/>
              </w:rPr>
            </w:pPr>
          </w:p>
        </w:tc>
        <w:tc>
          <w:tcPr>
            <w:tcW w:w="854" w:type="dxa"/>
            <w:vAlign w:val="top"/>
          </w:tcPr>
          <w:p w14:paraId="1F5AB5CC">
            <w:pPr>
              <w:rPr>
                <w:rFonts w:ascii="Arial"/>
                <w:color w:val="auto"/>
                <w:sz w:val="21"/>
                <w:highlight w:val="none"/>
              </w:rPr>
            </w:pPr>
          </w:p>
        </w:tc>
        <w:tc>
          <w:tcPr>
            <w:tcW w:w="1271" w:type="dxa"/>
            <w:vAlign w:val="top"/>
          </w:tcPr>
          <w:p w14:paraId="2A724C11">
            <w:pPr>
              <w:rPr>
                <w:rFonts w:ascii="Arial"/>
                <w:color w:val="auto"/>
                <w:sz w:val="21"/>
                <w:highlight w:val="none"/>
              </w:rPr>
            </w:pPr>
          </w:p>
        </w:tc>
        <w:tc>
          <w:tcPr>
            <w:tcW w:w="853" w:type="dxa"/>
            <w:vAlign w:val="top"/>
          </w:tcPr>
          <w:p w14:paraId="12AF3332">
            <w:pPr>
              <w:rPr>
                <w:rFonts w:ascii="Arial"/>
                <w:color w:val="auto"/>
                <w:sz w:val="21"/>
                <w:highlight w:val="none"/>
              </w:rPr>
            </w:pPr>
          </w:p>
        </w:tc>
        <w:tc>
          <w:tcPr>
            <w:tcW w:w="950" w:type="dxa"/>
            <w:vAlign w:val="top"/>
          </w:tcPr>
          <w:p w14:paraId="3871961A">
            <w:pPr>
              <w:rPr>
                <w:rFonts w:ascii="Arial"/>
                <w:color w:val="auto"/>
                <w:sz w:val="21"/>
                <w:highlight w:val="none"/>
              </w:rPr>
            </w:pPr>
          </w:p>
        </w:tc>
        <w:tc>
          <w:tcPr>
            <w:tcW w:w="527" w:type="dxa"/>
            <w:tcBorders>
              <w:right w:val="single" w:color="000000" w:sz="4" w:space="0"/>
            </w:tcBorders>
            <w:vAlign w:val="top"/>
          </w:tcPr>
          <w:p w14:paraId="55269D86">
            <w:pPr>
              <w:rPr>
                <w:rFonts w:ascii="Arial"/>
                <w:color w:val="auto"/>
                <w:sz w:val="21"/>
                <w:highlight w:val="none"/>
              </w:rPr>
            </w:pPr>
          </w:p>
        </w:tc>
      </w:tr>
      <w:tr w14:paraId="5DDD8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14:paraId="55FB5F6B">
            <w:pPr>
              <w:rPr>
                <w:rFonts w:ascii="Arial"/>
                <w:color w:val="auto"/>
                <w:sz w:val="21"/>
                <w:highlight w:val="none"/>
              </w:rPr>
            </w:pPr>
          </w:p>
        </w:tc>
        <w:tc>
          <w:tcPr>
            <w:tcW w:w="1127" w:type="dxa"/>
            <w:vAlign w:val="top"/>
          </w:tcPr>
          <w:p w14:paraId="67E4D8AD">
            <w:pPr>
              <w:rPr>
                <w:rFonts w:ascii="Arial"/>
                <w:color w:val="auto"/>
                <w:sz w:val="21"/>
                <w:highlight w:val="none"/>
              </w:rPr>
            </w:pPr>
          </w:p>
        </w:tc>
        <w:tc>
          <w:tcPr>
            <w:tcW w:w="1386" w:type="dxa"/>
            <w:vAlign w:val="top"/>
          </w:tcPr>
          <w:p w14:paraId="3AE89146">
            <w:pPr>
              <w:rPr>
                <w:rFonts w:ascii="Arial"/>
                <w:color w:val="auto"/>
                <w:sz w:val="21"/>
                <w:highlight w:val="none"/>
              </w:rPr>
            </w:pPr>
          </w:p>
        </w:tc>
        <w:tc>
          <w:tcPr>
            <w:tcW w:w="1271" w:type="dxa"/>
            <w:vAlign w:val="top"/>
          </w:tcPr>
          <w:p w14:paraId="09645294">
            <w:pPr>
              <w:rPr>
                <w:rFonts w:ascii="Arial"/>
                <w:color w:val="auto"/>
                <w:sz w:val="21"/>
                <w:highlight w:val="none"/>
              </w:rPr>
            </w:pPr>
          </w:p>
        </w:tc>
        <w:tc>
          <w:tcPr>
            <w:tcW w:w="854" w:type="dxa"/>
            <w:vAlign w:val="top"/>
          </w:tcPr>
          <w:p w14:paraId="73CCF189">
            <w:pPr>
              <w:rPr>
                <w:rFonts w:ascii="Arial"/>
                <w:color w:val="auto"/>
                <w:sz w:val="21"/>
                <w:highlight w:val="none"/>
              </w:rPr>
            </w:pPr>
          </w:p>
        </w:tc>
        <w:tc>
          <w:tcPr>
            <w:tcW w:w="1271" w:type="dxa"/>
            <w:vAlign w:val="top"/>
          </w:tcPr>
          <w:p w14:paraId="5E353A2E">
            <w:pPr>
              <w:rPr>
                <w:rFonts w:ascii="Arial"/>
                <w:color w:val="auto"/>
                <w:sz w:val="21"/>
                <w:highlight w:val="none"/>
              </w:rPr>
            </w:pPr>
          </w:p>
        </w:tc>
        <w:tc>
          <w:tcPr>
            <w:tcW w:w="853" w:type="dxa"/>
            <w:vAlign w:val="top"/>
          </w:tcPr>
          <w:p w14:paraId="416E4D4F">
            <w:pPr>
              <w:rPr>
                <w:rFonts w:ascii="Arial"/>
                <w:color w:val="auto"/>
                <w:sz w:val="21"/>
                <w:highlight w:val="none"/>
              </w:rPr>
            </w:pPr>
          </w:p>
        </w:tc>
        <w:tc>
          <w:tcPr>
            <w:tcW w:w="950" w:type="dxa"/>
            <w:vAlign w:val="top"/>
          </w:tcPr>
          <w:p w14:paraId="301069D1">
            <w:pPr>
              <w:rPr>
                <w:rFonts w:ascii="Arial"/>
                <w:color w:val="auto"/>
                <w:sz w:val="21"/>
                <w:highlight w:val="none"/>
              </w:rPr>
            </w:pPr>
          </w:p>
        </w:tc>
        <w:tc>
          <w:tcPr>
            <w:tcW w:w="527" w:type="dxa"/>
            <w:tcBorders>
              <w:right w:val="single" w:color="000000" w:sz="4" w:space="0"/>
            </w:tcBorders>
            <w:vAlign w:val="top"/>
          </w:tcPr>
          <w:p w14:paraId="3C3FDCA0">
            <w:pPr>
              <w:rPr>
                <w:rFonts w:ascii="Arial"/>
                <w:color w:val="auto"/>
                <w:sz w:val="21"/>
                <w:highlight w:val="none"/>
              </w:rPr>
            </w:pPr>
          </w:p>
        </w:tc>
      </w:tr>
      <w:tr w14:paraId="707EE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14:paraId="0BCC99D9">
            <w:pPr>
              <w:rPr>
                <w:rFonts w:ascii="Arial"/>
                <w:color w:val="auto"/>
                <w:sz w:val="21"/>
                <w:highlight w:val="none"/>
              </w:rPr>
            </w:pPr>
          </w:p>
        </w:tc>
        <w:tc>
          <w:tcPr>
            <w:tcW w:w="1127" w:type="dxa"/>
            <w:vAlign w:val="top"/>
          </w:tcPr>
          <w:p w14:paraId="2C857247">
            <w:pPr>
              <w:rPr>
                <w:rFonts w:ascii="Arial"/>
                <w:color w:val="auto"/>
                <w:sz w:val="21"/>
                <w:highlight w:val="none"/>
              </w:rPr>
            </w:pPr>
          </w:p>
        </w:tc>
        <w:tc>
          <w:tcPr>
            <w:tcW w:w="1386" w:type="dxa"/>
            <w:vAlign w:val="top"/>
          </w:tcPr>
          <w:p w14:paraId="6460D169">
            <w:pPr>
              <w:rPr>
                <w:rFonts w:ascii="Arial"/>
                <w:color w:val="auto"/>
                <w:sz w:val="21"/>
                <w:highlight w:val="none"/>
              </w:rPr>
            </w:pPr>
          </w:p>
        </w:tc>
        <w:tc>
          <w:tcPr>
            <w:tcW w:w="1271" w:type="dxa"/>
            <w:vAlign w:val="top"/>
          </w:tcPr>
          <w:p w14:paraId="1E4ED1E8">
            <w:pPr>
              <w:rPr>
                <w:rFonts w:ascii="Arial"/>
                <w:color w:val="auto"/>
                <w:sz w:val="21"/>
                <w:highlight w:val="none"/>
              </w:rPr>
            </w:pPr>
          </w:p>
        </w:tc>
        <w:tc>
          <w:tcPr>
            <w:tcW w:w="854" w:type="dxa"/>
            <w:vAlign w:val="top"/>
          </w:tcPr>
          <w:p w14:paraId="4A19F68D">
            <w:pPr>
              <w:rPr>
                <w:rFonts w:ascii="Arial"/>
                <w:color w:val="auto"/>
                <w:sz w:val="21"/>
                <w:highlight w:val="none"/>
              </w:rPr>
            </w:pPr>
          </w:p>
        </w:tc>
        <w:tc>
          <w:tcPr>
            <w:tcW w:w="1271" w:type="dxa"/>
            <w:vAlign w:val="top"/>
          </w:tcPr>
          <w:p w14:paraId="67FDF990">
            <w:pPr>
              <w:rPr>
                <w:rFonts w:ascii="Arial"/>
                <w:color w:val="auto"/>
                <w:sz w:val="21"/>
                <w:highlight w:val="none"/>
              </w:rPr>
            </w:pPr>
          </w:p>
        </w:tc>
        <w:tc>
          <w:tcPr>
            <w:tcW w:w="853" w:type="dxa"/>
            <w:vAlign w:val="top"/>
          </w:tcPr>
          <w:p w14:paraId="4E833921">
            <w:pPr>
              <w:rPr>
                <w:rFonts w:ascii="Arial"/>
                <w:color w:val="auto"/>
                <w:sz w:val="21"/>
                <w:highlight w:val="none"/>
              </w:rPr>
            </w:pPr>
          </w:p>
        </w:tc>
        <w:tc>
          <w:tcPr>
            <w:tcW w:w="950" w:type="dxa"/>
            <w:vAlign w:val="top"/>
          </w:tcPr>
          <w:p w14:paraId="684A44AC">
            <w:pPr>
              <w:rPr>
                <w:rFonts w:ascii="Arial"/>
                <w:color w:val="auto"/>
                <w:sz w:val="21"/>
                <w:highlight w:val="none"/>
              </w:rPr>
            </w:pPr>
          </w:p>
        </w:tc>
        <w:tc>
          <w:tcPr>
            <w:tcW w:w="527" w:type="dxa"/>
            <w:tcBorders>
              <w:right w:val="single" w:color="000000" w:sz="4" w:space="0"/>
            </w:tcBorders>
            <w:vAlign w:val="top"/>
          </w:tcPr>
          <w:p w14:paraId="73459262">
            <w:pPr>
              <w:rPr>
                <w:rFonts w:ascii="Arial"/>
                <w:color w:val="auto"/>
                <w:sz w:val="21"/>
                <w:highlight w:val="none"/>
              </w:rPr>
            </w:pPr>
          </w:p>
        </w:tc>
      </w:tr>
      <w:tr w14:paraId="5051B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2C554EA3">
            <w:pPr>
              <w:rPr>
                <w:rFonts w:ascii="Arial"/>
                <w:color w:val="auto"/>
                <w:sz w:val="21"/>
                <w:highlight w:val="none"/>
              </w:rPr>
            </w:pPr>
          </w:p>
        </w:tc>
        <w:tc>
          <w:tcPr>
            <w:tcW w:w="1127" w:type="dxa"/>
            <w:vAlign w:val="top"/>
          </w:tcPr>
          <w:p w14:paraId="5F8754E7">
            <w:pPr>
              <w:rPr>
                <w:rFonts w:ascii="Arial"/>
                <w:color w:val="auto"/>
                <w:sz w:val="21"/>
                <w:highlight w:val="none"/>
              </w:rPr>
            </w:pPr>
          </w:p>
        </w:tc>
        <w:tc>
          <w:tcPr>
            <w:tcW w:w="1386" w:type="dxa"/>
            <w:vAlign w:val="top"/>
          </w:tcPr>
          <w:p w14:paraId="366ED27A">
            <w:pPr>
              <w:rPr>
                <w:rFonts w:ascii="Arial"/>
                <w:color w:val="auto"/>
                <w:sz w:val="21"/>
                <w:highlight w:val="none"/>
              </w:rPr>
            </w:pPr>
          </w:p>
        </w:tc>
        <w:tc>
          <w:tcPr>
            <w:tcW w:w="1271" w:type="dxa"/>
            <w:vAlign w:val="top"/>
          </w:tcPr>
          <w:p w14:paraId="6D17A541">
            <w:pPr>
              <w:rPr>
                <w:rFonts w:ascii="Arial"/>
                <w:color w:val="auto"/>
                <w:sz w:val="21"/>
                <w:highlight w:val="none"/>
              </w:rPr>
            </w:pPr>
          </w:p>
        </w:tc>
        <w:tc>
          <w:tcPr>
            <w:tcW w:w="854" w:type="dxa"/>
            <w:vAlign w:val="top"/>
          </w:tcPr>
          <w:p w14:paraId="2E48DB57">
            <w:pPr>
              <w:rPr>
                <w:rFonts w:ascii="Arial"/>
                <w:color w:val="auto"/>
                <w:sz w:val="21"/>
                <w:highlight w:val="none"/>
              </w:rPr>
            </w:pPr>
          </w:p>
        </w:tc>
        <w:tc>
          <w:tcPr>
            <w:tcW w:w="1271" w:type="dxa"/>
            <w:vAlign w:val="top"/>
          </w:tcPr>
          <w:p w14:paraId="587C1B77">
            <w:pPr>
              <w:rPr>
                <w:rFonts w:ascii="Arial"/>
                <w:color w:val="auto"/>
                <w:sz w:val="21"/>
                <w:highlight w:val="none"/>
              </w:rPr>
            </w:pPr>
          </w:p>
        </w:tc>
        <w:tc>
          <w:tcPr>
            <w:tcW w:w="853" w:type="dxa"/>
            <w:vAlign w:val="top"/>
          </w:tcPr>
          <w:p w14:paraId="1C0AB611">
            <w:pPr>
              <w:rPr>
                <w:rFonts w:ascii="Arial"/>
                <w:color w:val="auto"/>
                <w:sz w:val="21"/>
                <w:highlight w:val="none"/>
              </w:rPr>
            </w:pPr>
          </w:p>
        </w:tc>
        <w:tc>
          <w:tcPr>
            <w:tcW w:w="950" w:type="dxa"/>
            <w:vAlign w:val="top"/>
          </w:tcPr>
          <w:p w14:paraId="44C26FB8">
            <w:pPr>
              <w:rPr>
                <w:rFonts w:ascii="Arial"/>
                <w:color w:val="auto"/>
                <w:sz w:val="21"/>
                <w:highlight w:val="none"/>
              </w:rPr>
            </w:pPr>
          </w:p>
        </w:tc>
        <w:tc>
          <w:tcPr>
            <w:tcW w:w="527" w:type="dxa"/>
            <w:tcBorders>
              <w:right w:val="single" w:color="000000" w:sz="4" w:space="0"/>
            </w:tcBorders>
            <w:vAlign w:val="top"/>
          </w:tcPr>
          <w:p w14:paraId="44C4663B">
            <w:pPr>
              <w:rPr>
                <w:rFonts w:ascii="Arial"/>
                <w:color w:val="auto"/>
                <w:sz w:val="21"/>
                <w:highlight w:val="none"/>
              </w:rPr>
            </w:pPr>
          </w:p>
        </w:tc>
      </w:tr>
      <w:tr w14:paraId="702F8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44C230AC">
            <w:pPr>
              <w:rPr>
                <w:rFonts w:ascii="Arial"/>
                <w:color w:val="auto"/>
                <w:sz w:val="21"/>
                <w:highlight w:val="none"/>
              </w:rPr>
            </w:pPr>
          </w:p>
        </w:tc>
        <w:tc>
          <w:tcPr>
            <w:tcW w:w="1127" w:type="dxa"/>
            <w:vAlign w:val="top"/>
          </w:tcPr>
          <w:p w14:paraId="4DDE047F">
            <w:pPr>
              <w:rPr>
                <w:rFonts w:ascii="Arial"/>
                <w:color w:val="auto"/>
                <w:sz w:val="21"/>
                <w:highlight w:val="none"/>
              </w:rPr>
            </w:pPr>
          </w:p>
        </w:tc>
        <w:tc>
          <w:tcPr>
            <w:tcW w:w="1386" w:type="dxa"/>
            <w:vAlign w:val="top"/>
          </w:tcPr>
          <w:p w14:paraId="14BDDE87">
            <w:pPr>
              <w:rPr>
                <w:rFonts w:ascii="Arial"/>
                <w:color w:val="auto"/>
                <w:sz w:val="21"/>
                <w:highlight w:val="none"/>
              </w:rPr>
            </w:pPr>
          </w:p>
        </w:tc>
        <w:tc>
          <w:tcPr>
            <w:tcW w:w="1271" w:type="dxa"/>
            <w:vAlign w:val="top"/>
          </w:tcPr>
          <w:p w14:paraId="757CB5C7">
            <w:pPr>
              <w:rPr>
                <w:rFonts w:ascii="Arial"/>
                <w:color w:val="auto"/>
                <w:sz w:val="21"/>
                <w:highlight w:val="none"/>
              </w:rPr>
            </w:pPr>
          </w:p>
        </w:tc>
        <w:tc>
          <w:tcPr>
            <w:tcW w:w="854" w:type="dxa"/>
            <w:vAlign w:val="top"/>
          </w:tcPr>
          <w:p w14:paraId="5666926F">
            <w:pPr>
              <w:rPr>
                <w:rFonts w:ascii="Arial"/>
                <w:color w:val="auto"/>
                <w:sz w:val="21"/>
                <w:highlight w:val="none"/>
              </w:rPr>
            </w:pPr>
          </w:p>
        </w:tc>
        <w:tc>
          <w:tcPr>
            <w:tcW w:w="1271" w:type="dxa"/>
            <w:vAlign w:val="top"/>
          </w:tcPr>
          <w:p w14:paraId="50A5EA59">
            <w:pPr>
              <w:rPr>
                <w:rFonts w:ascii="Arial"/>
                <w:color w:val="auto"/>
                <w:sz w:val="21"/>
                <w:highlight w:val="none"/>
              </w:rPr>
            </w:pPr>
          </w:p>
        </w:tc>
        <w:tc>
          <w:tcPr>
            <w:tcW w:w="853" w:type="dxa"/>
            <w:vAlign w:val="top"/>
          </w:tcPr>
          <w:p w14:paraId="5DEBD31F">
            <w:pPr>
              <w:rPr>
                <w:rFonts w:ascii="Arial"/>
                <w:color w:val="auto"/>
                <w:sz w:val="21"/>
                <w:highlight w:val="none"/>
              </w:rPr>
            </w:pPr>
          </w:p>
        </w:tc>
        <w:tc>
          <w:tcPr>
            <w:tcW w:w="950" w:type="dxa"/>
            <w:vAlign w:val="top"/>
          </w:tcPr>
          <w:p w14:paraId="4ADCBF31">
            <w:pPr>
              <w:rPr>
                <w:rFonts w:ascii="Arial"/>
                <w:color w:val="auto"/>
                <w:sz w:val="21"/>
                <w:highlight w:val="none"/>
              </w:rPr>
            </w:pPr>
          </w:p>
        </w:tc>
        <w:tc>
          <w:tcPr>
            <w:tcW w:w="527" w:type="dxa"/>
            <w:tcBorders>
              <w:right w:val="single" w:color="000000" w:sz="4" w:space="0"/>
            </w:tcBorders>
            <w:vAlign w:val="top"/>
          </w:tcPr>
          <w:p w14:paraId="7FD03DE8">
            <w:pPr>
              <w:rPr>
                <w:rFonts w:ascii="Arial"/>
                <w:color w:val="auto"/>
                <w:sz w:val="21"/>
                <w:highlight w:val="none"/>
              </w:rPr>
            </w:pPr>
          </w:p>
        </w:tc>
      </w:tr>
      <w:tr w14:paraId="3E0A9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127C5745">
            <w:pPr>
              <w:rPr>
                <w:rFonts w:ascii="Arial"/>
                <w:color w:val="auto"/>
                <w:sz w:val="21"/>
                <w:highlight w:val="none"/>
              </w:rPr>
            </w:pPr>
          </w:p>
        </w:tc>
        <w:tc>
          <w:tcPr>
            <w:tcW w:w="1127" w:type="dxa"/>
            <w:vAlign w:val="top"/>
          </w:tcPr>
          <w:p w14:paraId="2950B948">
            <w:pPr>
              <w:rPr>
                <w:rFonts w:ascii="Arial"/>
                <w:color w:val="auto"/>
                <w:sz w:val="21"/>
                <w:highlight w:val="none"/>
              </w:rPr>
            </w:pPr>
          </w:p>
        </w:tc>
        <w:tc>
          <w:tcPr>
            <w:tcW w:w="1386" w:type="dxa"/>
            <w:vAlign w:val="top"/>
          </w:tcPr>
          <w:p w14:paraId="7054F744">
            <w:pPr>
              <w:rPr>
                <w:rFonts w:ascii="Arial"/>
                <w:color w:val="auto"/>
                <w:sz w:val="21"/>
                <w:highlight w:val="none"/>
              </w:rPr>
            </w:pPr>
          </w:p>
        </w:tc>
        <w:tc>
          <w:tcPr>
            <w:tcW w:w="1271" w:type="dxa"/>
            <w:vAlign w:val="top"/>
          </w:tcPr>
          <w:p w14:paraId="31B8DC82">
            <w:pPr>
              <w:rPr>
                <w:rFonts w:ascii="Arial"/>
                <w:color w:val="auto"/>
                <w:sz w:val="21"/>
                <w:highlight w:val="none"/>
              </w:rPr>
            </w:pPr>
          </w:p>
        </w:tc>
        <w:tc>
          <w:tcPr>
            <w:tcW w:w="854" w:type="dxa"/>
            <w:vAlign w:val="top"/>
          </w:tcPr>
          <w:p w14:paraId="36234770">
            <w:pPr>
              <w:rPr>
                <w:rFonts w:ascii="Arial"/>
                <w:color w:val="auto"/>
                <w:sz w:val="21"/>
                <w:highlight w:val="none"/>
              </w:rPr>
            </w:pPr>
          </w:p>
        </w:tc>
        <w:tc>
          <w:tcPr>
            <w:tcW w:w="1271" w:type="dxa"/>
            <w:vAlign w:val="top"/>
          </w:tcPr>
          <w:p w14:paraId="24F9171C">
            <w:pPr>
              <w:rPr>
                <w:rFonts w:ascii="Arial"/>
                <w:color w:val="auto"/>
                <w:sz w:val="21"/>
                <w:highlight w:val="none"/>
              </w:rPr>
            </w:pPr>
          </w:p>
        </w:tc>
        <w:tc>
          <w:tcPr>
            <w:tcW w:w="853" w:type="dxa"/>
            <w:vAlign w:val="top"/>
          </w:tcPr>
          <w:p w14:paraId="25D09B66">
            <w:pPr>
              <w:rPr>
                <w:rFonts w:ascii="Arial"/>
                <w:color w:val="auto"/>
                <w:sz w:val="21"/>
                <w:highlight w:val="none"/>
              </w:rPr>
            </w:pPr>
          </w:p>
        </w:tc>
        <w:tc>
          <w:tcPr>
            <w:tcW w:w="950" w:type="dxa"/>
            <w:vAlign w:val="top"/>
          </w:tcPr>
          <w:p w14:paraId="6EECA2B4">
            <w:pPr>
              <w:rPr>
                <w:rFonts w:ascii="Arial"/>
                <w:color w:val="auto"/>
                <w:sz w:val="21"/>
                <w:highlight w:val="none"/>
              </w:rPr>
            </w:pPr>
          </w:p>
        </w:tc>
        <w:tc>
          <w:tcPr>
            <w:tcW w:w="527" w:type="dxa"/>
            <w:tcBorders>
              <w:right w:val="single" w:color="000000" w:sz="4" w:space="0"/>
            </w:tcBorders>
            <w:vAlign w:val="top"/>
          </w:tcPr>
          <w:p w14:paraId="3D236F2B">
            <w:pPr>
              <w:rPr>
                <w:rFonts w:ascii="Arial"/>
                <w:color w:val="auto"/>
                <w:sz w:val="21"/>
                <w:highlight w:val="none"/>
              </w:rPr>
            </w:pPr>
          </w:p>
        </w:tc>
      </w:tr>
      <w:tr w14:paraId="525CA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23DE6F7C">
            <w:pPr>
              <w:rPr>
                <w:rFonts w:ascii="Arial"/>
                <w:color w:val="auto"/>
                <w:sz w:val="21"/>
                <w:highlight w:val="none"/>
              </w:rPr>
            </w:pPr>
          </w:p>
        </w:tc>
        <w:tc>
          <w:tcPr>
            <w:tcW w:w="1127" w:type="dxa"/>
            <w:vAlign w:val="top"/>
          </w:tcPr>
          <w:p w14:paraId="2A475F61">
            <w:pPr>
              <w:rPr>
                <w:rFonts w:ascii="Arial"/>
                <w:color w:val="auto"/>
                <w:sz w:val="21"/>
                <w:highlight w:val="none"/>
              </w:rPr>
            </w:pPr>
          </w:p>
        </w:tc>
        <w:tc>
          <w:tcPr>
            <w:tcW w:w="1386" w:type="dxa"/>
            <w:vAlign w:val="top"/>
          </w:tcPr>
          <w:p w14:paraId="2A964088">
            <w:pPr>
              <w:rPr>
                <w:rFonts w:ascii="Arial"/>
                <w:color w:val="auto"/>
                <w:sz w:val="21"/>
                <w:highlight w:val="none"/>
              </w:rPr>
            </w:pPr>
          </w:p>
        </w:tc>
        <w:tc>
          <w:tcPr>
            <w:tcW w:w="1271" w:type="dxa"/>
            <w:vAlign w:val="top"/>
          </w:tcPr>
          <w:p w14:paraId="52FDB32F">
            <w:pPr>
              <w:rPr>
                <w:rFonts w:ascii="Arial"/>
                <w:color w:val="auto"/>
                <w:sz w:val="21"/>
                <w:highlight w:val="none"/>
              </w:rPr>
            </w:pPr>
          </w:p>
        </w:tc>
        <w:tc>
          <w:tcPr>
            <w:tcW w:w="854" w:type="dxa"/>
            <w:vAlign w:val="top"/>
          </w:tcPr>
          <w:p w14:paraId="30E5ABD5">
            <w:pPr>
              <w:rPr>
                <w:rFonts w:ascii="Arial"/>
                <w:color w:val="auto"/>
                <w:sz w:val="21"/>
                <w:highlight w:val="none"/>
              </w:rPr>
            </w:pPr>
          </w:p>
        </w:tc>
        <w:tc>
          <w:tcPr>
            <w:tcW w:w="1271" w:type="dxa"/>
            <w:vAlign w:val="top"/>
          </w:tcPr>
          <w:p w14:paraId="63A47D15">
            <w:pPr>
              <w:rPr>
                <w:rFonts w:ascii="Arial"/>
                <w:color w:val="auto"/>
                <w:sz w:val="21"/>
                <w:highlight w:val="none"/>
              </w:rPr>
            </w:pPr>
          </w:p>
        </w:tc>
        <w:tc>
          <w:tcPr>
            <w:tcW w:w="853" w:type="dxa"/>
            <w:vAlign w:val="top"/>
          </w:tcPr>
          <w:p w14:paraId="0F4C3779">
            <w:pPr>
              <w:rPr>
                <w:rFonts w:ascii="Arial"/>
                <w:color w:val="auto"/>
                <w:sz w:val="21"/>
                <w:highlight w:val="none"/>
              </w:rPr>
            </w:pPr>
          </w:p>
        </w:tc>
        <w:tc>
          <w:tcPr>
            <w:tcW w:w="950" w:type="dxa"/>
            <w:vAlign w:val="top"/>
          </w:tcPr>
          <w:p w14:paraId="4267CBCB">
            <w:pPr>
              <w:rPr>
                <w:rFonts w:ascii="Arial"/>
                <w:color w:val="auto"/>
                <w:sz w:val="21"/>
                <w:highlight w:val="none"/>
              </w:rPr>
            </w:pPr>
          </w:p>
        </w:tc>
        <w:tc>
          <w:tcPr>
            <w:tcW w:w="527" w:type="dxa"/>
            <w:tcBorders>
              <w:right w:val="single" w:color="000000" w:sz="4" w:space="0"/>
            </w:tcBorders>
            <w:vAlign w:val="top"/>
          </w:tcPr>
          <w:p w14:paraId="4A4EF608">
            <w:pPr>
              <w:rPr>
                <w:rFonts w:ascii="Arial"/>
                <w:color w:val="auto"/>
                <w:sz w:val="21"/>
                <w:highlight w:val="none"/>
              </w:rPr>
            </w:pPr>
          </w:p>
        </w:tc>
      </w:tr>
      <w:tr w14:paraId="5AFA6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2639A5CE">
            <w:pPr>
              <w:rPr>
                <w:rFonts w:ascii="Arial"/>
                <w:color w:val="auto"/>
                <w:sz w:val="21"/>
                <w:highlight w:val="none"/>
              </w:rPr>
            </w:pPr>
          </w:p>
        </w:tc>
        <w:tc>
          <w:tcPr>
            <w:tcW w:w="1127" w:type="dxa"/>
            <w:vAlign w:val="top"/>
          </w:tcPr>
          <w:p w14:paraId="3D464D6D">
            <w:pPr>
              <w:rPr>
                <w:rFonts w:ascii="Arial"/>
                <w:color w:val="auto"/>
                <w:sz w:val="21"/>
                <w:highlight w:val="none"/>
              </w:rPr>
            </w:pPr>
          </w:p>
        </w:tc>
        <w:tc>
          <w:tcPr>
            <w:tcW w:w="1386" w:type="dxa"/>
            <w:vAlign w:val="top"/>
          </w:tcPr>
          <w:p w14:paraId="458E89BD">
            <w:pPr>
              <w:rPr>
                <w:rFonts w:ascii="Arial"/>
                <w:color w:val="auto"/>
                <w:sz w:val="21"/>
                <w:highlight w:val="none"/>
              </w:rPr>
            </w:pPr>
          </w:p>
        </w:tc>
        <w:tc>
          <w:tcPr>
            <w:tcW w:w="1271" w:type="dxa"/>
            <w:vAlign w:val="top"/>
          </w:tcPr>
          <w:p w14:paraId="3311C34B">
            <w:pPr>
              <w:rPr>
                <w:rFonts w:ascii="Arial"/>
                <w:color w:val="auto"/>
                <w:sz w:val="21"/>
                <w:highlight w:val="none"/>
              </w:rPr>
            </w:pPr>
          </w:p>
        </w:tc>
        <w:tc>
          <w:tcPr>
            <w:tcW w:w="854" w:type="dxa"/>
            <w:vAlign w:val="top"/>
          </w:tcPr>
          <w:p w14:paraId="79895B6E">
            <w:pPr>
              <w:rPr>
                <w:rFonts w:ascii="Arial"/>
                <w:color w:val="auto"/>
                <w:sz w:val="21"/>
                <w:highlight w:val="none"/>
              </w:rPr>
            </w:pPr>
          </w:p>
        </w:tc>
        <w:tc>
          <w:tcPr>
            <w:tcW w:w="1271" w:type="dxa"/>
            <w:vAlign w:val="top"/>
          </w:tcPr>
          <w:p w14:paraId="49D9AF0E">
            <w:pPr>
              <w:rPr>
                <w:rFonts w:ascii="Arial"/>
                <w:color w:val="auto"/>
                <w:sz w:val="21"/>
                <w:highlight w:val="none"/>
              </w:rPr>
            </w:pPr>
          </w:p>
        </w:tc>
        <w:tc>
          <w:tcPr>
            <w:tcW w:w="853" w:type="dxa"/>
            <w:vAlign w:val="top"/>
          </w:tcPr>
          <w:p w14:paraId="3C351236">
            <w:pPr>
              <w:rPr>
                <w:rFonts w:ascii="Arial"/>
                <w:color w:val="auto"/>
                <w:sz w:val="21"/>
                <w:highlight w:val="none"/>
              </w:rPr>
            </w:pPr>
          </w:p>
        </w:tc>
        <w:tc>
          <w:tcPr>
            <w:tcW w:w="950" w:type="dxa"/>
            <w:vAlign w:val="top"/>
          </w:tcPr>
          <w:p w14:paraId="7E88C9BB">
            <w:pPr>
              <w:rPr>
                <w:rFonts w:ascii="Arial"/>
                <w:color w:val="auto"/>
                <w:sz w:val="21"/>
                <w:highlight w:val="none"/>
              </w:rPr>
            </w:pPr>
          </w:p>
        </w:tc>
        <w:tc>
          <w:tcPr>
            <w:tcW w:w="527" w:type="dxa"/>
            <w:tcBorders>
              <w:right w:val="single" w:color="000000" w:sz="4" w:space="0"/>
            </w:tcBorders>
            <w:vAlign w:val="top"/>
          </w:tcPr>
          <w:p w14:paraId="5B3B827C">
            <w:pPr>
              <w:rPr>
                <w:rFonts w:ascii="Arial"/>
                <w:color w:val="auto"/>
                <w:sz w:val="21"/>
                <w:highlight w:val="none"/>
              </w:rPr>
            </w:pPr>
          </w:p>
        </w:tc>
      </w:tr>
      <w:tr w14:paraId="1A53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14:paraId="6D900210">
            <w:pPr>
              <w:rPr>
                <w:rFonts w:ascii="Arial"/>
                <w:color w:val="auto"/>
                <w:sz w:val="21"/>
                <w:highlight w:val="none"/>
              </w:rPr>
            </w:pPr>
          </w:p>
        </w:tc>
        <w:tc>
          <w:tcPr>
            <w:tcW w:w="1127" w:type="dxa"/>
            <w:vAlign w:val="top"/>
          </w:tcPr>
          <w:p w14:paraId="5626F5B3">
            <w:pPr>
              <w:rPr>
                <w:rFonts w:ascii="Arial"/>
                <w:color w:val="auto"/>
                <w:sz w:val="21"/>
                <w:highlight w:val="none"/>
              </w:rPr>
            </w:pPr>
          </w:p>
        </w:tc>
        <w:tc>
          <w:tcPr>
            <w:tcW w:w="1386" w:type="dxa"/>
            <w:vAlign w:val="top"/>
          </w:tcPr>
          <w:p w14:paraId="7F208271">
            <w:pPr>
              <w:rPr>
                <w:rFonts w:ascii="Arial"/>
                <w:color w:val="auto"/>
                <w:sz w:val="21"/>
                <w:highlight w:val="none"/>
              </w:rPr>
            </w:pPr>
          </w:p>
        </w:tc>
        <w:tc>
          <w:tcPr>
            <w:tcW w:w="1271" w:type="dxa"/>
            <w:vAlign w:val="top"/>
          </w:tcPr>
          <w:p w14:paraId="31265DA3">
            <w:pPr>
              <w:rPr>
                <w:rFonts w:ascii="Arial"/>
                <w:color w:val="auto"/>
                <w:sz w:val="21"/>
                <w:highlight w:val="none"/>
              </w:rPr>
            </w:pPr>
          </w:p>
        </w:tc>
        <w:tc>
          <w:tcPr>
            <w:tcW w:w="854" w:type="dxa"/>
            <w:vAlign w:val="top"/>
          </w:tcPr>
          <w:p w14:paraId="7E8EF17C">
            <w:pPr>
              <w:rPr>
                <w:rFonts w:ascii="Arial"/>
                <w:color w:val="auto"/>
                <w:sz w:val="21"/>
                <w:highlight w:val="none"/>
              </w:rPr>
            </w:pPr>
          </w:p>
        </w:tc>
        <w:tc>
          <w:tcPr>
            <w:tcW w:w="1271" w:type="dxa"/>
            <w:vAlign w:val="top"/>
          </w:tcPr>
          <w:p w14:paraId="05E5C84C">
            <w:pPr>
              <w:rPr>
                <w:rFonts w:ascii="Arial"/>
                <w:color w:val="auto"/>
                <w:sz w:val="21"/>
                <w:highlight w:val="none"/>
              </w:rPr>
            </w:pPr>
          </w:p>
        </w:tc>
        <w:tc>
          <w:tcPr>
            <w:tcW w:w="853" w:type="dxa"/>
            <w:vAlign w:val="top"/>
          </w:tcPr>
          <w:p w14:paraId="0A34AB36">
            <w:pPr>
              <w:rPr>
                <w:rFonts w:ascii="Arial"/>
                <w:color w:val="auto"/>
                <w:sz w:val="21"/>
                <w:highlight w:val="none"/>
              </w:rPr>
            </w:pPr>
          </w:p>
        </w:tc>
        <w:tc>
          <w:tcPr>
            <w:tcW w:w="950" w:type="dxa"/>
            <w:vAlign w:val="top"/>
          </w:tcPr>
          <w:p w14:paraId="5886AFFA">
            <w:pPr>
              <w:rPr>
                <w:rFonts w:ascii="Arial"/>
                <w:color w:val="auto"/>
                <w:sz w:val="21"/>
                <w:highlight w:val="none"/>
              </w:rPr>
            </w:pPr>
          </w:p>
        </w:tc>
        <w:tc>
          <w:tcPr>
            <w:tcW w:w="527" w:type="dxa"/>
            <w:tcBorders>
              <w:right w:val="single" w:color="000000" w:sz="4" w:space="0"/>
            </w:tcBorders>
            <w:vAlign w:val="top"/>
          </w:tcPr>
          <w:p w14:paraId="71A5581E">
            <w:pPr>
              <w:rPr>
                <w:rFonts w:ascii="Arial"/>
                <w:color w:val="auto"/>
                <w:sz w:val="21"/>
                <w:highlight w:val="none"/>
              </w:rPr>
            </w:pPr>
          </w:p>
        </w:tc>
      </w:tr>
      <w:tr w14:paraId="3D459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14:paraId="7E1C9DFB">
            <w:pPr>
              <w:spacing w:line="248" w:lineRule="auto"/>
              <w:rPr>
                <w:rFonts w:ascii="Arial"/>
                <w:color w:val="auto"/>
                <w:sz w:val="21"/>
                <w:highlight w:val="none"/>
              </w:rPr>
            </w:pPr>
          </w:p>
          <w:p w14:paraId="5B0E2CFB">
            <w:pPr>
              <w:pStyle w:val="18"/>
              <w:spacing w:before="68" w:line="222" w:lineRule="auto"/>
              <w:ind w:left="2404"/>
              <w:rPr>
                <w:color w:val="auto"/>
                <w:highlight w:val="none"/>
              </w:rPr>
            </w:pPr>
            <w:r>
              <w:rPr>
                <w:color w:val="auto"/>
                <w:spacing w:val="-2"/>
                <w:highlight w:val="none"/>
              </w:rPr>
              <w:t>合计</w:t>
            </w:r>
          </w:p>
        </w:tc>
        <w:tc>
          <w:tcPr>
            <w:tcW w:w="1271" w:type="dxa"/>
            <w:tcBorders>
              <w:bottom w:val="single" w:color="000000" w:sz="4" w:space="0"/>
            </w:tcBorders>
            <w:vAlign w:val="top"/>
          </w:tcPr>
          <w:p w14:paraId="23A2BB80">
            <w:pPr>
              <w:rPr>
                <w:rFonts w:ascii="Arial"/>
                <w:color w:val="auto"/>
                <w:sz w:val="21"/>
                <w:highlight w:val="none"/>
              </w:rPr>
            </w:pPr>
          </w:p>
        </w:tc>
        <w:tc>
          <w:tcPr>
            <w:tcW w:w="853" w:type="dxa"/>
            <w:tcBorders>
              <w:bottom w:val="single" w:color="000000" w:sz="4" w:space="0"/>
            </w:tcBorders>
            <w:vAlign w:val="top"/>
          </w:tcPr>
          <w:p w14:paraId="362795C3">
            <w:pPr>
              <w:rPr>
                <w:rFonts w:ascii="Arial"/>
                <w:color w:val="auto"/>
                <w:sz w:val="21"/>
                <w:highlight w:val="none"/>
              </w:rPr>
            </w:pPr>
          </w:p>
        </w:tc>
        <w:tc>
          <w:tcPr>
            <w:tcW w:w="950" w:type="dxa"/>
            <w:tcBorders>
              <w:bottom w:val="single" w:color="000000" w:sz="4" w:space="0"/>
            </w:tcBorders>
            <w:vAlign w:val="top"/>
          </w:tcPr>
          <w:p w14:paraId="1AAC4469">
            <w:pPr>
              <w:rPr>
                <w:rFonts w:ascii="Arial"/>
                <w:color w:val="auto"/>
                <w:sz w:val="21"/>
                <w:highlight w:val="none"/>
              </w:rPr>
            </w:pPr>
          </w:p>
        </w:tc>
        <w:tc>
          <w:tcPr>
            <w:tcW w:w="527" w:type="dxa"/>
            <w:tcBorders>
              <w:bottom w:val="single" w:color="000000" w:sz="4" w:space="0"/>
              <w:right w:val="single" w:color="000000" w:sz="4" w:space="0"/>
            </w:tcBorders>
            <w:vAlign w:val="top"/>
          </w:tcPr>
          <w:p w14:paraId="584150EE">
            <w:pPr>
              <w:rPr>
                <w:rFonts w:ascii="Arial"/>
                <w:color w:val="auto"/>
                <w:sz w:val="21"/>
                <w:highlight w:val="none"/>
              </w:rPr>
            </w:pPr>
          </w:p>
        </w:tc>
      </w:tr>
    </w:tbl>
    <w:p w14:paraId="743D3156">
      <w:pPr>
        <w:spacing w:before="274" w:line="219" w:lineRule="auto"/>
        <w:ind w:left="2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编制人（造价人员</w:t>
      </w:r>
      <w:r>
        <w:rPr>
          <w:rFonts w:ascii="宋体" w:hAnsi="宋体" w:eastAsia="宋体" w:cs="宋体"/>
          <w:color w:val="auto"/>
          <w:spacing w:val="-1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2"/>
          <w:sz w:val="21"/>
          <w:szCs w:val="21"/>
          <w:highlight w:val="none"/>
        </w:rPr>
        <w:t>复核人（造价工程师</w:t>
      </w:r>
      <w:r>
        <w:rPr>
          <w:rFonts w:ascii="宋体" w:hAnsi="宋体" w:eastAsia="宋体" w:cs="宋体"/>
          <w:color w:val="auto"/>
          <w:spacing w:val="-13"/>
          <w:sz w:val="21"/>
          <w:szCs w:val="21"/>
          <w:highlight w:val="none"/>
        </w:rPr>
        <w:t>）：</w:t>
      </w:r>
    </w:p>
    <w:p w14:paraId="4F5256C6">
      <w:pPr>
        <w:spacing w:before="298" w:line="219" w:lineRule="auto"/>
        <w:ind w:left="26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 1．“计价基础</w:t>
      </w:r>
      <w:r>
        <w:rPr>
          <w:rFonts w:ascii="宋体" w:hAnsi="宋体" w:eastAsia="宋体" w:cs="宋体"/>
          <w:color w:val="auto"/>
          <w:spacing w:val="-77"/>
          <w:sz w:val="21"/>
          <w:szCs w:val="21"/>
          <w:highlight w:val="none"/>
        </w:rPr>
        <w:t xml:space="preserve"> </w:t>
      </w:r>
      <w:r>
        <w:rPr>
          <w:rFonts w:ascii="宋体" w:hAnsi="宋体" w:eastAsia="宋体" w:cs="宋体"/>
          <w:color w:val="auto"/>
          <w:spacing w:val="-1"/>
          <w:sz w:val="21"/>
          <w:szCs w:val="21"/>
          <w:highlight w:val="none"/>
        </w:rPr>
        <w:t>”中安全文明施工费可为“定额人工费+定额</w:t>
      </w:r>
      <w:r>
        <w:rPr>
          <w:rFonts w:ascii="宋体" w:hAnsi="宋体" w:eastAsia="宋体" w:cs="宋体"/>
          <w:color w:val="auto"/>
          <w:spacing w:val="-2"/>
          <w:sz w:val="21"/>
          <w:szCs w:val="21"/>
          <w:highlight w:val="none"/>
        </w:rPr>
        <w:t>机械费</w:t>
      </w:r>
      <w:r>
        <w:rPr>
          <w:rFonts w:ascii="宋体" w:hAnsi="宋体" w:eastAsia="宋体" w:cs="宋体"/>
          <w:color w:val="auto"/>
          <w:spacing w:val="-76"/>
          <w:sz w:val="21"/>
          <w:szCs w:val="21"/>
          <w:highlight w:val="none"/>
        </w:rPr>
        <w:t xml:space="preserve"> </w:t>
      </w:r>
      <w:r>
        <w:rPr>
          <w:rFonts w:ascii="宋体" w:hAnsi="宋体" w:eastAsia="宋体" w:cs="宋体"/>
          <w:color w:val="auto"/>
          <w:spacing w:val="-2"/>
          <w:sz w:val="21"/>
          <w:szCs w:val="21"/>
          <w:highlight w:val="none"/>
        </w:rPr>
        <w:t>”，其他项目可为</w:t>
      </w:r>
    </w:p>
    <w:p w14:paraId="58C6BDD7">
      <w:pPr>
        <w:spacing w:before="25" w:line="220" w:lineRule="auto"/>
        <w:ind w:left="983"/>
        <w:rPr>
          <w:rFonts w:ascii="宋体" w:hAnsi="宋体" w:eastAsia="宋体" w:cs="宋体"/>
          <w:color w:val="auto"/>
          <w:sz w:val="21"/>
          <w:szCs w:val="21"/>
          <w:highlight w:val="none"/>
        </w:rPr>
      </w:pPr>
      <w:r>
        <w:rPr>
          <w:rFonts w:ascii="宋体" w:hAnsi="宋体" w:eastAsia="宋体" w:cs="宋体"/>
          <w:color w:val="auto"/>
          <w:sz w:val="21"/>
          <w:szCs w:val="21"/>
          <w:highlight w:val="none"/>
        </w:rPr>
        <w:t>“定额人工费+定额机械费</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w:t>
      </w:r>
    </w:p>
    <w:p w14:paraId="252DE880">
      <w:pPr>
        <w:spacing w:before="24" w:line="228" w:lineRule="auto"/>
        <w:ind w:left="995" w:right="95" w:hanging="31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18"/>
          <w:sz w:val="21"/>
          <w:szCs w:val="21"/>
          <w:highlight w:val="none"/>
        </w:rPr>
        <w:t xml:space="preserve"> </w:t>
      </w:r>
      <w:r>
        <w:rPr>
          <w:rFonts w:ascii="宋体" w:hAnsi="宋体" w:eastAsia="宋体" w:cs="宋体"/>
          <w:color w:val="auto"/>
          <w:spacing w:val="-1"/>
          <w:sz w:val="21"/>
          <w:szCs w:val="21"/>
          <w:highlight w:val="none"/>
        </w:rPr>
        <w:t>．按施工方案计算的措施费，若无</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计算基础</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和</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费率</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24"/>
          <w:sz w:val="21"/>
          <w:szCs w:val="21"/>
          <w:highlight w:val="none"/>
        </w:rPr>
        <w:t xml:space="preserve"> </w:t>
      </w:r>
      <w:r>
        <w:rPr>
          <w:rFonts w:ascii="宋体" w:hAnsi="宋体" w:eastAsia="宋体" w:cs="宋体"/>
          <w:color w:val="auto"/>
          <w:spacing w:val="-1"/>
          <w:sz w:val="21"/>
          <w:szCs w:val="21"/>
          <w:highlight w:val="none"/>
        </w:rPr>
        <w:t>的数值，也可只填</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金额</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数值，</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但应在备注栏说明施工方案出处或计算方法。</w:t>
      </w:r>
    </w:p>
    <w:p w14:paraId="368C3213">
      <w:pPr>
        <w:spacing w:line="228" w:lineRule="auto"/>
        <w:rPr>
          <w:rFonts w:ascii="宋体" w:hAnsi="宋体" w:eastAsia="宋体" w:cs="宋体"/>
          <w:color w:val="auto"/>
          <w:sz w:val="21"/>
          <w:szCs w:val="21"/>
          <w:highlight w:val="none"/>
        </w:rPr>
        <w:sectPr>
          <w:footerReference r:id="rId132" w:type="default"/>
          <w:pgSz w:w="11905" w:h="16839"/>
          <w:pgMar w:top="400" w:right="1532" w:bottom="1004" w:left="1541" w:header="0" w:footer="828" w:gutter="0"/>
          <w:pgNumType w:fmt="decimal"/>
          <w:cols w:space="720" w:num="1"/>
        </w:sectPr>
      </w:pPr>
    </w:p>
    <w:p w14:paraId="4B23B52D">
      <w:pPr>
        <w:pStyle w:val="5"/>
        <w:spacing w:line="267" w:lineRule="auto"/>
        <w:rPr>
          <w:color w:val="auto"/>
          <w:highlight w:val="none"/>
        </w:rPr>
      </w:pPr>
    </w:p>
    <w:p w14:paraId="441E3D38">
      <w:pPr>
        <w:pStyle w:val="5"/>
        <w:spacing w:line="267" w:lineRule="auto"/>
        <w:rPr>
          <w:color w:val="auto"/>
          <w:highlight w:val="none"/>
        </w:rPr>
      </w:pPr>
    </w:p>
    <w:p w14:paraId="3CAE438F">
      <w:pPr>
        <w:pStyle w:val="5"/>
        <w:spacing w:line="268" w:lineRule="auto"/>
        <w:rPr>
          <w:color w:val="auto"/>
          <w:highlight w:val="none"/>
        </w:rPr>
      </w:pPr>
    </w:p>
    <w:p w14:paraId="35D6A257">
      <w:pPr>
        <w:pStyle w:val="5"/>
        <w:spacing w:line="268" w:lineRule="auto"/>
        <w:rPr>
          <w:color w:val="auto"/>
          <w:highlight w:val="none"/>
        </w:rPr>
      </w:pPr>
    </w:p>
    <w:p w14:paraId="3BE6181C">
      <w:pPr>
        <w:spacing w:before="78" w:line="219" w:lineRule="auto"/>
        <w:ind w:left="8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 </w:t>
      </w:r>
      <w:r>
        <w:rPr>
          <w:rFonts w:ascii="黑体" w:hAnsi="黑体" w:eastAsia="黑体" w:cs="黑体"/>
          <w:color w:val="auto"/>
          <w:spacing w:val="-1"/>
          <w:sz w:val="24"/>
          <w:szCs w:val="24"/>
          <w:highlight w:val="none"/>
        </w:rPr>
        <w:t>其他项目清单与计价汇总表</w:t>
      </w:r>
    </w:p>
    <w:p w14:paraId="03C3205C">
      <w:pPr>
        <w:spacing w:before="161" w:line="225" w:lineRule="auto"/>
        <w:ind w:left="2573"/>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其他项目清单与计价汇总表</w:t>
      </w:r>
    </w:p>
    <w:p w14:paraId="6D47D513">
      <w:pPr>
        <w:spacing w:before="143" w:line="214" w:lineRule="auto"/>
        <w:ind w:left="9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工程名称：               标段名称：</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38"/>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tbl>
      <w:tblPr>
        <w:tblStyle w:val="17"/>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14:paraId="01359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14:paraId="573D75D5">
            <w:pPr>
              <w:spacing w:line="271" w:lineRule="auto"/>
              <w:rPr>
                <w:rFonts w:ascii="Arial"/>
                <w:color w:val="auto"/>
                <w:sz w:val="21"/>
                <w:highlight w:val="none"/>
              </w:rPr>
            </w:pPr>
          </w:p>
          <w:p w14:paraId="231AEFEA">
            <w:pPr>
              <w:pStyle w:val="18"/>
              <w:spacing w:before="68" w:line="222" w:lineRule="auto"/>
              <w:ind w:left="204"/>
              <w:rPr>
                <w:color w:val="auto"/>
                <w:highlight w:val="none"/>
              </w:rPr>
            </w:pPr>
            <w:r>
              <w:rPr>
                <w:color w:val="auto"/>
                <w:spacing w:val="-2"/>
                <w:highlight w:val="none"/>
              </w:rPr>
              <w:t>序号</w:t>
            </w:r>
          </w:p>
        </w:tc>
        <w:tc>
          <w:tcPr>
            <w:tcW w:w="2921" w:type="dxa"/>
            <w:tcBorders>
              <w:top w:val="single" w:color="000000" w:sz="4" w:space="0"/>
            </w:tcBorders>
            <w:vAlign w:val="top"/>
          </w:tcPr>
          <w:p w14:paraId="73E340E6">
            <w:pPr>
              <w:spacing w:line="271" w:lineRule="auto"/>
              <w:rPr>
                <w:rFonts w:ascii="Arial"/>
                <w:color w:val="auto"/>
                <w:sz w:val="21"/>
                <w:highlight w:val="none"/>
              </w:rPr>
            </w:pPr>
          </w:p>
          <w:p w14:paraId="37CA3CA7">
            <w:pPr>
              <w:pStyle w:val="18"/>
              <w:spacing w:before="69" w:line="221" w:lineRule="auto"/>
              <w:ind w:left="1047"/>
              <w:rPr>
                <w:color w:val="auto"/>
                <w:highlight w:val="none"/>
              </w:rPr>
            </w:pPr>
            <w:r>
              <w:rPr>
                <w:color w:val="auto"/>
                <w:spacing w:val="-2"/>
                <w:highlight w:val="none"/>
              </w:rPr>
              <w:t>项目名称</w:t>
            </w:r>
          </w:p>
        </w:tc>
        <w:tc>
          <w:tcPr>
            <w:tcW w:w="1573" w:type="dxa"/>
            <w:tcBorders>
              <w:top w:val="single" w:color="000000" w:sz="4" w:space="0"/>
            </w:tcBorders>
            <w:vAlign w:val="top"/>
          </w:tcPr>
          <w:p w14:paraId="1D466390">
            <w:pPr>
              <w:spacing w:line="270" w:lineRule="auto"/>
              <w:rPr>
                <w:rFonts w:ascii="Arial"/>
                <w:color w:val="auto"/>
                <w:sz w:val="21"/>
                <w:highlight w:val="none"/>
              </w:rPr>
            </w:pPr>
          </w:p>
          <w:p w14:paraId="5BDD771B">
            <w:pPr>
              <w:pStyle w:val="18"/>
              <w:spacing w:before="69" w:line="221" w:lineRule="auto"/>
              <w:ind w:left="271"/>
              <w:rPr>
                <w:color w:val="auto"/>
                <w:highlight w:val="none"/>
              </w:rPr>
            </w:pPr>
            <w:r>
              <w:rPr>
                <w:color w:val="auto"/>
                <w:spacing w:val="-2"/>
                <w:highlight w:val="none"/>
              </w:rPr>
              <w:t>金额（元）</w:t>
            </w:r>
          </w:p>
        </w:tc>
        <w:tc>
          <w:tcPr>
            <w:tcW w:w="1573" w:type="dxa"/>
            <w:tcBorders>
              <w:top w:val="single" w:color="000000" w:sz="4" w:space="0"/>
            </w:tcBorders>
            <w:vAlign w:val="top"/>
          </w:tcPr>
          <w:p w14:paraId="7DEAA8E1">
            <w:pPr>
              <w:pStyle w:val="18"/>
              <w:spacing w:before="206" w:line="241" w:lineRule="auto"/>
              <w:ind w:left="381"/>
              <w:rPr>
                <w:color w:val="auto"/>
                <w:highlight w:val="none"/>
              </w:rPr>
            </w:pPr>
            <w:r>
              <w:rPr>
                <w:color w:val="auto"/>
                <w:spacing w:val="-2"/>
                <w:highlight w:val="none"/>
              </w:rPr>
              <w:t>结算金额</w:t>
            </w:r>
          </w:p>
          <w:p w14:paraId="0CFFB0CF">
            <w:pPr>
              <w:pStyle w:val="18"/>
              <w:spacing w:line="221" w:lineRule="auto"/>
              <w:ind w:left="488"/>
              <w:rPr>
                <w:color w:val="auto"/>
                <w:highlight w:val="none"/>
              </w:rPr>
            </w:pPr>
            <w:r>
              <w:rPr>
                <w:color w:val="auto"/>
                <w:spacing w:val="-5"/>
                <w:highlight w:val="none"/>
              </w:rPr>
              <w:t>（元）</w:t>
            </w:r>
          </w:p>
        </w:tc>
        <w:tc>
          <w:tcPr>
            <w:tcW w:w="1578" w:type="dxa"/>
            <w:tcBorders>
              <w:top w:val="single" w:color="000000" w:sz="4" w:space="0"/>
              <w:right w:val="single" w:color="000000" w:sz="4" w:space="0"/>
            </w:tcBorders>
            <w:vAlign w:val="top"/>
          </w:tcPr>
          <w:p w14:paraId="5ABE0980">
            <w:pPr>
              <w:spacing w:line="271" w:lineRule="auto"/>
              <w:rPr>
                <w:rFonts w:ascii="Arial"/>
                <w:color w:val="auto"/>
                <w:sz w:val="21"/>
                <w:highlight w:val="none"/>
              </w:rPr>
            </w:pPr>
          </w:p>
          <w:p w14:paraId="2097D3A5">
            <w:pPr>
              <w:pStyle w:val="18"/>
              <w:spacing w:before="68" w:line="222" w:lineRule="auto"/>
              <w:ind w:left="587"/>
              <w:rPr>
                <w:color w:val="auto"/>
                <w:highlight w:val="none"/>
              </w:rPr>
            </w:pPr>
            <w:r>
              <w:rPr>
                <w:color w:val="auto"/>
                <w:spacing w:val="-3"/>
                <w:highlight w:val="none"/>
              </w:rPr>
              <w:t>备注</w:t>
            </w:r>
          </w:p>
        </w:tc>
      </w:tr>
      <w:tr w14:paraId="39ACC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177CEFD">
            <w:pPr>
              <w:spacing w:line="306" w:lineRule="auto"/>
              <w:rPr>
                <w:rFonts w:ascii="Arial"/>
                <w:color w:val="auto"/>
                <w:sz w:val="21"/>
                <w:highlight w:val="none"/>
              </w:rPr>
            </w:pPr>
          </w:p>
          <w:p w14:paraId="19D6B476">
            <w:pPr>
              <w:spacing w:before="69" w:line="183" w:lineRule="auto"/>
              <w:ind w:left="374"/>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2921" w:type="dxa"/>
            <w:vAlign w:val="top"/>
          </w:tcPr>
          <w:p w14:paraId="0B4021EF">
            <w:pPr>
              <w:spacing w:line="272" w:lineRule="auto"/>
              <w:rPr>
                <w:rFonts w:ascii="Arial"/>
                <w:color w:val="auto"/>
                <w:sz w:val="21"/>
                <w:highlight w:val="none"/>
              </w:rPr>
            </w:pPr>
          </w:p>
          <w:p w14:paraId="4389A56F">
            <w:pPr>
              <w:pStyle w:val="18"/>
              <w:spacing w:before="68" w:line="221" w:lineRule="auto"/>
              <w:ind w:left="118"/>
              <w:rPr>
                <w:color w:val="auto"/>
                <w:highlight w:val="none"/>
              </w:rPr>
            </w:pPr>
            <w:r>
              <w:rPr>
                <w:color w:val="auto"/>
                <w:spacing w:val="-2"/>
                <w:highlight w:val="none"/>
              </w:rPr>
              <w:t>暂列金额</w:t>
            </w:r>
          </w:p>
        </w:tc>
        <w:tc>
          <w:tcPr>
            <w:tcW w:w="1573" w:type="dxa"/>
            <w:vAlign w:val="top"/>
          </w:tcPr>
          <w:p w14:paraId="45A9ECA9">
            <w:pPr>
              <w:rPr>
                <w:rFonts w:ascii="Arial"/>
                <w:color w:val="auto"/>
                <w:sz w:val="21"/>
                <w:highlight w:val="none"/>
              </w:rPr>
            </w:pPr>
          </w:p>
        </w:tc>
        <w:tc>
          <w:tcPr>
            <w:tcW w:w="1573" w:type="dxa"/>
            <w:vAlign w:val="top"/>
          </w:tcPr>
          <w:p w14:paraId="7BD20682">
            <w:pPr>
              <w:rPr>
                <w:rFonts w:ascii="Arial"/>
                <w:color w:val="auto"/>
                <w:sz w:val="21"/>
                <w:highlight w:val="none"/>
              </w:rPr>
            </w:pPr>
          </w:p>
        </w:tc>
        <w:tc>
          <w:tcPr>
            <w:tcW w:w="1578" w:type="dxa"/>
            <w:tcBorders>
              <w:right w:val="single" w:color="000000" w:sz="4" w:space="0"/>
            </w:tcBorders>
            <w:vAlign w:val="top"/>
          </w:tcPr>
          <w:p w14:paraId="1B5D4F28">
            <w:pPr>
              <w:pStyle w:val="18"/>
              <w:spacing w:before="208" w:line="236" w:lineRule="auto"/>
              <w:ind w:left="393"/>
              <w:rPr>
                <w:color w:val="auto"/>
                <w:highlight w:val="none"/>
              </w:rPr>
            </w:pPr>
            <w:r>
              <w:rPr>
                <w:color w:val="auto"/>
                <w:spacing w:val="-5"/>
                <w:highlight w:val="none"/>
              </w:rPr>
              <w:t>明细详见</w:t>
            </w:r>
          </w:p>
          <w:p w14:paraId="0EF5F336">
            <w:pPr>
              <w:pStyle w:val="18"/>
              <w:spacing w:line="222" w:lineRule="auto"/>
              <w:ind w:left="387"/>
              <w:rPr>
                <w:rFonts w:ascii="Times New Roman" w:hAnsi="Times New Roman" w:eastAsia="Times New Roman" w:cs="Times New Roman"/>
                <w:color w:val="auto"/>
                <w:highlight w:val="none"/>
              </w:rPr>
            </w:pPr>
            <w:r>
              <w:rPr>
                <w:color w:val="auto"/>
                <w:spacing w:val="-2"/>
                <w:highlight w:val="none"/>
              </w:rPr>
              <w:t>表</w:t>
            </w:r>
            <w:r>
              <w:rPr>
                <w:color w:val="auto"/>
                <w:spacing w:val="-43"/>
                <w:highlight w:val="none"/>
              </w:rPr>
              <w:t xml:space="preserve"> </w:t>
            </w:r>
            <w:r>
              <w:rPr>
                <w:rFonts w:ascii="Times New Roman" w:hAnsi="Times New Roman" w:eastAsia="Times New Roman" w:cs="Times New Roman"/>
                <w:color w:val="auto"/>
                <w:spacing w:val="-2"/>
                <w:highlight w:val="none"/>
              </w:rPr>
              <w:t>4.12-</w:t>
            </w:r>
            <w:r>
              <w:rPr>
                <w:rFonts w:ascii="Times New Roman" w:hAnsi="Times New Roman" w:eastAsia="Times New Roman" w:cs="Times New Roman"/>
                <w:color w:val="auto"/>
                <w:spacing w:val="-26"/>
                <w:highlight w:val="none"/>
              </w:rPr>
              <w:t xml:space="preserve"> </w:t>
            </w:r>
            <w:r>
              <w:rPr>
                <w:rFonts w:ascii="Times New Roman" w:hAnsi="Times New Roman" w:eastAsia="Times New Roman" w:cs="Times New Roman"/>
                <w:color w:val="auto"/>
                <w:spacing w:val="-2"/>
                <w:highlight w:val="none"/>
              </w:rPr>
              <w:t>1</w:t>
            </w:r>
          </w:p>
        </w:tc>
      </w:tr>
      <w:tr w14:paraId="4E0FE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14:paraId="38E628F3">
            <w:pPr>
              <w:spacing w:line="306" w:lineRule="auto"/>
              <w:rPr>
                <w:rFonts w:ascii="Arial"/>
                <w:color w:val="auto"/>
                <w:sz w:val="21"/>
                <w:highlight w:val="none"/>
              </w:rPr>
            </w:pPr>
          </w:p>
          <w:p w14:paraId="25E46199">
            <w:pPr>
              <w:spacing w:before="68" w:line="184" w:lineRule="auto"/>
              <w:ind w:left="361"/>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2921" w:type="dxa"/>
            <w:vAlign w:val="top"/>
          </w:tcPr>
          <w:p w14:paraId="1A033378">
            <w:pPr>
              <w:spacing w:line="273" w:lineRule="auto"/>
              <w:rPr>
                <w:rFonts w:ascii="Arial"/>
                <w:color w:val="auto"/>
                <w:sz w:val="21"/>
                <w:highlight w:val="none"/>
              </w:rPr>
            </w:pPr>
          </w:p>
          <w:p w14:paraId="102A22F9">
            <w:pPr>
              <w:pStyle w:val="18"/>
              <w:spacing w:before="68" w:line="219" w:lineRule="auto"/>
              <w:ind w:left="118"/>
              <w:rPr>
                <w:color w:val="auto"/>
                <w:highlight w:val="none"/>
              </w:rPr>
            </w:pPr>
            <w:r>
              <w:rPr>
                <w:color w:val="auto"/>
                <w:spacing w:val="-3"/>
                <w:highlight w:val="none"/>
              </w:rPr>
              <w:t>暂估价</w:t>
            </w:r>
          </w:p>
        </w:tc>
        <w:tc>
          <w:tcPr>
            <w:tcW w:w="1573" w:type="dxa"/>
            <w:vAlign w:val="top"/>
          </w:tcPr>
          <w:p w14:paraId="4908B3E6">
            <w:pPr>
              <w:rPr>
                <w:rFonts w:ascii="Arial"/>
                <w:color w:val="auto"/>
                <w:sz w:val="21"/>
                <w:highlight w:val="none"/>
              </w:rPr>
            </w:pPr>
          </w:p>
        </w:tc>
        <w:tc>
          <w:tcPr>
            <w:tcW w:w="1573" w:type="dxa"/>
            <w:vAlign w:val="top"/>
          </w:tcPr>
          <w:p w14:paraId="6A09EF7F">
            <w:pPr>
              <w:rPr>
                <w:rFonts w:ascii="Arial"/>
                <w:color w:val="auto"/>
                <w:sz w:val="21"/>
                <w:highlight w:val="none"/>
              </w:rPr>
            </w:pPr>
          </w:p>
        </w:tc>
        <w:tc>
          <w:tcPr>
            <w:tcW w:w="1578" w:type="dxa"/>
            <w:tcBorders>
              <w:right w:val="single" w:color="000000" w:sz="4" w:space="0"/>
            </w:tcBorders>
            <w:vAlign w:val="top"/>
          </w:tcPr>
          <w:p w14:paraId="59B2A671">
            <w:pPr>
              <w:rPr>
                <w:rFonts w:ascii="Arial"/>
                <w:color w:val="auto"/>
                <w:sz w:val="21"/>
                <w:highlight w:val="none"/>
              </w:rPr>
            </w:pPr>
          </w:p>
        </w:tc>
      </w:tr>
      <w:tr w14:paraId="72B1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14:paraId="786F940C">
            <w:pPr>
              <w:spacing w:line="307" w:lineRule="auto"/>
              <w:rPr>
                <w:rFonts w:ascii="Arial"/>
                <w:color w:val="auto"/>
                <w:sz w:val="21"/>
                <w:highlight w:val="none"/>
              </w:rPr>
            </w:pPr>
          </w:p>
          <w:p w14:paraId="41E84C1A">
            <w:pPr>
              <w:spacing w:before="68" w:line="184" w:lineRule="auto"/>
              <w:ind w:left="256"/>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2.1</w:t>
            </w:r>
          </w:p>
        </w:tc>
        <w:tc>
          <w:tcPr>
            <w:tcW w:w="2921" w:type="dxa"/>
            <w:vAlign w:val="top"/>
          </w:tcPr>
          <w:p w14:paraId="0A9EFF64">
            <w:pPr>
              <w:spacing w:line="274" w:lineRule="auto"/>
              <w:rPr>
                <w:rFonts w:ascii="Arial"/>
                <w:color w:val="auto"/>
                <w:sz w:val="21"/>
                <w:highlight w:val="none"/>
              </w:rPr>
            </w:pPr>
          </w:p>
          <w:p w14:paraId="3CBDAE76">
            <w:pPr>
              <w:pStyle w:val="18"/>
              <w:spacing w:before="68" w:line="219" w:lineRule="auto"/>
              <w:ind w:left="112"/>
              <w:rPr>
                <w:color w:val="auto"/>
                <w:highlight w:val="none"/>
              </w:rPr>
            </w:pPr>
            <w:r>
              <w:rPr>
                <w:color w:val="auto"/>
                <w:spacing w:val="-1"/>
                <w:highlight w:val="none"/>
              </w:rPr>
              <w:t>材料（工程设备）暂估价</w:t>
            </w:r>
          </w:p>
        </w:tc>
        <w:tc>
          <w:tcPr>
            <w:tcW w:w="1573" w:type="dxa"/>
            <w:vAlign w:val="top"/>
          </w:tcPr>
          <w:p w14:paraId="746DAC93">
            <w:pPr>
              <w:spacing w:line="373" w:lineRule="auto"/>
              <w:rPr>
                <w:rFonts w:ascii="Arial"/>
                <w:color w:val="auto"/>
                <w:sz w:val="21"/>
                <w:highlight w:val="none"/>
              </w:rPr>
            </w:pPr>
          </w:p>
          <w:p w14:paraId="5A39CF1D">
            <w:pPr>
              <w:pStyle w:val="18"/>
              <w:spacing w:before="68" w:line="142" w:lineRule="exact"/>
              <w:ind w:left="685"/>
              <w:rPr>
                <w:color w:val="auto"/>
                <w:highlight w:val="none"/>
              </w:rPr>
            </w:pPr>
            <w:r>
              <w:rPr>
                <w:color w:val="auto"/>
                <w:position w:val="-3"/>
                <w:highlight w:val="none"/>
              </w:rPr>
              <w:t>—</w:t>
            </w:r>
          </w:p>
        </w:tc>
        <w:tc>
          <w:tcPr>
            <w:tcW w:w="1573" w:type="dxa"/>
            <w:vAlign w:val="top"/>
          </w:tcPr>
          <w:p w14:paraId="027DC4D0">
            <w:pPr>
              <w:rPr>
                <w:rFonts w:ascii="Arial"/>
                <w:color w:val="auto"/>
                <w:sz w:val="21"/>
                <w:highlight w:val="none"/>
              </w:rPr>
            </w:pPr>
          </w:p>
        </w:tc>
        <w:tc>
          <w:tcPr>
            <w:tcW w:w="1578" w:type="dxa"/>
            <w:tcBorders>
              <w:right w:val="single" w:color="000000" w:sz="4" w:space="0"/>
            </w:tcBorders>
            <w:vAlign w:val="top"/>
          </w:tcPr>
          <w:p w14:paraId="6E0A2E0E">
            <w:pPr>
              <w:pStyle w:val="18"/>
              <w:spacing w:before="204" w:line="241" w:lineRule="auto"/>
              <w:ind w:left="393"/>
              <w:rPr>
                <w:color w:val="auto"/>
                <w:highlight w:val="none"/>
              </w:rPr>
            </w:pPr>
            <w:r>
              <w:rPr>
                <w:color w:val="auto"/>
                <w:spacing w:val="-5"/>
                <w:highlight w:val="none"/>
              </w:rPr>
              <w:t>明细详见</w:t>
            </w:r>
          </w:p>
          <w:p w14:paraId="7F88665B">
            <w:pPr>
              <w:pStyle w:val="18"/>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4.12-2</w:t>
            </w:r>
          </w:p>
        </w:tc>
      </w:tr>
      <w:tr w14:paraId="48B38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4E656D08">
            <w:pPr>
              <w:spacing w:line="306" w:lineRule="auto"/>
              <w:rPr>
                <w:rFonts w:ascii="Arial"/>
                <w:color w:val="auto"/>
                <w:sz w:val="21"/>
                <w:highlight w:val="none"/>
              </w:rPr>
            </w:pPr>
          </w:p>
          <w:p w14:paraId="5ECB4C06">
            <w:pPr>
              <w:spacing w:before="68" w:line="184" w:lineRule="auto"/>
              <w:ind w:left="256"/>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2.2</w:t>
            </w:r>
          </w:p>
        </w:tc>
        <w:tc>
          <w:tcPr>
            <w:tcW w:w="2921" w:type="dxa"/>
            <w:vAlign w:val="top"/>
          </w:tcPr>
          <w:p w14:paraId="0D558B2C">
            <w:pPr>
              <w:spacing w:line="273" w:lineRule="auto"/>
              <w:rPr>
                <w:rFonts w:ascii="Arial"/>
                <w:color w:val="auto"/>
                <w:sz w:val="21"/>
                <w:highlight w:val="none"/>
              </w:rPr>
            </w:pPr>
          </w:p>
          <w:p w14:paraId="465A2B13">
            <w:pPr>
              <w:pStyle w:val="18"/>
              <w:spacing w:before="68" w:line="219" w:lineRule="auto"/>
              <w:ind w:left="113"/>
              <w:rPr>
                <w:color w:val="auto"/>
                <w:highlight w:val="none"/>
              </w:rPr>
            </w:pPr>
            <w:r>
              <w:rPr>
                <w:color w:val="auto"/>
                <w:spacing w:val="-1"/>
                <w:highlight w:val="none"/>
              </w:rPr>
              <w:t>专业工程暂估价</w:t>
            </w:r>
          </w:p>
        </w:tc>
        <w:tc>
          <w:tcPr>
            <w:tcW w:w="1573" w:type="dxa"/>
            <w:vAlign w:val="top"/>
          </w:tcPr>
          <w:p w14:paraId="30945C9C">
            <w:pPr>
              <w:rPr>
                <w:rFonts w:ascii="Arial"/>
                <w:color w:val="auto"/>
                <w:sz w:val="21"/>
                <w:highlight w:val="none"/>
              </w:rPr>
            </w:pPr>
          </w:p>
        </w:tc>
        <w:tc>
          <w:tcPr>
            <w:tcW w:w="1573" w:type="dxa"/>
            <w:vAlign w:val="top"/>
          </w:tcPr>
          <w:p w14:paraId="349838F8">
            <w:pPr>
              <w:rPr>
                <w:rFonts w:ascii="Arial"/>
                <w:color w:val="auto"/>
                <w:sz w:val="21"/>
                <w:highlight w:val="none"/>
              </w:rPr>
            </w:pPr>
          </w:p>
        </w:tc>
        <w:tc>
          <w:tcPr>
            <w:tcW w:w="1578" w:type="dxa"/>
            <w:tcBorders>
              <w:right w:val="single" w:color="000000" w:sz="4" w:space="0"/>
            </w:tcBorders>
            <w:vAlign w:val="top"/>
          </w:tcPr>
          <w:p w14:paraId="241ED1E1">
            <w:pPr>
              <w:pStyle w:val="18"/>
              <w:spacing w:before="208" w:line="241" w:lineRule="auto"/>
              <w:ind w:left="393"/>
              <w:rPr>
                <w:color w:val="auto"/>
                <w:highlight w:val="none"/>
              </w:rPr>
            </w:pPr>
            <w:r>
              <w:rPr>
                <w:color w:val="auto"/>
                <w:spacing w:val="-5"/>
                <w:highlight w:val="none"/>
              </w:rPr>
              <w:t>明细详见</w:t>
            </w:r>
          </w:p>
          <w:p w14:paraId="1412D227">
            <w:pPr>
              <w:pStyle w:val="18"/>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4.12-3</w:t>
            </w:r>
          </w:p>
        </w:tc>
      </w:tr>
      <w:tr w14:paraId="16E77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6CCE57D5">
            <w:pPr>
              <w:spacing w:line="311" w:lineRule="auto"/>
              <w:rPr>
                <w:rFonts w:ascii="Arial"/>
                <w:color w:val="auto"/>
                <w:sz w:val="21"/>
                <w:highlight w:val="none"/>
              </w:rPr>
            </w:pPr>
          </w:p>
          <w:p w14:paraId="34FE0CDA">
            <w:pPr>
              <w:spacing w:before="68"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2921" w:type="dxa"/>
            <w:vAlign w:val="top"/>
          </w:tcPr>
          <w:p w14:paraId="67BE4E4C">
            <w:pPr>
              <w:spacing w:line="278" w:lineRule="auto"/>
              <w:rPr>
                <w:rFonts w:ascii="Arial"/>
                <w:color w:val="auto"/>
                <w:sz w:val="21"/>
                <w:highlight w:val="none"/>
              </w:rPr>
            </w:pPr>
          </w:p>
          <w:p w14:paraId="76FE7E64">
            <w:pPr>
              <w:pStyle w:val="18"/>
              <w:spacing w:before="68" w:line="222" w:lineRule="auto"/>
              <w:ind w:left="112"/>
              <w:rPr>
                <w:color w:val="auto"/>
                <w:highlight w:val="none"/>
              </w:rPr>
            </w:pPr>
            <w:r>
              <w:rPr>
                <w:color w:val="auto"/>
                <w:spacing w:val="-2"/>
                <w:highlight w:val="none"/>
              </w:rPr>
              <w:t>计日工</w:t>
            </w:r>
          </w:p>
        </w:tc>
        <w:tc>
          <w:tcPr>
            <w:tcW w:w="1573" w:type="dxa"/>
            <w:vAlign w:val="top"/>
          </w:tcPr>
          <w:p w14:paraId="1C0D1C37">
            <w:pPr>
              <w:rPr>
                <w:rFonts w:ascii="Arial"/>
                <w:color w:val="auto"/>
                <w:sz w:val="21"/>
                <w:highlight w:val="none"/>
              </w:rPr>
            </w:pPr>
          </w:p>
        </w:tc>
        <w:tc>
          <w:tcPr>
            <w:tcW w:w="1573" w:type="dxa"/>
            <w:vAlign w:val="top"/>
          </w:tcPr>
          <w:p w14:paraId="29984B2F">
            <w:pPr>
              <w:rPr>
                <w:rFonts w:ascii="Arial"/>
                <w:color w:val="auto"/>
                <w:sz w:val="21"/>
                <w:highlight w:val="none"/>
              </w:rPr>
            </w:pPr>
          </w:p>
        </w:tc>
        <w:tc>
          <w:tcPr>
            <w:tcW w:w="1578" w:type="dxa"/>
            <w:tcBorders>
              <w:right w:val="single" w:color="000000" w:sz="4" w:space="0"/>
            </w:tcBorders>
            <w:vAlign w:val="top"/>
          </w:tcPr>
          <w:p w14:paraId="05FC66FA">
            <w:pPr>
              <w:pStyle w:val="18"/>
              <w:spacing w:before="214" w:line="236" w:lineRule="auto"/>
              <w:ind w:left="393"/>
              <w:rPr>
                <w:color w:val="auto"/>
                <w:highlight w:val="none"/>
              </w:rPr>
            </w:pPr>
            <w:r>
              <w:rPr>
                <w:color w:val="auto"/>
                <w:spacing w:val="-5"/>
                <w:highlight w:val="none"/>
              </w:rPr>
              <w:t>明细详见</w:t>
            </w:r>
          </w:p>
          <w:p w14:paraId="43557B64">
            <w:pPr>
              <w:pStyle w:val="18"/>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4.12-4</w:t>
            </w:r>
          </w:p>
        </w:tc>
      </w:tr>
      <w:tr w14:paraId="02731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C58131E">
            <w:pPr>
              <w:spacing w:line="313" w:lineRule="auto"/>
              <w:rPr>
                <w:rFonts w:ascii="Arial"/>
                <w:color w:val="auto"/>
                <w:sz w:val="21"/>
                <w:highlight w:val="none"/>
              </w:rPr>
            </w:pPr>
          </w:p>
          <w:p w14:paraId="20B49E4F">
            <w:pPr>
              <w:spacing w:before="68" w:line="183" w:lineRule="auto"/>
              <w:ind w:left="357"/>
              <w:rPr>
                <w:rFonts w:ascii="黑体" w:hAnsi="黑体" w:eastAsia="黑体" w:cs="黑体"/>
                <w:color w:val="auto"/>
                <w:sz w:val="21"/>
                <w:szCs w:val="21"/>
                <w:highlight w:val="none"/>
              </w:rPr>
            </w:pPr>
            <w:r>
              <w:rPr>
                <w:rFonts w:ascii="黑体" w:hAnsi="黑体" w:eastAsia="黑体" w:cs="黑体"/>
                <w:color w:val="auto"/>
                <w:sz w:val="21"/>
                <w:szCs w:val="21"/>
                <w:highlight w:val="none"/>
              </w:rPr>
              <w:t>4</w:t>
            </w:r>
          </w:p>
        </w:tc>
        <w:tc>
          <w:tcPr>
            <w:tcW w:w="2921" w:type="dxa"/>
            <w:vAlign w:val="top"/>
          </w:tcPr>
          <w:p w14:paraId="03BD6493">
            <w:pPr>
              <w:spacing w:line="278" w:lineRule="auto"/>
              <w:rPr>
                <w:rFonts w:ascii="Arial"/>
                <w:color w:val="auto"/>
                <w:sz w:val="21"/>
                <w:highlight w:val="none"/>
              </w:rPr>
            </w:pPr>
          </w:p>
          <w:p w14:paraId="4D4AA944">
            <w:pPr>
              <w:pStyle w:val="18"/>
              <w:spacing w:before="68" w:line="221" w:lineRule="auto"/>
              <w:ind w:left="117"/>
              <w:rPr>
                <w:color w:val="auto"/>
                <w:highlight w:val="none"/>
              </w:rPr>
            </w:pPr>
            <w:r>
              <w:rPr>
                <w:color w:val="auto"/>
                <w:spacing w:val="-2"/>
                <w:highlight w:val="none"/>
              </w:rPr>
              <w:t>总承包服务费</w:t>
            </w:r>
          </w:p>
        </w:tc>
        <w:tc>
          <w:tcPr>
            <w:tcW w:w="1573" w:type="dxa"/>
            <w:vAlign w:val="top"/>
          </w:tcPr>
          <w:p w14:paraId="34B085FE">
            <w:pPr>
              <w:rPr>
                <w:rFonts w:ascii="Arial"/>
                <w:color w:val="auto"/>
                <w:sz w:val="21"/>
                <w:highlight w:val="none"/>
              </w:rPr>
            </w:pPr>
          </w:p>
        </w:tc>
        <w:tc>
          <w:tcPr>
            <w:tcW w:w="1573" w:type="dxa"/>
            <w:vAlign w:val="top"/>
          </w:tcPr>
          <w:p w14:paraId="394C8638">
            <w:pPr>
              <w:rPr>
                <w:rFonts w:ascii="Arial"/>
                <w:color w:val="auto"/>
                <w:sz w:val="21"/>
                <w:highlight w:val="none"/>
              </w:rPr>
            </w:pPr>
          </w:p>
        </w:tc>
        <w:tc>
          <w:tcPr>
            <w:tcW w:w="1578" w:type="dxa"/>
            <w:tcBorders>
              <w:right w:val="single" w:color="000000" w:sz="4" w:space="0"/>
            </w:tcBorders>
            <w:vAlign w:val="top"/>
          </w:tcPr>
          <w:p w14:paraId="6CA685F0">
            <w:pPr>
              <w:pStyle w:val="18"/>
              <w:spacing w:before="209" w:line="241" w:lineRule="auto"/>
              <w:ind w:left="393"/>
              <w:rPr>
                <w:color w:val="auto"/>
                <w:highlight w:val="none"/>
              </w:rPr>
            </w:pPr>
            <w:r>
              <w:rPr>
                <w:color w:val="auto"/>
                <w:spacing w:val="-5"/>
                <w:highlight w:val="none"/>
              </w:rPr>
              <w:t>明细详见</w:t>
            </w:r>
          </w:p>
          <w:p w14:paraId="2986DB75">
            <w:pPr>
              <w:pStyle w:val="18"/>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4.12-5</w:t>
            </w:r>
          </w:p>
        </w:tc>
      </w:tr>
      <w:tr w14:paraId="34203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0B337271">
            <w:pPr>
              <w:spacing w:line="326" w:lineRule="auto"/>
              <w:rPr>
                <w:rFonts w:ascii="Arial"/>
                <w:color w:val="auto"/>
                <w:sz w:val="21"/>
                <w:highlight w:val="none"/>
              </w:rPr>
            </w:pPr>
          </w:p>
          <w:p w14:paraId="28C6C358">
            <w:pPr>
              <w:spacing w:before="60" w:line="186" w:lineRule="auto"/>
              <w:ind w:left="36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2921" w:type="dxa"/>
            <w:vAlign w:val="top"/>
          </w:tcPr>
          <w:p w14:paraId="6A4F20B3">
            <w:pPr>
              <w:spacing w:line="274" w:lineRule="auto"/>
              <w:rPr>
                <w:rFonts w:ascii="Arial"/>
                <w:color w:val="auto"/>
                <w:sz w:val="21"/>
                <w:highlight w:val="none"/>
              </w:rPr>
            </w:pPr>
          </w:p>
          <w:p w14:paraId="6414C23F">
            <w:pPr>
              <w:pStyle w:val="18"/>
              <w:spacing w:before="69" w:line="221" w:lineRule="auto"/>
              <w:ind w:left="113"/>
              <w:rPr>
                <w:color w:val="auto"/>
                <w:highlight w:val="none"/>
              </w:rPr>
            </w:pPr>
            <w:r>
              <w:rPr>
                <w:color w:val="auto"/>
                <w:spacing w:val="-2"/>
                <w:highlight w:val="none"/>
              </w:rPr>
              <w:t>其他</w:t>
            </w:r>
          </w:p>
        </w:tc>
        <w:tc>
          <w:tcPr>
            <w:tcW w:w="1573" w:type="dxa"/>
            <w:vAlign w:val="top"/>
          </w:tcPr>
          <w:p w14:paraId="6872A9B6">
            <w:pPr>
              <w:rPr>
                <w:rFonts w:ascii="Arial"/>
                <w:color w:val="auto"/>
                <w:sz w:val="21"/>
                <w:highlight w:val="none"/>
              </w:rPr>
            </w:pPr>
          </w:p>
        </w:tc>
        <w:tc>
          <w:tcPr>
            <w:tcW w:w="1573" w:type="dxa"/>
            <w:vAlign w:val="top"/>
          </w:tcPr>
          <w:p w14:paraId="22C59656">
            <w:pPr>
              <w:rPr>
                <w:rFonts w:ascii="Arial"/>
                <w:color w:val="auto"/>
                <w:sz w:val="21"/>
                <w:highlight w:val="none"/>
              </w:rPr>
            </w:pPr>
          </w:p>
        </w:tc>
        <w:tc>
          <w:tcPr>
            <w:tcW w:w="1578" w:type="dxa"/>
            <w:tcBorders>
              <w:right w:val="single" w:color="000000" w:sz="4" w:space="0"/>
            </w:tcBorders>
            <w:vAlign w:val="top"/>
          </w:tcPr>
          <w:p w14:paraId="746ECBF0">
            <w:pPr>
              <w:rPr>
                <w:rFonts w:ascii="Arial"/>
                <w:color w:val="auto"/>
                <w:sz w:val="21"/>
                <w:highlight w:val="none"/>
              </w:rPr>
            </w:pPr>
          </w:p>
        </w:tc>
      </w:tr>
      <w:tr w14:paraId="56A69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61F6031">
            <w:pPr>
              <w:rPr>
                <w:rFonts w:ascii="Arial"/>
                <w:color w:val="auto"/>
                <w:sz w:val="21"/>
                <w:highlight w:val="none"/>
              </w:rPr>
            </w:pPr>
          </w:p>
        </w:tc>
        <w:tc>
          <w:tcPr>
            <w:tcW w:w="2921" w:type="dxa"/>
            <w:vAlign w:val="top"/>
          </w:tcPr>
          <w:p w14:paraId="74FF89E9">
            <w:pPr>
              <w:rPr>
                <w:rFonts w:ascii="Arial"/>
                <w:color w:val="auto"/>
                <w:sz w:val="21"/>
                <w:highlight w:val="none"/>
              </w:rPr>
            </w:pPr>
          </w:p>
        </w:tc>
        <w:tc>
          <w:tcPr>
            <w:tcW w:w="1573" w:type="dxa"/>
            <w:vAlign w:val="top"/>
          </w:tcPr>
          <w:p w14:paraId="5AB117C5">
            <w:pPr>
              <w:rPr>
                <w:rFonts w:ascii="Arial"/>
                <w:color w:val="auto"/>
                <w:sz w:val="21"/>
                <w:highlight w:val="none"/>
              </w:rPr>
            </w:pPr>
          </w:p>
        </w:tc>
        <w:tc>
          <w:tcPr>
            <w:tcW w:w="1573" w:type="dxa"/>
            <w:vAlign w:val="top"/>
          </w:tcPr>
          <w:p w14:paraId="28321965">
            <w:pPr>
              <w:rPr>
                <w:rFonts w:ascii="Arial"/>
                <w:color w:val="auto"/>
                <w:sz w:val="21"/>
                <w:highlight w:val="none"/>
              </w:rPr>
            </w:pPr>
          </w:p>
        </w:tc>
        <w:tc>
          <w:tcPr>
            <w:tcW w:w="1578" w:type="dxa"/>
            <w:tcBorders>
              <w:right w:val="single" w:color="000000" w:sz="4" w:space="0"/>
            </w:tcBorders>
            <w:vAlign w:val="top"/>
          </w:tcPr>
          <w:p w14:paraId="2D0CD1BB">
            <w:pPr>
              <w:rPr>
                <w:rFonts w:ascii="Arial"/>
                <w:color w:val="auto"/>
                <w:sz w:val="21"/>
                <w:highlight w:val="none"/>
              </w:rPr>
            </w:pPr>
          </w:p>
        </w:tc>
      </w:tr>
      <w:tr w14:paraId="62C8F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05BEDD8">
            <w:pPr>
              <w:rPr>
                <w:rFonts w:ascii="Arial"/>
                <w:color w:val="auto"/>
                <w:sz w:val="21"/>
                <w:highlight w:val="none"/>
              </w:rPr>
            </w:pPr>
          </w:p>
        </w:tc>
        <w:tc>
          <w:tcPr>
            <w:tcW w:w="2921" w:type="dxa"/>
            <w:vAlign w:val="top"/>
          </w:tcPr>
          <w:p w14:paraId="531BEA3D">
            <w:pPr>
              <w:rPr>
                <w:rFonts w:ascii="Arial"/>
                <w:color w:val="auto"/>
                <w:sz w:val="21"/>
                <w:highlight w:val="none"/>
              </w:rPr>
            </w:pPr>
          </w:p>
        </w:tc>
        <w:tc>
          <w:tcPr>
            <w:tcW w:w="1573" w:type="dxa"/>
            <w:vAlign w:val="top"/>
          </w:tcPr>
          <w:p w14:paraId="1263B4CD">
            <w:pPr>
              <w:rPr>
                <w:rFonts w:ascii="Arial"/>
                <w:color w:val="auto"/>
                <w:sz w:val="21"/>
                <w:highlight w:val="none"/>
              </w:rPr>
            </w:pPr>
          </w:p>
        </w:tc>
        <w:tc>
          <w:tcPr>
            <w:tcW w:w="1573" w:type="dxa"/>
            <w:vAlign w:val="top"/>
          </w:tcPr>
          <w:p w14:paraId="774BADEE">
            <w:pPr>
              <w:rPr>
                <w:rFonts w:ascii="Arial"/>
                <w:color w:val="auto"/>
                <w:sz w:val="21"/>
                <w:highlight w:val="none"/>
              </w:rPr>
            </w:pPr>
          </w:p>
        </w:tc>
        <w:tc>
          <w:tcPr>
            <w:tcW w:w="1578" w:type="dxa"/>
            <w:tcBorders>
              <w:right w:val="single" w:color="000000" w:sz="4" w:space="0"/>
            </w:tcBorders>
            <w:vAlign w:val="top"/>
          </w:tcPr>
          <w:p w14:paraId="577BE111">
            <w:pPr>
              <w:rPr>
                <w:rFonts w:ascii="Arial"/>
                <w:color w:val="auto"/>
                <w:sz w:val="21"/>
                <w:highlight w:val="none"/>
              </w:rPr>
            </w:pPr>
          </w:p>
        </w:tc>
      </w:tr>
      <w:tr w14:paraId="4A074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14:paraId="24A4A770">
            <w:pPr>
              <w:spacing w:line="276" w:lineRule="auto"/>
              <w:rPr>
                <w:rFonts w:ascii="Arial"/>
                <w:color w:val="auto"/>
                <w:sz w:val="21"/>
                <w:highlight w:val="none"/>
              </w:rPr>
            </w:pPr>
          </w:p>
          <w:p w14:paraId="1BC1BE54">
            <w:pPr>
              <w:pStyle w:val="18"/>
              <w:spacing w:before="68" w:line="222" w:lineRule="auto"/>
              <w:ind w:left="1670"/>
              <w:rPr>
                <w:color w:val="auto"/>
                <w:highlight w:val="none"/>
              </w:rPr>
            </w:pPr>
            <w:r>
              <w:rPr>
                <w:color w:val="auto"/>
                <w:spacing w:val="-2"/>
                <w:highlight w:val="none"/>
              </w:rPr>
              <w:t>合计</w:t>
            </w:r>
          </w:p>
        </w:tc>
        <w:tc>
          <w:tcPr>
            <w:tcW w:w="1573" w:type="dxa"/>
            <w:tcBorders>
              <w:bottom w:val="single" w:color="000000" w:sz="4" w:space="0"/>
            </w:tcBorders>
            <w:vAlign w:val="top"/>
          </w:tcPr>
          <w:p w14:paraId="49C79893">
            <w:pPr>
              <w:rPr>
                <w:rFonts w:ascii="Arial"/>
                <w:color w:val="auto"/>
                <w:sz w:val="21"/>
                <w:highlight w:val="none"/>
              </w:rPr>
            </w:pPr>
          </w:p>
        </w:tc>
        <w:tc>
          <w:tcPr>
            <w:tcW w:w="1573" w:type="dxa"/>
            <w:tcBorders>
              <w:bottom w:val="single" w:color="000000" w:sz="4" w:space="0"/>
            </w:tcBorders>
            <w:vAlign w:val="top"/>
          </w:tcPr>
          <w:p w14:paraId="3428035A">
            <w:pPr>
              <w:rPr>
                <w:rFonts w:ascii="Arial"/>
                <w:color w:val="auto"/>
                <w:sz w:val="21"/>
                <w:highlight w:val="none"/>
              </w:rPr>
            </w:pPr>
          </w:p>
        </w:tc>
        <w:tc>
          <w:tcPr>
            <w:tcW w:w="1578" w:type="dxa"/>
            <w:tcBorders>
              <w:bottom w:val="single" w:color="000000" w:sz="4" w:space="0"/>
              <w:right w:val="single" w:color="000000" w:sz="4" w:space="0"/>
            </w:tcBorders>
            <w:vAlign w:val="top"/>
          </w:tcPr>
          <w:p w14:paraId="73DA0CD3">
            <w:pPr>
              <w:spacing w:line="375" w:lineRule="auto"/>
              <w:rPr>
                <w:rFonts w:ascii="Arial"/>
                <w:color w:val="auto"/>
                <w:sz w:val="21"/>
                <w:highlight w:val="none"/>
              </w:rPr>
            </w:pPr>
          </w:p>
          <w:p w14:paraId="3BE12D5F">
            <w:pPr>
              <w:pStyle w:val="18"/>
              <w:spacing w:before="68" w:line="142" w:lineRule="exact"/>
              <w:ind w:left="684"/>
              <w:rPr>
                <w:color w:val="auto"/>
                <w:highlight w:val="none"/>
              </w:rPr>
            </w:pPr>
            <w:r>
              <w:rPr>
                <w:color w:val="auto"/>
                <w:position w:val="-3"/>
                <w:highlight w:val="none"/>
              </w:rPr>
              <w:t>—</w:t>
            </w:r>
          </w:p>
        </w:tc>
      </w:tr>
    </w:tbl>
    <w:p w14:paraId="44240C24">
      <w:pPr>
        <w:spacing w:before="145" w:line="219" w:lineRule="auto"/>
        <w:ind w:left="8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注：材料（工程设备）暂估单价进入清单项目综合单价，此处不汇总。</w:t>
      </w:r>
    </w:p>
    <w:p w14:paraId="68BDD11C">
      <w:pPr>
        <w:spacing w:line="219" w:lineRule="auto"/>
        <w:rPr>
          <w:rFonts w:ascii="宋体" w:hAnsi="宋体" w:eastAsia="宋体" w:cs="宋体"/>
          <w:color w:val="auto"/>
          <w:sz w:val="21"/>
          <w:szCs w:val="21"/>
          <w:highlight w:val="none"/>
        </w:rPr>
        <w:sectPr>
          <w:footerReference r:id="rId133" w:type="default"/>
          <w:pgSz w:w="11905" w:h="16839"/>
          <w:pgMar w:top="400" w:right="1709" w:bottom="1004" w:left="1714" w:header="0" w:footer="828" w:gutter="0"/>
          <w:pgNumType w:fmt="decimal"/>
          <w:cols w:space="720" w:num="1"/>
        </w:sectPr>
      </w:pPr>
    </w:p>
    <w:p w14:paraId="22909C5C">
      <w:pPr>
        <w:pStyle w:val="5"/>
        <w:spacing w:line="267" w:lineRule="auto"/>
        <w:rPr>
          <w:color w:val="auto"/>
          <w:highlight w:val="none"/>
        </w:rPr>
      </w:pPr>
    </w:p>
    <w:p w14:paraId="3C0B6DF8">
      <w:pPr>
        <w:pStyle w:val="5"/>
        <w:spacing w:line="268" w:lineRule="auto"/>
        <w:rPr>
          <w:color w:val="auto"/>
          <w:highlight w:val="none"/>
        </w:rPr>
      </w:pPr>
    </w:p>
    <w:p w14:paraId="67352B4B">
      <w:pPr>
        <w:pStyle w:val="5"/>
        <w:spacing w:line="268" w:lineRule="auto"/>
        <w:rPr>
          <w:color w:val="auto"/>
          <w:highlight w:val="none"/>
        </w:rPr>
      </w:pPr>
    </w:p>
    <w:p w14:paraId="2BE49F19">
      <w:pPr>
        <w:pStyle w:val="5"/>
        <w:spacing w:line="268" w:lineRule="auto"/>
        <w:rPr>
          <w:color w:val="auto"/>
          <w:highlight w:val="none"/>
        </w:rPr>
      </w:pPr>
    </w:p>
    <w:p w14:paraId="71F56E4F">
      <w:pPr>
        <w:spacing w:before="78" w:line="218" w:lineRule="auto"/>
        <w:ind w:left="9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4.12-</w:t>
      </w:r>
      <w:r>
        <w:rPr>
          <w:rFonts w:ascii="Times New Roman" w:hAnsi="Times New Roman" w:eastAsia="Times New Roman" w:cs="Times New Roman"/>
          <w:color w:val="auto"/>
          <w:spacing w:val="-28"/>
          <w:sz w:val="24"/>
          <w:szCs w:val="24"/>
          <w:highlight w:val="none"/>
        </w:rPr>
        <w:t xml:space="preserve"> </w:t>
      </w:r>
      <w:r>
        <w:rPr>
          <w:rFonts w:ascii="Times New Roman" w:hAnsi="Times New Roman" w:eastAsia="Times New Roman" w:cs="Times New Roman"/>
          <w:color w:val="auto"/>
          <w:spacing w:val="-3"/>
          <w:sz w:val="24"/>
          <w:szCs w:val="24"/>
          <w:highlight w:val="none"/>
        </w:rPr>
        <w:t xml:space="preserve">1 </w:t>
      </w:r>
      <w:r>
        <w:rPr>
          <w:rFonts w:ascii="黑体" w:hAnsi="黑体" w:eastAsia="黑体" w:cs="黑体"/>
          <w:color w:val="auto"/>
          <w:spacing w:val="-3"/>
          <w:sz w:val="24"/>
          <w:szCs w:val="24"/>
          <w:highlight w:val="none"/>
        </w:rPr>
        <w:t>暂列金额明细表</w:t>
      </w:r>
    </w:p>
    <w:p w14:paraId="5D0CC61D">
      <w:pPr>
        <w:spacing w:before="163" w:line="224" w:lineRule="auto"/>
        <w:ind w:left="3286"/>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暂列金额明细表</w:t>
      </w:r>
    </w:p>
    <w:p w14:paraId="125E33D5">
      <w:pPr>
        <w:spacing w:before="144" w:line="214" w:lineRule="auto"/>
        <w:ind w:left="97"/>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工程名称：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8"/>
          <w:sz w:val="21"/>
          <w:szCs w:val="21"/>
          <w:highlight w:val="none"/>
        </w:rPr>
        <w:t>标段名称：</w:t>
      </w:r>
      <w:r>
        <w:rPr>
          <w:rFonts w:ascii="宋体" w:hAnsi="宋体" w:eastAsia="宋体" w:cs="宋体"/>
          <w:color w:val="auto"/>
          <w:spacing w:val="8"/>
          <w:sz w:val="21"/>
          <w:szCs w:val="21"/>
          <w:highlight w:val="none"/>
        </w:rPr>
        <w:t xml:space="preserve">        </w:t>
      </w:r>
      <w:r>
        <w:rPr>
          <w:rFonts w:ascii="宋体" w:hAnsi="宋体" w:eastAsia="宋体" w:cs="宋体"/>
          <w:color w:val="auto"/>
          <w:spacing w:val="-18"/>
          <w:sz w:val="21"/>
          <w:szCs w:val="21"/>
          <w:highlight w:val="none"/>
        </w:rPr>
        <w:t>第 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18"/>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8"/>
          <w:sz w:val="21"/>
          <w:szCs w:val="21"/>
          <w:highlight w:val="none"/>
        </w:rPr>
        <w:t>页</w:t>
      </w:r>
    </w:p>
    <w:tbl>
      <w:tblPr>
        <w:tblStyle w:val="17"/>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14:paraId="6D999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14:paraId="78F7E161">
            <w:pPr>
              <w:spacing w:line="257" w:lineRule="auto"/>
              <w:rPr>
                <w:rFonts w:ascii="Arial"/>
                <w:color w:val="auto"/>
                <w:sz w:val="21"/>
                <w:highlight w:val="none"/>
              </w:rPr>
            </w:pPr>
          </w:p>
          <w:p w14:paraId="3383DC19">
            <w:pPr>
              <w:pStyle w:val="18"/>
              <w:spacing w:before="68" w:line="222" w:lineRule="auto"/>
              <w:ind w:left="209"/>
              <w:rPr>
                <w:color w:val="auto"/>
                <w:highlight w:val="none"/>
              </w:rPr>
            </w:pPr>
            <w:r>
              <w:rPr>
                <w:color w:val="auto"/>
                <w:spacing w:val="-2"/>
                <w:highlight w:val="none"/>
              </w:rPr>
              <w:t>序号</w:t>
            </w:r>
          </w:p>
        </w:tc>
        <w:tc>
          <w:tcPr>
            <w:tcW w:w="3069" w:type="dxa"/>
            <w:tcBorders>
              <w:top w:val="single" w:color="000000" w:sz="4" w:space="0"/>
            </w:tcBorders>
            <w:vAlign w:val="top"/>
          </w:tcPr>
          <w:p w14:paraId="2DE1766A">
            <w:pPr>
              <w:spacing w:line="257" w:lineRule="auto"/>
              <w:rPr>
                <w:rFonts w:ascii="Arial"/>
                <w:color w:val="auto"/>
                <w:sz w:val="21"/>
                <w:highlight w:val="none"/>
              </w:rPr>
            </w:pPr>
          </w:p>
          <w:p w14:paraId="103318FC">
            <w:pPr>
              <w:pStyle w:val="18"/>
              <w:spacing w:before="68" w:line="221" w:lineRule="auto"/>
              <w:ind w:left="1119"/>
              <w:rPr>
                <w:color w:val="auto"/>
                <w:highlight w:val="none"/>
              </w:rPr>
            </w:pPr>
            <w:r>
              <w:rPr>
                <w:color w:val="auto"/>
                <w:spacing w:val="-2"/>
                <w:highlight w:val="none"/>
              </w:rPr>
              <w:t>项目名称</w:t>
            </w:r>
          </w:p>
        </w:tc>
        <w:tc>
          <w:tcPr>
            <w:tcW w:w="1525" w:type="dxa"/>
            <w:tcBorders>
              <w:top w:val="single" w:color="000000" w:sz="4" w:space="0"/>
            </w:tcBorders>
            <w:vAlign w:val="top"/>
          </w:tcPr>
          <w:p w14:paraId="5B01A76A">
            <w:pPr>
              <w:spacing w:line="257" w:lineRule="auto"/>
              <w:rPr>
                <w:rFonts w:ascii="Arial"/>
                <w:color w:val="auto"/>
                <w:sz w:val="21"/>
                <w:highlight w:val="none"/>
              </w:rPr>
            </w:pPr>
          </w:p>
          <w:p w14:paraId="73052978">
            <w:pPr>
              <w:pStyle w:val="18"/>
              <w:spacing w:before="68" w:line="221" w:lineRule="auto"/>
              <w:ind w:left="351"/>
              <w:rPr>
                <w:color w:val="auto"/>
                <w:highlight w:val="none"/>
              </w:rPr>
            </w:pPr>
            <w:r>
              <w:rPr>
                <w:color w:val="auto"/>
                <w:spacing w:val="-1"/>
                <w:highlight w:val="none"/>
              </w:rPr>
              <w:t>计量单位</w:t>
            </w:r>
          </w:p>
        </w:tc>
        <w:tc>
          <w:tcPr>
            <w:tcW w:w="1525" w:type="dxa"/>
            <w:tcBorders>
              <w:top w:val="single" w:color="000000" w:sz="4" w:space="0"/>
            </w:tcBorders>
            <w:vAlign w:val="top"/>
          </w:tcPr>
          <w:p w14:paraId="21F25E71">
            <w:pPr>
              <w:pStyle w:val="18"/>
              <w:spacing w:before="187" w:line="241" w:lineRule="auto"/>
              <w:ind w:left="360"/>
              <w:rPr>
                <w:color w:val="auto"/>
                <w:highlight w:val="none"/>
              </w:rPr>
            </w:pPr>
            <w:r>
              <w:rPr>
                <w:color w:val="auto"/>
                <w:spacing w:val="-2"/>
                <w:highlight w:val="none"/>
              </w:rPr>
              <w:t>暂定金额</w:t>
            </w:r>
          </w:p>
          <w:p w14:paraId="54D5D2AE">
            <w:pPr>
              <w:pStyle w:val="18"/>
              <w:spacing w:line="221" w:lineRule="auto"/>
              <w:ind w:left="465"/>
              <w:rPr>
                <w:color w:val="auto"/>
                <w:highlight w:val="none"/>
              </w:rPr>
            </w:pPr>
            <w:r>
              <w:rPr>
                <w:color w:val="auto"/>
                <w:spacing w:val="-5"/>
                <w:highlight w:val="none"/>
              </w:rPr>
              <w:t>（元）</w:t>
            </w:r>
          </w:p>
        </w:tc>
        <w:tc>
          <w:tcPr>
            <w:tcW w:w="1530" w:type="dxa"/>
            <w:tcBorders>
              <w:top w:val="single" w:color="000000" w:sz="4" w:space="0"/>
              <w:right w:val="single" w:color="000000" w:sz="4" w:space="0"/>
            </w:tcBorders>
            <w:vAlign w:val="top"/>
          </w:tcPr>
          <w:p w14:paraId="3E80DF43">
            <w:pPr>
              <w:spacing w:line="257" w:lineRule="auto"/>
              <w:rPr>
                <w:rFonts w:ascii="Arial"/>
                <w:color w:val="auto"/>
                <w:sz w:val="21"/>
                <w:highlight w:val="none"/>
              </w:rPr>
            </w:pPr>
          </w:p>
          <w:p w14:paraId="5E4084D1">
            <w:pPr>
              <w:pStyle w:val="18"/>
              <w:spacing w:before="68" w:line="222" w:lineRule="auto"/>
              <w:ind w:left="569"/>
              <w:rPr>
                <w:color w:val="auto"/>
                <w:highlight w:val="none"/>
              </w:rPr>
            </w:pPr>
            <w:r>
              <w:rPr>
                <w:color w:val="auto"/>
                <w:spacing w:val="-3"/>
                <w:highlight w:val="none"/>
              </w:rPr>
              <w:t>备注</w:t>
            </w:r>
          </w:p>
        </w:tc>
      </w:tr>
      <w:tr w14:paraId="1879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298BA23A">
            <w:pPr>
              <w:rPr>
                <w:rFonts w:ascii="Arial"/>
                <w:color w:val="auto"/>
                <w:sz w:val="21"/>
                <w:highlight w:val="none"/>
              </w:rPr>
            </w:pPr>
          </w:p>
        </w:tc>
        <w:tc>
          <w:tcPr>
            <w:tcW w:w="3069" w:type="dxa"/>
            <w:vAlign w:val="top"/>
          </w:tcPr>
          <w:p w14:paraId="3B0433D3">
            <w:pPr>
              <w:rPr>
                <w:rFonts w:ascii="Arial"/>
                <w:color w:val="auto"/>
                <w:sz w:val="21"/>
                <w:highlight w:val="none"/>
              </w:rPr>
            </w:pPr>
          </w:p>
        </w:tc>
        <w:tc>
          <w:tcPr>
            <w:tcW w:w="1525" w:type="dxa"/>
            <w:vAlign w:val="top"/>
          </w:tcPr>
          <w:p w14:paraId="4C2C0555">
            <w:pPr>
              <w:rPr>
                <w:rFonts w:ascii="Arial"/>
                <w:color w:val="auto"/>
                <w:sz w:val="21"/>
                <w:highlight w:val="none"/>
              </w:rPr>
            </w:pPr>
          </w:p>
        </w:tc>
        <w:tc>
          <w:tcPr>
            <w:tcW w:w="1525" w:type="dxa"/>
            <w:vAlign w:val="top"/>
          </w:tcPr>
          <w:p w14:paraId="4ED9647B">
            <w:pPr>
              <w:rPr>
                <w:rFonts w:ascii="Arial"/>
                <w:color w:val="auto"/>
                <w:sz w:val="21"/>
                <w:highlight w:val="none"/>
              </w:rPr>
            </w:pPr>
          </w:p>
        </w:tc>
        <w:tc>
          <w:tcPr>
            <w:tcW w:w="1530" w:type="dxa"/>
            <w:tcBorders>
              <w:right w:val="single" w:color="000000" w:sz="4" w:space="0"/>
            </w:tcBorders>
            <w:vAlign w:val="top"/>
          </w:tcPr>
          <w:p w14:paraId="52FBBE7C">
            <w:pPr>
              <w:rPr>
                <w:rFonts w:ascii="Arial"/>
                <w:color w:val="auto"/>
                <w:sz w:val="21"/>
                <w:highlight w:val="none"/>
              </w:rPr>
            </w:pPr>
          </w:p>
        </w:tc>
      </w:tr>
      <w:tr w14:paraId="471D0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14:paraId="32C70E52">
            <w:pPr>
              <w:rPr>
                <w:rFonts w:ascii="Arial"/>
                <w:color w:val="auto"/>
                <w:sz w:val="21"/>
                <w:highlight w:val="none"/>
              </w:rPr>
            </w:pPr>
          </w:p>
        </w:tc>
        <w:tc>
          <w:tcPr>
            <w:tcW w:w="3069" w:type="dxa"/>
            <w:vAlign w:val="top"/>
          </w:tcPr>
          <w:p w14:paraId="5D1ACFCB">
            <w:pPr>
              <w:rPr>
                <w:rFonts w:ascii="Arial"/>
                <w:color w:val="auto"/>
                <w:sz w:val="21"/>
                <w:highlight w:val="none"/>
              </w:rPr>
            </w:pPr>
          </w:p>
        </w:tc>
        <w:tc>
          <w:tcPr>
            <w:tcW w:w="1525" w:type="dxa"/>
            <w:vAlign w:val="top"/>
          </w:tcPr>
          <w:p w14:paraId="1D7542B4">
            <w:pPr>
              <w:rPr>
                <w:rFonts w:ascii="Arial"/>
                <w:color w:val="auto"/>
                <w:sz w:val="21"/>
                <w:highlight w:val="none"/>
              </w:rPr>
            </w:pPr>
          </w:p>
        </w:tc>
        <w:tc>
          <w:tcPr>
            <w:tcW w:w="1525" w:type="dxa"/>
            <w:vAlign w:val="top"/>
          </w:tcPr>
          <w:p w14:paraId="5BA3CDB0">
            <w:pPr>
              <w:rPr>
                <w:rFonts w:ascii="Arial"/>
                <w:color w:val="auto"/>
                <w:sz w:val="21"/>
                <w:highlight w:val="none"/>
              </w:rPr>
            </w:pPr>
          </w:p>
        </w:tc>
        <w:tc>
          <w:tcPr>
            <w:tcW w:w="1530" w:type="dxa"/>
            <w:tcBorders>
              <w:right w:val="single" w:color="000000" w:sz="4" w:space="0"/>
            </w:tcBorders>
            <w:vAlign w:val="top"/>
          </w:tcPr>
          <w:p w14:paraId="4785CC7F">
            <w:pPr>
              <w:rPr>
                <w:rFonts w:ascii="Arial"/>
                <w:color w:val="auto"/>
                <w:sz w:val="21"/>
                <w:highlight w:val="none"/>
              </w:rPr>
            </w:pPr>
          </w:p>
        </w:tc>
      </w:tr>
      <w:tr w14:paraId="542F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14:paraId="766AEC77">
            <w:pPr>
              <w:rPr>
                <w:rFonts w:ascii="Arial"/>
                <w:color w:val="auto"/>
                <w:sz w:val="21"/>
                <w:highlight w:val="none"/>
              </w:rPr>
            </w:pPr>
          </w:p>
        </w:tc>
        <w:tc>
          <w:tcPr>
            <w:tcW w:w="3069" w:type="dxa"/>
            <w:vAlign w:val="top"/>
          </w:tcPr>
          <w:p w14:paraId="1D84A419">
            <w:pPr>
              <w:rPr>
                <w:rFonts w:ascii="Arial"/>
                <w:color w:val="auto"/>
                <w:sz w:val="21"/>
                <w:highlight w:val="none"/>
              </w:rPr>
            </w:pPr>
          </w:p>
        </w:tc>
        <w:tc>
          <w:tcPr>
            <w:tcW w:w="1525" w:type="dxa"/>
            <w:vAlign w:val="top"/>
          </w:tcPr>
          <w:p w14:paraId="5EB9CCD1">
            <w:pPr>
              <w:rPr>
                <w:rFonts w:ascii="Arial"/>
                <w:color w:val="auto"/>
                <w:sz w:val="21"/>
                <w:highlight w:val="none"/>
              </w:rPr>
            </w:pPr>
          </w:p>
        </w:tc>
        <w:tc>
          <w:tcPr>
            <w:tcW w:w="1525" w:type="dxa"/>
            <w:vAlign w:val="top"/>
          </w:tcPr>
          <w:p w14:paraId="6F210ECB">
            <w:pPr>
              <w:rPr>
                <w:rFonts w:ascii="Arial"/>
                <w:color w:val="auto"/>
                <w:sz w:val="21"/>
                <w:highlight w:val="none"/>
              </w:rPr>
            </w:pPr>
          </w:p>
        </w:tc>
        <w:tc>
          <w:tcPr>
            <w:tcW w:w="1530" w:type="dxa"/>
            <w:tcBorders>
              <w:right w:val="single" w:color="000000" w:sz="4" w:space="0"/>
            </w:tcBorders>
            <w:vAlign w:val="top"/>
          </w:tcPr>
          <w:p w14:paraId="16295A9F">
            <w:pPr>
              <w:rPr>
                <w:rFonts w:ascii="Arial"/>
                <w:color w:val="auto"/>
                <w:sz w:val="21"/>
                <w:highlight w:val="none"/>
              </w:rPr>
            </w:pPr>
          </w:p>
        </w:tc>
      </w:tr>
      <w:tr w14:paraId="21BE6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45FAC45D">
            <w:pPr>
              <w:rPr>
                <w:rFonts w:ascii="Arial"/>
                <w:color w:val="auto"/>
                <w:sz w:val="21"/>
                <w:highlight w:val="none"/>
              </w:rPr>
            </w:pPr>
          </w:p>
        </w:tc>
        <w:tc>
          <w:tcPr>
            <w:tcW w:w="3069" w:type="dxa"/>
            <w:vAlign w:val="top"/>
          </w:tcPr>
          <w:p w14:paraId="30FD2DB5">
            <w:pPr>
              <w:rPr>
                <w:rFonts w:ascii="Arial"/>
                <w:color w:val="auto"/>
                <w:sz w:val="21"/>
                <w:highlight w:val="none"/>
              </w:rPr>
            </w:pPr>
          </w:p>
        </w:tc>
        <w:tc>
          <w:tcPr>
            <w:tcW w:w="1525" w:type="dxa"/>
            <w:vAlign w:val="top"/>
          </w:tcPr>
          <w:p w14:paraId="6848E289">
            <w:pPr>
              <w:rPr>
                <w:rFonts w:ascii="Arial"/>
                <w:color w:val="auto"/>
                <w:sz w:val="21"/>
                <w:highlight w:val="none"/>
              </w:rPr>
            </w:pPr>
          </w:p>
        </w:tc>
        <w:tc>
          <w:tcPr>
            <w:tcW w:w="1525" w:type="dxa"/>
            <w:vAlign w:val="top"/>
          </w:tcPr>
          <w:p w14:paraId="2AB76C75">
            <w:pPr>
              <w:rPr>
                <w:rFonts w:ascii="Arial"/>
                <w:color w:val="auto"/>
                <w:sz w:val="21"/>
                <w:highlight w:val="none"/>
              </w:rPr>
            </w:pPr>
          </w:p>
        </w:tc>
        <w:tc>
          <w:tcPr>
            <w:tcW w:w="1530" w:type="dxa"/>
            <w:tcBorders>
              <w:right w:val="single" w:color="000000" w:sz="4" w:space="0"/>
            </w:tcBorders>
            <w:vAlign w:val="top"/>
          </w:tcPr>
          <w:p w14:paraId="74655F87">
            <w:pPr>
              <w:rPr>
                <w:rFonts w:ascii="Arial"/>
                <w:color w:val="auto"/>
                <w:sz w:val="21"/>
                <w:highlight w:val="none"/>
              </w:rPr>
            </w:pPr>
          </w:p>
        </w:tc>
      </w:tr>
      <w:tr w14:paraId="64856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5B8CA2C7">
            <w:pPr>
              <w:rPr>
                <w:rFonts w:ascii="Arial"/>
                <w:color w:val="auto"/>
                <w:sz w:val="21"/>
                <w:highlight w:val="none"/>
              </w:rPr>
            </w:pPr>
          </w:p>
        </w:tc>
        <w:tc>
          <w:tcPr>
            <w:tcW w:w="3069" w:type="dxa"/>
            <w:vAlign w:val="top"/>
          </w:tcPr>
          <w:p w14:paraId="107C5659">
            <w:pPr>
              <w:rPr>
                <w:rFonts w:ascii="Arial"/>
                <w:color w:val="auto"/>
                <w:sz w:val="21"/>
                <w:highlight w:val="none"/>
              </w:rPr>
            </w:pPr>
          </w:p>
        </w:tc>
        <w:tc>
          <w:tcPr>
            <w:tcW w:w="1525" w:type="dxa"/>
            <w:vAlign w:val="top"/>
          </w:tcPr>
          <w:p w14:paraId="49459B45">
            <w:pPr>
              <w:rPr>
                <w:rFonts w:ascii="Arial"/>
                <w:color w:val="auto"/>
                <w:sz w:val="21"/>
                <w:highlight w:val="none"/>
              </w:rPr>
            </w:pPr>
          </w:p>
        </w:tc>
        <w:tc>
          <w:tcPr>
            <w:tcW w:w="1525" w:type="dxa"/>
            <w:vAlign w:val="top"/>
          </w:tcPr>
          <w:p w14:paraId="2469621B">
            <w:pPr>
              <w:rPr>
                <w:rFonts w:ascii="Arial"/>
                <w:color w:val="auto"/>
                <w:sz w:val="21"/>
                <w:highlight w:val="none"/>
              </w:rPr>
            </w:pPr>
          </w:p>
        </w:tc>
        <w:tc>
          <w:tcPr>
            <w:tcW w:w="1530" w:type="dxa"/>
            <w:tcBorders>
              <w:right w:val="single" w:color="000000" w:sz="4" w:space="0"/>
            </w:tcBorders>
            <w:vAlign w:val="top"/>
          </w:tcPr>
          <w:p w14:paraId="49567F17">
            <w:pPr>
              <w:rPr>
                <w:rFonts w:ascii="Arial"/>
                <w:color w:val="auto"/>
                <w:sz w:val="21"/>
                <w:highlight w:val="none"/>
              </w:rPr>
            </w:pPr>
          </w:p>
        </w:tc>
      </w:tr>
      <w:tr w14:paraId="163A4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2FFA4480">
            <w:pPr>
              <w:rPr>
                <w:rFonts w:ascii="Arial"/>
                <w:color w:val="auto"/>
                <w:sz w:val="21"/>
                <w:highlight w:val="none"/>
              </w:rPr>
            </w:pPr>
          </w:p>
        </w:tc>
        <w:tc>
          <w:tcPr>
            <w:tcW w:w="3069" w:type="dxa"/>
            <w:vAlign w:val="top"/>
          </w:tcPr>
          <w:p w14:paraId="2AE05235">
            <w:pPr>
              <w:rPr>
                <w:rFonts w:ascii="Arial"/>
                <w:color w:val="auto"/>
                <w:sz w:val="21"/>
                <w:highlight w:val="none"/>
              </w:rPr>
            </w:pPr>
          </w:p>
        </w:tc>
        <w:tc>
          <w:tcPr>
            <w:tcW w:w="1525" w:type="dxa"/>
            <w:vAlign w:val="top"/>
          </w:tcPr>
          <w:p w14:paraId="005B7BB0">
            <w:pPr>
              <w:rPr>
                <w:rFonts w:ascii="Arial"/>
                <w:color w:val="auto"/>
                <w:sz w:val="21"/>
                <w:highlight w:val="none"/>
              </w:rPr>
            </w:pPr>
          </w:p>
        </w:tc>
        <w:tc>
          <w:tcPr>
            <w:tcW w:w="1525" w:type="dxa"/>
            <w:vAlign w:val="top"/>
          </w:tcPr>
          <w:p w14:paraId="11FEC43F">
            <w:pPr>
              <w:rPr>
                <w:rFonts w:ascii="Arial"/>
                <w:color w:val="auto"/>
                <w:sz w:val="21"/>
                <w:highlight w:val="none"/>
              </w:rPr>
            </w:pPr>
          </w:p>
        </w:tc>
        <w:tc>
          <w:tcPr>
            <w:tcW w:w="1530" w:type="dxa"/>
            <w:tcBorders>
              <w:right w:val="single" w:color="000000" w:sz="4" w:space="0"/>
            </w:tcBorders>
            <w:vAlign w:val="top"/>
          </w:tcPr>
          <w:p w14:paraId="5948E234">
            <w:pPr>
              <w:rPr>
                <w:rFonts w:ascii="Arial"/>
                <w:color w:val="auto"/>
                <w:sz w:val="21"/>
                <w:highlight w:val="none"/>
              </w:rPr>
            </w:pPr>
          </w:p>
        </w:tc>
      </w:tr>
      <w:tr w14:paraId="2C95C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51551191">
            <w:pPr>
              <w:rPr>
                <w:rFonts w:ascii="Arial"/>
                <w:color w:val="auto"/>
                <w:sz w:val="21"/>
                <w:highlight w:val="none"/>
              </w:rPr>
            </w:pPr>
          </w:p>
        </w:tc>
        <w:tc>
          <w:tcPr>
            <w:tcW w:w="3069" w:type="dxa"/>
            <w:vAlign w:val="top"/>
          </w:tcPr>
          <w:p w14:paraId="463F4A83">
            <w:pPr>
              <w:rPr>
                <w:rFonts w:ascii="Arial"/>
                <w:color w:val="auto"/>
                <w:sz w:val="21"/>
                <w:highlight w:val="none"/>
              </w:rPr>
            </w:pPr>
          </w:p>
        </w:tc>
        <w:tc>
          <w:tcPr>
            <w:tcW w:w="1525" w:type="dxa"/>
            <w:vAlign w:val="top"/>
          </w:tcPr>
          <w:p w14:paraId="54BAE241">
            <w:pPr>
              <w:rPr>
                <w:rFonts w:ascii="Arial"/>
                <w:color w:val="auto"/>
                <w:sz w:val="21"/>
                <w:highlight w:val="none"/>
              </w:rPr>
            </w:pPr>
          </w:p>
        </w:tc>
        <w:tc>
          <w:tcPr>
            <w:tcW w:w="1525" w:type="dxa"/>
            <w:vAlign w:val="top"/>
          </w:tcPr>
          <w:p w14:paraId="56F566F9">
            <w:pPr>
              <w:rPr>
                <w:rFonts w:ascii="Arial"/>
                <w:color w:val="auto"/>
                <w:sz w:val="21"/>
                <w:highlight w:val="none"/>
              </w:rPr>
            </w:pPr>
          </w:p>
        </w:tc>
        <w:tc>
          <w:tcPr>
            <w:tcW w:w="1530" w:type="dxa"/>
            <w:tcBorders>
              <w:right w:val="single" w:color="000000" w:sz="4" w:space="0"/>
            </w:tcBorders>
            <w:vAlign w:val="top"/>
          </w:tcPr>
          <w:p w14:paraId="32F87CCE">
            <w:pPr>
              <w:rPr>
                <w:rFonts w:ascii="Arial"/>
                <w:color w:val="auto"/>
                <w:sz w:val="21"/>
                <w:highlight w:val="none"/>
              </w:rPr>
            </w:pPr>
          </w:p>
        </w:tc>
      </w:tr>
      <w:tr w14:paraId="29D43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31E6E9BC">
            <w:pPr>
              <w:rPr>
                <w:rFonts w:ascii="Arial"/>
                <w:color w:val="auto"/>
                <w:sz w:val="21"/>
                <w:highlight w:val="none"/>
              </w:rPr>
            </w:pPr>
          </w:p>
        </w:tc>
        <w:tc>
          <w:tcPr>
            <w:tcW w:w="3069" w:type="dxa"/>
            <w:vAlign w:val="top"/>
          </w:tcPr>
          <w:p w14:paraId="2AD8B055">
            <w:pPr>
              <w:rPr>
                <w:rFonts w:ascii="Arial"/>
                <w:color w:val="auto"/>
                <w:sz w:val="21"/>
                <w:highlight w:val="none"/>
              </w:rPr>
            </w:pPr>
          </w:p>
        </w:tc>
        <w:tc>
          <w:tcPr>
            <w:tcW w:w="1525" w:type="dxa"/>
            <w:vAlign w:val="top"/>
          </w:tcPr>
          <w:p w14:paraId="35B79EDF">
            <w:pPr>
              <w:rPr>
                <w:rFonts w:ascii="Arial"/>
                <w:color w:val="auto"/>
                <w:sz w:val="21"/>
                <w:highlight w:val="none"/>
              </w:rPr>
            </w:pPr>
          </w:p>
        </w:tc>
        <w:tc>
          <w:tcPr>
            <w:tcW w:w="1525" w:type="dxa"/>
            <w:vAlign w:val="top"/>
          </w:tcPr>
          <w:p w14:paraId="42EA95E0">
            <w:pPr>
              <w:rPr>
                <w:rFonts w:ascii="Arial"/>
                <w:color w:val="auto"/>
                <w:sz w:val="21"/>
                <w:highlight w:val="none"/>
              </w:rPr>
            </w:pPr>
          </w:p>
        </w:tc>
        <w:tc>
          <w:tcPr>
            <w:tcW w:w="1530" w:type="dxa"/>
            <w:tcBorders>
              <w:right w:val="single" w:color="000000" w:sz="4" w:space="0"/>
            </w:tcBorders>
            <w:vAlign w:val="top"/>
          </w:tcPr>
          <w:p w14:paraId="6AA9B886">
            <w:pPr>
              <w:rPr>
                <w:rFonts w:ascii="Arial"/>
                <w:color w:val="auto"/>
                <w:sz w:val="21"/>
                <w:highlight w:val="none"/>
              </w:rPr>
            </w:pPr>
          </w:p>
        </w:tc>
      </w:tr>
      <w:tr w14:paraId="1D3E5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04FBB917">
            <w:pPr>
              <w:rPr>
                <w:rFonts w:ascii="Arial"/>
                <w:color w:val="auto"/>
                <w:sz w:val="21"/>
                <w:highlight w:val="none"/>
              </w:rPr>
            </w:pPr>
          </w:p>
        </w:tc>
        <w:tc>
          <w:tcPr>
            <w:tcW w:w="3069" w:type="dxa"/>
            <w:vAlign w:val="top"/>
          </w:tcPr>
          <w:p w14:paraId="73C7659C">
            <w:pPr>
              <w:rPr>
                <w:rFonts w:ascii="Arial"/>
                <w:color w:val="auto"/>
                <w:sz w:val="21"/>
                <w:highlight w:val="none"/>
              </w:rPr>
            </w:pPr>
          </w:p>
        </w:tc>
        <w:tc>
          <w:tcPr>
            <w:tcW w:w="1525" w:type="dxa"/>
            <w:vAlign w:val="top"/>
          </w:tcPr>
          <w:p w14:paraId="5015CA04">
            <w:pPr>
              <w:rPr>
                <w:rFonts w:ascii="Arial"/>
                <w:color w:val="auto"/>
                <w:sz w:val="21"/>
                <w:highlight w:val="none"/>
              </w:rPr>
            </w:pPr>
          </w:p>
        </w:tc>
        <w:tc>
          <w:tcPr>
            <w:tcW w:w="1525" w:type="dxa"/>
            <w:vAlign w:val="top"/>
          </w:tcPr>
          <w:p w14:paraId="36FD05D6">
            <w:pPr>
              <w:rPr>
                <w:rFonts w:ascii="Arial"/>
                <w:color w:val="auto"/>
                <w:sz w:val="21"/>
                <w:highlight w:val="none"/>
              </w:rPr>
            </w:pPr>
          </w:p>
        </w:tc>
        <w:tc>
          <w:tcPr>
            <w:tcW w:w="1530" w:type="dxa"/>
            <w:tcBorders>
              <w:right w:val="single" w:color="000000" w:sz="4" w:space="0"/>
            </w:tcBorders>
            <w:vAlign w:val="top"/>
          </w:tcPr>
          <w:p w14:paraId="602BCAF5">
            <w:pPr>
              <w:rPr>
                <w:rFonts w:ascii="Arial"/>
                <w:color w:val="auto"/>
                <w:sz w:val="21"/>
                <w:highlight w:val="none"/>
              </w:rPr>
            </w:pPr>
          </w:p>
        </w:tc>
      </w:tr>
      <w:tr w14:paraId="49DBD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5D61A290">
            <w:pPr>
              <w:rPr>
                <w:rFonts w:ascii="Arial"/>
                <w:color w:val="auto"/>
                <w:sz w:val="21"/>
                <w:highlight w:val="none"/>
              </w:rPr>
            </w:pPr>
          </w:p>
        </w:tc>
        <w:tc>
          <w:tcPr>
            <w:tcW w:w="3069" w:type="dxa"/>
            <w:vAlign w:val="top"/>
          </w:tcPr>
          <w:p w14:paraId="30D7CB0D">
            <w:pPr>
              <w:rPr>
                <w:rFonts w:ascii="Arial"/>
                <w:color w:val="auto"/>
                <w:sz w:val="21"/>
                <w:highlight w:val="none"/>
              </w:rPr>
            </w:pPr>
          </w:p>
        </w:tc>
        <w:tc>
          <w:tcPr>
            <w:tcW w:w="1525" w:type="dxa"/>
            <w:vAlign w:val="top"/>
          </w:tcPr>
          <w:p w14:paraId="0E0F64D9">
            <w:pPr>
              <w:rPr>
                <w:rFonts w:ascii="Arial"/>
                <w:color w:val="auto"/>
                <w:sz w:val="21"/>
                <w:highlight w:val="none"/>
              </w:rPr>
            </w:pPr>
          </w:p>
        </w:tc>
        <w:tc>
          <w:tcPr>
            <w:tcW w:w="1525" w:type="dxa"/>
            <w:vAlign w:val="top"/>
          </w:tcPr>
          <w:p w14:paraId="2CE93615">
            <w:pPr>
              <w:rPr>
                <w:rFonts w:ascii="Arial"/>
                <w:color w:val="auto"/>
                <w:sz w:val="21"/>
                <w:highlight w:val="none"/>
              </w:rPr>
            </w:pPr>
          </w:p>
        </w:tc>
        <w:tc>
          <w:tcPr>
            <w:tcW w:w="1530" w:type="dxa"/>
            <w:tcBorders>
              <w:right w:val="single" w:color="000000" w:sz="4" w:space="0"/>
            </w:tcBorders>
            <w:vAlign w:val="top"/>
          </w:tcPr>
          <w:p w14:paraId="7F6D014B">
            <w:pPr>
              <w:rPr>
                <w:rFonts w:ascii="Arial"/>
                <w:color w:val="auto"/>
                <w:sz w:val="21"/>
                <w:highlight w:val="none"/>
              </w:rPr>
            </w:pPr>
          </w:p>
        </w:tc>
      </w:tr>
      <w:tr w14:paraId="54F2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14:paraId="68C63DD1">
            <w:pPr>
              <w:spacing w:line="261" w:lineRule="auto"/>
              <w:rPr>
                <w:rFonts w:ascii="Arial"/>
                <w:color w:val="auto"/>
                <w:sz w:val="21"/>
                <w:highlight w:val="none"/>
              </w:rPr>
            </w:pPr>
          </w:p>
          <w:p w14:paraId="74204A83">
            <w:pPr>
              <w:pStyle w:val="18"/>
              <w:spacing w:before="68" w:line="222" w:lineRule="auto"/>
              <w:ind w:left="2510"/>
              <w:rPr>
                <w:color w:val="auto"/>
                <w:highlight w:val="none"/>
              </w:rPr>
            </w:pPr>
            <w:r>
              <w:rPr>
                <w:color w:val="auto"/>
                <w:spacing w:val="-2"/>
                <w:highlight w:val="none"/>
              </w:rPr>
              <w:t>合计</w:t>
            </w:r>
          </w:p>
        </w:tc>
        <w:tc>
          <w:tcPr>
            <w:tcW w:w="1525" w:type="dxa"/>
            <w:tcBorders>
              <w:bottom w:val="single" w:color="000000" w:sz="4" w:space="0"/>
            </w:tcBorders>
            <w:vAlign w:val="top"/>
          </w:tcPr>
          <w:p w14:paraId="3526DB54">
            <w:pPr>
              <w:rPr>
                <w:rFonts w:ascii="Arial"/>
                <w:color w:val="auto"/>
                <w:sz w:val="21"/>
                <w:highlight w:val="none"/>
              </w:rPr>
            </w:pPr>
          </w:p>
        </w:tc>
        <w:tc>
          <w:tcPr>
            <w:tcW w:w="1530" w:type="dxa"/>
            <w:tcBorders>
              <w:bottom w:val="single" w:color="000000" w:sz="4" w:space="0"/>
              <w:right w:val="single" w:color="000000" w:sz="4" w:space="0"/>
            </w:tcBorders>
            <w:vAlign w:val="top"/>
          </w:tcPr>
          <w:p w14:paraId="34E2E70A">
            <w:pPr>
              <w:spacing w:line="360" w:lineRule="auto"/>
              <w:rPr>
                <w:rFonts w:ascii="Arial"/>
                <w:color w:val="auto"/>
                <w:sz w:val="21"/>
                <w:highlight w:val="none"/>
              </w:rPr>
            </w:pPr>
          </w:p>
          <w:p w14:paraId="64F24B40">
            <w:pPr>
              <w:pStyle w:val="18"/>
              <w:spacing w:before="68" w:line="142" w:lineRule="exact"/>
              <w:ind w:left="666"/>
              <w:rPr>
                <w:color w:val="auto"/>
                <w:highlight w:val="none"/>
              </w:rPr>
            </w:pPr>
            <w:r>
              <w:rPr>
                <w:color w:val="auto"/>
                <w:position w:val="-3"/>
                <w:highlight w:val="none"/>
              </w:rPr>
              <w:t>—</w:t>
            </w:r>
          </w:p>
        </w:tc>
      </w:tr>
    </w:tbl>
    <w:p w14:paraId="41F4A960">
      <w:pPr>
        <w:spacing w:before="149" w:line="228" w:lineRule="auto"/>
        <w:ind w:left="516" w:right="87" w:hanging="422"/>
        <w:rPr>
          <w:rFonts w:ascii="宋体" w:hAnsi="宋体" w:eastAsia="宋体" w:cs="宋体"/>
          <w:color w:val="auto"/>
          <w:sz w:val="21"/>
          <w:szCs w:val="21"/>
          <w:highlight w:val="none"/>
        </w:rPr>
      </w:pPr>
      <w:r>
        <w:rPr>
          <w:rFonts w:ascii="宋体" w:hAnsi="宋体" w:eastAsia="宋体" w:cs="宋体"/>
          <w:color w:val="auto"/>
          <w:sz w:val="21"/>
          <w:szCs w:val="21"/>
          <w:highlight w:val="none"/>
        </w:rPr>
        <w:t>注：此表由招标人填写，如不能详列明细，也可只列暂列金总额， 投标人应将上述暂列金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额计入投标总价中。</w:t>
      </w:r>
    </w:p>
    <w:p w14:paraId="265EBE11">
      <w:pPr>
        <w:spacing w:line="228" w:lineRule="auto"/>
        <w:rPr>
          <w:rFonts w:ascii="宋体" w:hAnsi="宋体" w:eastAsia="宋体" w:cs="宋体"/>
          <w:color w:val="auto"/>
          <w:sz w:val="21"/>
          <w:szCs w:val="21"/>
          <w:highlight w:val="none"/>
        </w:rPr>
        <w:sectPr>
          <w:footerReference r:id="rId134" w:type="default"/>
          <w:pgSz w:w="11905" w:h="16839"/>
          <w:pgMar w:top="400" w:right="1709" w:bottom="1004" w:left="1709" w:header="0" w:footer="828" w:gutter="0"/>
          <w:pgNumType w:fmt="decimal"/>
          <w:cols w:space="720" w:num="1"/>
        </w:sectPr>
      </w:pPr>
    </w:p>
    <w:p w14:paraId="3CEA3EC1">
      <w:pPr>
        <w:pStyle w:val="5"/>
        <w:spacing w:line="267" w:lineRule="auto"/>
        <w:rPr>
          <w:color w:val="auto"/>
          <w:highlight w:val="none"/>
        </w:rPr>
      </w:pPr>
    </w:p>
    <w:p w14:paraId="2FCF9EFD">
      <w:pPr>
        <w:pStyle w:val="5"/>
        <w:spacing w:line="267" w:lineRule="auto"/>
        <w:rPr>
          <w:color w:val="auto"/>
          <w:highlight w:val="none"/>
        </w:rPr>
      </w:pPr>
    </w:p>
    <w:p w14:paraId="73345924">
      <w:pPr>
        <w:pStyle w:val="5"/>
        <w:spacing w:line="268" w:lineRule="auto"/>
        <w:rPr>
          <w:color w:val="auto"/>
          <w:highlight w:val="none"/>
        </w:rPr>
      </w:pPr>
    </w:p>
    <w:p w14:paraId="5A0ED8EF">
      <w:pPr>
        <w:pStyle w:val="5"/>
        <w:spacing w:line="268" w:lineRule="auto"/>
        <w:rPr>
          <w:color w:val="auto"/>
          <w:highlight w:val="none"/>
        </w:rPr>
      </w:pPr>
    </w:p>
    <w:p w14:paraId="7DA4785F">
      <w:pPr>
        <w:spacing w:before="78" w:line="219" w:lineRule="auto"/>
        <w:ind w:left="62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4.12-2 </w:t>
      </w:r>
      <w:r>
        <w:rPr>
          <w:rFonts w:ascii="黑体" w:hAnsi="黑体" w:eastAsia="黑体" w:cs="黑体"/>
          <w:color w:val="auto"/>
          <w:spacing w:val="-1"/>
          <w:sz w:val="24"/>
          <w:szCs w:val="24"/>
          <w:highlight w:val="none"/>
        </w:rPr>
        <w:t>材料（工程设备）暂估单价及调整表</w:t>
      </w:r>
    </w:p>
    <w:p w14:paraId="7C85A807">
      <w:pPr>
        <w:pStyle w:val="5"/>
        <w:spacing w:line="383" w:lineRule="auto"/>
        <w:rPr>
          <w:color w:val="auto"/>
          <w:highlight w:val="none"/>
        </w:rPr>
      </w:pPr>
    </w:p>
    <w:p w14:paraId="43E1CD49">
      <w:pPr>
        <w:spacing w:before="88" w:line="225" w:lineRule="auto"/>
        <w:ind w:left="2545"/>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材料（工程设备）暂估单价及调整表</w:t>
      </w:r>
    </w:p>
    <w:p w14:paraId="37680C78">
      <w:pPr>
        <w:spacing w:line="163" w:lineRule="exact"/>
        <w:rPr>
          <w:color w:val="auto"/>
          <w:highlight w:val="none"/>
        </w:rPr>
      </w:pPr>
    </w:p>
    <w:p w14:paraId="5821B737">
      <w:pPr>
        <w:spacing w:line="163" w:lineRule="exact"/>
        <w:rPr>
          <w:color w:val="auto"/>
          <w:highlight w:val="none"/>
        </w:rPr>
        <w:sectPr>
          <w:footerReference r:id="rId135" w:type="default"/>
          <w:pgSz w:w="11905" w:h="16839"/>
          <w:pgMar w:top="400" w:right="1171" w:bottom="1004" w:left="1176" w:header="0" w:footer="828" w:gutter="0"/>
          <w:pgNumType w:fmt="decimal"/>
          <w:cols w:equalWidth="0" w:num="1">
            <w:col w:w="9556"/>
          </w:cols>
        </w:sectPr>
      </w:pPr>
    </w:p>
    <w:p w14:paraId="0EEC1A22">
      <w:pPr>
        <w:spacing w:before="40" w:line="186" w:lineRule="auto"/>
        <w:ind w:left="12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工程名称：</w:t>
      </w:r>
    </w:p>
    <w:p w14:paraId="2D7F0BF8">
      <w:pPr>
        <w:pStyle w:val="5"/>
        <w:spacing w:line="14" w:lineRule="auto"/>
        <w:rPr>
          <w:color w:val="auto"/>
          <w:sz w:val="2"/>
          <w:highlight w:val="none"/>
        </w:rPr>
      </w:pPr>
      <w:r>
        <w:rPr>
          <w:color w:val="auto"/>
          <w:sz w:val="2"/>
          <w:szCs w:val="2"/>
          <w:highlight w:val="none"/>
        </w:rPr>
        <w:br w:type="column"/>
      </w:r>
    </w:p>
    <w:p w14:paraId="02862D22">
      <w:pPr>
        <w:spacing w:before="39" w:line="186" w:lineRule="auto"/>
        <w:rPr>
          <w:rFonts w:ascii="宋体" w:hAnsi="宋体" w:eastAsia="宋体" w:cs="宋体"/>
          <w:color w:val="auto"/>
          <w:sz w:val="20"/>
          <w:szCs w:val="20"/>
          <w:highlight w:val="none"/>
        </w:rPr>
      </w:pPr>
      <w:r>
        <w:rPr>
          <w:rFonts w:ascii="宋体" w:hAnsi="宋体" w:eastAsia="宋体" w:cs="宋体"/>
          <w:color w:val="auto"/>
          <w:sz w:val="20"/>
          <w:szCs w:val="20"/>
          <w:highlight w:val="none"/>
        </w:rPr>
        <w:t>标段名称：              第</w:t>
      </w:r>
    </w:p>
    <w:p w14:paraId="6D9FBFA5">
      <w:pPr>
        <w:pStyle w:val="5"/>
        <w:spacing w:line="14" w:lineRule="auto"/>
        <w:rPr>
          <w:color w:val="auto"/>
          <w:sz w:val="2"/>
          <w:highlight w:val="none"/>
        </w:rPr>
      </w:pPr>
      <w:r>
        <w:rPr>
          <w:color w:val="auto"/>
          <w:sz w:val="2"/>
          <w:szCs w:val="2"/>
          <w:highlight w:val="none"/>
        </w:rPr>
        <w:br w:type="column"/>
      </w:r>
    </w:p>
    <w:p w14:paraId="7B755ECF">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页 共</w:t>
      </w:r>
      <w:r>
        <w:rPr>
          <w:rFonts w:ascii="宋体" w:hAnsi="宋体" w:eastAsia="宋体" w:cs="宋体"/>
          <w:color w:val="auto"/>
          <w:spacing w:val="7"/>
          <w:sz w:val="20"/>
          <w:szCs w:val="20"/>
          <w:highlight w:val="none"/>
        </w:rPr>
        <w:t xml:space="preserve">  </w:t>
      </w:r>
      <w:r>
        <w:rPr>
          <w:rFonts w:ascii="宋体" w:hAnsi="宋体" w:eastAsia="宋体" w:cs="宋体"/>
          <w:color w:val="auto"/>
          <w:spacing w:val="-4"/>
          <w:sz w:val="20"/>
          <w:szCs w:val="20"/>
          <w:highlight w:val="none"/>
        </w:rPr>
        <w:t>页</w:t>
      </w:r>
    </w:p>
    <w:p w14:paraId="7F87B1B2">
      <w:pPr>
        <w:spacing w:line="186" w:lineRule="auto"/>
        <w:rPr>
          <w:rFonts w:ascii="宋体" w:hAnsi="宋体" w:eastAsia="宋体" w:cs="宋体"/>
          <w:color w:val="auto"/>
          <w:sz w:val="20"/>
          <w:szCs w:val="20"/>
          <w:highlight w:val="none"/>
        </w:rPr>
        <w:sectPr>
          <w:type w:val="continuous"/>
          <w:pgSz w:w="11905" w:h="16839"/>
          <w:pgMar w:top="400" w:right="1171" w:bottom="1004" w:left="1176" w:header="0" w:footer="828" w:gutter="0"/>
          <w:pgNumType w:fmt="decimal"/>
          <w:cols w:equalWidth="0" w:num="3">
            <w:col w:w="5647" w:space="100"/>
            <w:col w:w="2714" w:space="100"/>
            <w:col w:w="996"/>
          </w:cols>
        </w:sectPr>
      </w:pPr>
    </w:p>
    <w:p w14:paraId="2E8B3BC7">
      <w:pPr>
        <w:spacing w:line="96" w:lineRule="exact"/>
        <w:rPr>
          <w:color w:val="auto"/>
          <w:highlight w:val="none"/>
        </w:rPr>
      </w:pPr>
    </w:p>
    <w:tbl>
      <w:tblPr>
        <w:tblStyle w:val="17"/>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14:paraId="53386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14:paraId="665A8E9C">
            <w:pPr>
              <w:pStyle w:val="18"/>
              <w:spacing w:before="177" w:line="211" w:lineRule="auto"/>
              <w:ind w:left="369"/>
              <w:rPr>
                <w:color w:val="auto"/>
                <w:sz w:val="20"/>
                <w:szCs w:val="20"/>
                <w:highlight w:val="none"/>
              </w:rPr>
            </w:pPr>
            <w:r>
              <w:rPr>
                <w:color w:val="auto"/>
                <w:spacing w:val="30"/>
                <w:sz w:val="20"/>
                <w:szCs w:val="20"/>
                <w:highlight w:val="none"/>
              </w:rPr>
              <w:t>序号</w:t>
            </w:r>
          </w:p>
        </w:tc>
        <w:tc>
          <w:tcPr>
            <w:tcW w:w="2578" w:type="dxa"/>
            <w:vMerge w:val="restart"/>
            <w:tcBorders>
              <w:bottom w:val="nil"/>
            </w:tcBorders>
            <w:vAlign w:val="top"/>
          </w:tcPr>
          <w:p w14:paraId="76B20ED7">
            <w:pPr>
              <w:spacing w:line="302" w:lineRule="auto"/>
              <w:rPr>
                <w:rFonts w:ascii="Arial"/>
                <w:color w:val="auto"/>
                <w:sz w:val="21"/>
                <w:highlight w:val="none"/>
              </w:rPr>
            </w:pPr>
          </w:p>
          <w:p w14:paraId="60C46A06">
            <w:pPr>
              <w:pStyle w:val="18"/>
              <w:spacing w:before="65" w:line="230" w:lineRule="auto"/>
              <w:ind w:left="495" w:right="484" w:hanging="2"/>
              <w:rPr>
                <w:color w:val="auto"/>
                <w:sz w:val="20"/>
                <w:szCs w:val="20"/>
                <w:highlight w:val="none"/>
              </w:rPr>
            </w:pPr>
            <w:r>
              <w:rPr>
                <w:color w:val="auto"/>
                <w:spacing w:val="-3"/>
                <w:sz w:val="20"/>
                <w:szCs w:val="20"/>
                <w:highlight w:val="none"/>
              </w:rPr>
              <w:t>材料（工程设备）</w:t>
            </w:r>
            <w:r>
              <w:rPr>
                <w:color w:val="auto"/>
                <w:spacing w:val="4"/>
                <w:sz w:val="20"/>
                <w:szCs w:val="20"/>
                <w:highlight w:val="none"/>
              </w:rPr>
              <w:t xml:space="preserve"> </w:t>
            </w:r>
            <w:r>
              <w:rPr>
                <w:color w:val="auto"/>
                <w:spacing w:val="-1"/>
                <w:sz w:val="20"/>
                <w:szCs w:val="20"/>
                <w:highlight w:val="none"/>
              </w:rPr>
              <w:t>名称、规格、型号</w:t>
            </w:r>
          </w:p>
        </w:tc>
        <w:tc>
          <w:tcPr>
            <w:tcW w:w="806" w:type="dxa"/>
            <w:vMerge w:val="restart"/>
            <w:tcBorders>
              <w:bottom w:val="nil"/>
            </w:tcBorders>
            <w:vAlign w:val="top"/>
          </w:tcPr>
          <w:p w14:paraId="78DB0791">
            <w:pPr>
              <w:spacing w:line="302" w:lineRule="auto"/>
              <w:rPr>
                <w:rFonts w:ascii="Arial"/>
                <w:color w:val="auto"/>
                <w:sz w:val="21"/>
                <w:highlight w:val="none"/>
              </w:rPr>
            </w:pPr>
          </w:p>
          <w:p w14:paraId="14ECF562">
            <w:pPr>
              <w:pStyle w:val="18"/>
              <w:spacing w:before="65" w:line="239" w:lineRule="auto"/>
              <w:ind w:left="210"/>
              <w:rPr>
                <w:color w:val="auto"/>
                <w:sz w:val="20"/>
                <w:szCs w:val="20"/>
                <w:highlight w:val="none"/>
              </w:rPr>
            </w:pPr>
            <w:r>
              <w:rPr>
                <w:color w:val="auto"/>
                <w:spacing w:val="-2"/>
                <w:sz w:val="20"/>
                <w:szCs w:val="20"/>
                <w:highlight w:val="none"/>
              </w:rPr>
              <w:t>计量</w:t>
            </w:r>
          </w:p>
          <w:p w14:paraId="7FB2D1F3">
            <w:pPr>
              <w:pStyle w:val="18"/>
              <w:spacing w:line="221" w:lineRule="auto"/>
              <w:ind w:left="212"/>
              <w:rPr>
                <w:color w:val="auto"/>
                <w:sz w:val="20"/>
                <w:szCs w:val="20"/>
                <w:highlight w:val="none"/>
              </w:rPr>
            </w:pPr>
            <w:r>
              <w:rPr>
                <w:color w:val="auto"/>
                <w:spacing w:val="-2"/>
                <w:sz w:val="20"/>
                <w:szCs w:val="20"/>
                <w:highlight w:val="none"/>
              </w:rPr>
              <w:t>单位</w:t>
            </w:r>
          </w:p>
        </w:tc>
        <w:tc>
          <w:tcPr>
            <w:tcW w:w="1118" w:type="dxa"/>
            <w:gridSpan w:val="2"/>
            <w:vAlign w:val="top"/>
          </w:tcPr>
          <w:p w14:paraId="27C13042">
            <w:pPr>
              <w:pStyle w:val="18"/>
              <w:spacing w:before="234" w:line="221" w:lineRule="auto"/>
              <w:ind w:left="366"/>
              <w:rPr>
                <w:color w:val="auto"/>
                <w:sz w:val="20"/>
                <w:szCs w:val="20"/>
                <w:highlight w:val="none"/>
              </w:rPr>
            </w:pPr>
            <w:r>
              <w:rPr>
                <w:color w:val="auto"/>
                <w:spacing w:val="-2"/>
                <w:sz w:val="20"/>
                <w:szCs w:val="20"/>
                <w:highlight w:val="none"/>
              </w:rPr>
              <w:t>数量</w:t>
            </w:r>
          </w:p>
        </w:tc>
        <w:tc>
          <w:tcPr>
            <w:tcW w:w="1238" w:type="dxa"/>
            <w:gridSpan w:val="2"/>
            <w:vAlign w:val="top"/>
          </w:tcPr>
          <w:p w14:paraId="2EA3DD38">
            <w:pPr>
              <w:pStyle w:val="18"/>
              <w:spacing w:before="234" w:line="220" w:lineRule="auto"/>
              <w:ind w:left="132"/>
              <w:rPr>
                <w:color w:val="auto"/>
                <w:sz w:val="20"/>
                <w:szCs w:val="20"/>
                <w:highlight w:val="none"/>
              </w:rPr>
            </w:pPr>
            <w:r>
              <w:rPr>
                <w:color w:val="auto"/>
                <w:spacing w:val="-2"/>
                <w:sz w:val="20"/>
                <w:szCs w:val="20"/>
                <w:highlight w:val="none"/>
              </w:rPr>
              <w:t>暂估（元）</w:t>
            </w:r>
          </w:p>
        </w:tc>
        <w:tc>
          <w:tcPr>
            <w:tcW w:w="1363" w:type="dxa"/>
            <w:gridSpan w:val="2"/>
            <w:vAlign w:val="top"/>
          </w:tcPr>
          <w:p w14:paraId="1C386940">
            <w:pPr>
              <w:pStyle w:val="18"/>
              <w:spacing w:before="234" w:line="222" w:lineRule="auto"/>
              <w:ind w:left="188"/>
              <w:rPr>
                <w:color w:val="auto"/>
                <w:sz w:val="20"/>
                <w:szCs w:val="20"/>
                <w:highlight w:val="none"/>
              </w:rPr>
            </w:pPr>
            <w:r>
              <w:rPr>
                <w:color w:val="auto"/>
                <w:spacing w:val="-1"/>
                <w:sz w:val="20"/>
                <w:szCs w:val="20"/>
                <w:highlight w:val="none"/>
              </w:rPr>
              <w:t>确认（元）</w:t>
            </w:r>
          </w:p>
        </w:tc>
        <w:tc>
          <w:tcPr>
            <w:tcW w:w="1252" w:type="dxa"/>
            <w:gridSpan w:val="2"/>
            <w:vAlign w:val="top"/>
          </w:tcPr>
          <w:p w14:paraId="592A095B">
            <w:pPr>
              <w:pStyle w:val="18"/>
              <w:spacing w:before="105" w:line="239" w:lineRule="auto"/>
              <w:ind w:left="336"/>
              <w:rPr>
                <w:color w:val="auto"/>
                <w:sz w:val="20"/>
                <w:szCs w:val="20"/>
                <w:highlight w:val="none"/>
              </w:rPr>
            </w:pPr>
            <w:r>
              <w:rPr>
                <w:color w:val="auto"/>
                <w:spacing w:val="-2"/>
                <w:sz w:val="20"/>
                <w:szCs w:val="20"/>
                <w:highlight w:val="none"/>
              </w:rPr>
              <w:t>差额±</w:t>
            </w:r>
          </w:p>
          <w:p w14:paraId="161F3F01">
            <w:pPr>
              <w:pStyle w:val="18"/>
              <w:spacing w:line="221" w:lineRule="auto"/>
              <w:ind w:left="340"/>
              <w:rPr>
                <w:color w:val="auto"/>
                <w:sz w:val="20"/>
                <w:szCs w:val="20"/>
                <w:highlight w:val="none"/>
              </w:rPr>
            </w:pPr>
            <w:r>
              <w:rPr>
                <w:color w:val="auto"/>
                <w:spacing w:val="-4"/>
                <w:sz w:val="20"/>
                <w:szCs w:val="20"/>
                <w:highlight w:val="none"/>
              </w:rPr>
              <w:t>（元）</w:t>
            </w:r>
          </w:p>
        </w:tc>
        <w:tc>
          <w:tcPr>
            <w:tcW w:w="634" w:type="dxa"/>
            <w:vMerge w:val="restart"/>
            <w:tcBorders>
              <w:bottom w:val="nil"/>
            </w:tcBorders>
            <w:vAlign w:val="top"/>
          </w:tcPr>
          <w:p w14:paraId="16F818A2">
            <w:pPr>
              <w:spacing w:line="431" w:lineRule="auto"/>
              <w:rPr>
                <w:rFonts w:ascii="Arial"/>
                <w:color w:val="auto"/>
                <w:sz w:val="21"/>
                <w:highlight w:val="none"/>
              </w:rPr>
            </w:pPr>
          </w:p>
          <w:p w14:paraId="77C6E50B">
            <w:pPr>
              <w:pStyle w:val="18"/>
              <w:spacing w:before="65" w:line="222" w:lineRule="auto"/>
              <w:ind w:left="126"/>
              <w:rPr>
                <w:color w:val="auto"/>
                <w:sz w:val="20"/>
                <w:szCs w:val="20"/>
                <w:highlight w:val="none"/>
              </w:rPr>
            </w:pPr>
            <w:r>
              <w:rPr>
                <w:color w:val="auto"/>
                <w:spacing w:val="-2"/>
                <w:sz w:val="20"/>
                <w:szCs w:val="20"/>
                <w:highlight w:val="none"/>
              </w:rPr>
              <w:t>备注</w:t>
            </w:r>
          </w:p>
        </w:tc>
      </w:tr>
      <w:tr w14:paraId="49EB7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14:paraId="23B29D05">
            <w:pPr>
              <w:rPr>
                <w:rFonts w:ascii="Arial"/>
                <w:color w:val="auto"/>
                <w:sz w:val="21"/>
                <w:highlight w:val="none"/>
              </w:rPr>
            </w:pPr>
          </w:p>
        </w:tc>
        <w:tc>
          <w:tcPr>
            <w:tcW w:w="2578" w:type="dxa"/>
            <w:vMerge w:val="continue"/>
            <w:tcBorders>
              <w:top w:val="nil"/>
            </w:tcBorders>
            <w:vAlign w:val="top"/>
          </w:tcPr>
          <w:p w14:paraId="22496F93">
            <w:pPr>
              <w:rPr>
                <w:rFonts w:ascii="Arial"/>
                <w:color w:val="auto"/>
                <w:sz w:val="21"/>
                <w:highlight w:val="none"/>
              </w:rPr>
            </w:pPr>
          </w:p>
        </w:tc>
        <w:tc>
          <w:tcPr>
            <w:tcW w:w="806" w:type="dxa"/>
            <w:vMerge w:val="continue"/>
            <w:tcBorders>
              <w:top w:val="nil"/>
            </w:tcBorders>
            <w:vAlign w:val="top"/>
          </w:tcPr>
          <w:p w14:paraId="4001A3BA">
            <w:pPr>
              <w:rPr>
                <w:rFonts w:ascii="Arial"/>
                <w:color w:val="auto"/>
                <w:sz w:val="21"/>
                <w:highlight w:val="none"/>
              </w:rPr>
            </w:pPr>
          </w:p>
        </w:tc>
        <w:tc>
          <w:tcPr>
            <w:tcW w:w="562" w:type="dxa"/>
            <w:textDirection w:val="tbRlV"/>
            <w:vAlign w:val="top"/>
          </w:tcPr>
          <w:p w14:paraId="504C2B71">
            <w:pPr>
              <w:pStyle w:val="18"/>
              <w:spacing w:before="180" w:line="208" w:lineRule="auto"/>
              <w:ind w:left="28"/>
              <w:rPr>
                <w:color w:val="auto"/>
                <w:sz w:val="20"/>
                <w:szCs w:val="20"/>
                <w:highlight w:val="none"/>
              </w:rPr>
            </w:pPr>
            <w:r>
              <w:rPr>
                <w:color w:val="auto"/>
                <w:spacing w:val="30"/>
                <w:sz w:val="20"/>
                <w:szCs w:val="20"/>
                <w:highlight w:val="none"/>
              </w:rPr>
              <w:t>暂估</w:t>
            </w:r>
          </w:p>
        </w:tc>
        <w:tc>
          <w:tcPr>
            <w:tcW w:w="556" w:type="dxa"/>
            <w:textDirection w:val="tbRlV"/>
            <w:vAlign w:val="top"/>
          </w:tcPr>
          <w:p w14:paraId="7650CB4C">
            <w:pPr>
              <w:pStyle w:val="18"/>
              <w:spacing w:before="174" w:line="210" w:lineRule="auto"/>
              <w:ind w:left="28"/>
              <w:rPr>
                <w:color w:val="auto"/>
                <w:sz w:val="20"/>
                <w:szCs w:val="20"/>
                <w:highlight w:val="none"/>
              </w:rPr>
            </w:pPr>
            <w:r>
              <w:rPr>
                <w:color w:val="auto"/>
                <w:spacing w:val="30"/>
                <w:sz w:val="20"/>
                <w:szCs w:val="20"/>
                <w:highlight w:val="none"/>
              </w:rPr>
              <w:t>确认</w:t>
            </w:r>
          </w:p>
        </w:tc>
        <w:tc>
          <w:tcPr>
            <w:tcW w:w="562" w:type="dxa"/>
            <w:textDirection w:val="tbRlV"/>
            <w:vAlign w:val="top"/>
          </w:tcPr>
          <w:p w14:paraId="1EB62D0D">
            <w:pPr>
              <w:pStyle w:val="18"/>
              <w:spacing w:before="179" w:line="207" w:lineRule="auto"/>
              <w:ind w:left="28"/>
              <w:rPr>
                <w:color w:val="auto"/>
                <w:sz w:val="20"/>
                <w:szCs w:val="20"/>
                <w:highlight w:val="none"/>
              </w:rPr>
            </w:pPr>
            <w:r>
              <w:rPr>
                <w:color w:val="auto"/>
                <w:spacing w:val="30"/>
                <w:sz w:val="20"/>
                <w:szCs w:val="20"/>
                <w:highlight w:val="none"/>
              </w:rPr>
              <w:t>单价</w:t>
            </w:r>
          </w:p>
        </w:tc>
        <w:tc>
          <w:tcPr>
            <w:tcW w:w="676" w:type="dxa"/>
            <w:vAlign w:val="top"/>
          </w:tcPr>
          <w:p w14:paraId="785FAEA5">
            <w:pPr>
              <w:pStyle w:val="18"/>
              <w:spacing w:before="157" w:line="220" w:lineRule="auto"/>
              <w:ind w:left="150"/>
              <w:rPr>
                <w:color w:val="auto"/>
                <w:sz w:val="20"/>
                <w:szCs w:val="20"/>
                <w:highlight w:val="none"/>
              </w:rPr>
            </w:pPr>
            <w:r>
              <w:rPr>
                <w:color w:val="auto"/>
                <w:spacing w:val="-2"/>
                <w:sz w:val="20"/>
                <w:szCs w:val="20"/>
                <w:highlight w:val="none"/>
              </w:rPr>
              <w:t>合价</w:t>
            </w:r>
          </w:p>
        </w:tc>
        <w:tc>
          <w:tcPr>
            <w:tcW w:w="682" w:type="dxa"/>
            <w:vAlign w:val="top"/>
          </w:tcPr>
          <w:p w14:paraId="18B6D4C0">
            <w:pPr>
              <w:pStyle w:val="18"/>
              <w:spacing w:before="157" w:line="220" w:lineRule="auto"/>
              <w:ind w:left="152"/>
              <w:rPr>
                <w:color w:val="auto"/>
                <w:sz w:val="20"/>
                <w:szCs w:val="20"/>
                <w:highlight w:val="none"/>
              </w:rPr>
            </w:pPr>
            <w:r>
              <w:rPr>
                <w:color w:val="auto"/>
                <w:spacing w:val="-2"/>
                <w:sz w:val="20"/>
                <w:szCs w:val="20"/>
                <w:highlight w:val="none"/>
              </w:rPr>
              <w:t>单价</w:t>
            </w:r>
          </w:p>
        </w:tc>
        <w:tc>
          <w:tcPr>
            <w:tcW w:w="681" w:type="dxa"/>
            <w:vAlign w:val="top"/>
          </w:tcPr>
          <w:p w14:paraId="267F632F">
            <w:pPr>
              <w:pStyle w:val="18"/>
              <w:spacing w:before="157" w:line="220" w:lineRule="auto"/>
              <w:ind w:left="151"/>
              <w:rPr>
                <w:color w:val="auto"/>
                <w:sz w:val="20"/>
                <w:szCs w:val="20"/>
                <w:highlight w:val="none"/>
              </w:rPr>
            </w:pPr>
            <w:r>
              <w:rPr>
                <w:color w:val="auto"/>
                <w:spacing w:val="-2"/>
                <w:sz w:val="20"/>
                <w:szCs w:val="20"/>
                <w:highlight w:val="none"/>
              </w:rPr>
              <w:t>合价</w:t>
            </w:r>
          </w:p>
        </w:tc>
        <w:tc>
          <w:tcPr>
            <w:tcW w:w="624" w:type="dxa"/>
            <w:vAlign w:val="top"/>
          </w:tcPr>
          <w:p w14:paraId="5EA82826">
            <w:pPr>
              <w:pStyle w:val="18"/>
              <w:spacing w:before="157" w:line="220" w:lineRule="auto"/>
              <w:ind w:left="124"/>
              <w:rPr>
                <w:color w:val="auto"/>
                <w:sz w:val="20"/>
                <w:szCs w:val="20"/>
                <w:highlight w:val="none"/>
              </w:rPr>
            </w:pPr>
            <w:r>
              <w:rPr>
                <w:color w:val="auto"/>
                <w:spacing w:val="-2"/>
                <w:sz w:val="20"/>
                <w:szCs w:val="20"/>
                <w:highlight w:val="none"/>
              </w:rPr>
              <w:t>单价</w:t>
            </w:r>
          </w:p>
        </w:tc>
        <w:tc>
          <w:tcPr>
            <w:tcW w:w="628" w:type="dxa"/>
            <w:vAlign w:val="top"/>
          </w:tcPr>
          <w:p w14:paraId="78E521DE">
            <w:pPr>
              <w:pStyle w:val="18"/>
              <w:spacing w:before="157" w:line="220" w:lineRule="auto"/>
              <w:ind w:left="123"/>
              <w:rPr>
                <w:color w:val="auto"/>
                <w:sz w:val="20"/>
                <w:szCs w:val="20"/>
                <w:highlight w:val="none"/>
              </w:rPr>
            </w:pPr>
            <w:r>
              <w:rPr>
                <w:color w:val="auto"/>
                <w:spacing w:val="-2"/>
                <w:sz w:val="20"/>
                <w:szCs w:val="20"/>
                <w:highlight w:val="none"/>
              </w:rPr>
              <w:t>合价</w:t>
            </w:r>
          </w:p>
        </w:tc>
        <w:tc>
          <w:tcPr>
            <w:tcW w:w="634" w:type="dxa"/>
            <w:vMerge w:val="continue"/>
            <w:tcBorders>
              <w:top w:val="nil"/>
            </w:tcBorders>
            <w:vAlign w:val="top"/>
          </w:tcPr>
          <w:p w14:paraId="352C591F">
            <w:pPr>
              <w:rPr>
                <w:rFonts w:ascii="Arial"/>
                <w:color w:val="auto"/>
                <w:sz w:val="21"/>
                <w:highlight w:val="none"/>
              </w:rPr>
            </w:pPr>
          </w:p>
        </w:tc>
      </w:tr>
      <w:tr w14:paraId="49068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4785EC4">
            <w:pPr>
              <w:rPr>
                <w:rFonts w:ascii="Arial"/>
                <w:color w:val="auto"/>
                <w:sz w:val="21"/>
                <w:highlight w:val="none"/>
              </w:rPr>
            </w:pPr>
          </w:p>
        </w:tc>
        <w:tc>
          <w:tcPr>
            <w:tcW w:w="2578" w:type="dxa"/>
            <w:vAlign w:val="top"/>
          </w:tcPr>
          <w:p w14:paraId="51EA6C1D">
            <w:pPr>
              <w:rPr>
                <w:rFonts w:ascii="Arial"/>
                <w:color w:val="auto"/>
                <w:sz w:val="21"/>
                <w:highlight w:val="none"/>
              </w:rPr>
            </w:pPr>
          </w:p>
        </w:tc>
        <w:tc>
          <w:tcPr>
            <w:tcW w:w="806" w:type="dxa"/>
            <w:vAlign w:val="top"/>
          </w:tcPr>
          <w:p w14:paraId="4E1549CA">
            <w:pPr>
              <w:rPr>
                <w:rFonts w:ascii="Arial"/>
                <w:color w:val="auto"/>
                <w:sz w:val="21"/>
                <w:highlight w:val="none"/>
              </w:rPr>
            </w:pPr>
          </w:p>
        </w:tc>
        <w:tc>
          <w:tcPr>
            <w:tcW w:w="562" w:type="dxa"/>
            <w:vAlign w:val="top"/>
          </w:tcPr>
          <w:p w14:paraId="5867063A">
            <w:pPr>
              <w:rPr>
                <w:rFonts w:ascii="Arial"/>
                <w:color w:val="auto"/>
                <w:sz w:val="21"/>
                <w:highlight w:val="none"/>
              </w:rPr>
            </w:pPr>
          </w:p>
        </w:tc>
        <w:tc>
          <w:tcPr>
            <w:tcW w:w="556" w:type="dxa"/>
            <w:vAlign w:val="top"/>
          </w:tcPr>
          <w:p w14:paraId="71E0B426">
            <w:pPr>
              <w:rPr>
                <w:rFonts w:ascii="Arial"/>
                <w:color w:val="auto"/>
                <w:sz w:val="21"/>
                <w:highlight w:val="none"/>
              </w:rPr>
            </w:pPr>
          </w:p>
        </w:tc>
        <w:tc>
          <w:tcPr>
            <w:tcW w:w="562" w:type="dxa"/>
            <w:vAlign w:val="top"/>
          </w:tcPr>
          <w:p w14:paraId="71419DBD">
            <w:pPr>
              <w:rPr>
                <w:rFonts w:ascii="Arial"/>
                <w:color w:val="auto"/>
                <w:sz w:val="21"/>
                <w:highlight w:val="none"/>
              </w:rPr>
            </w:pPr>
          </w:p>
        </w:tc>
        <w:tc>
          <w:tcPr>
            <w:tcW w:w="676" w:type="dxa"/>
            <w:vAlign w:val="top"/>
          </w:tcPr>
          <w:p w14:paraId="0CC8AB8A">
            <w:pPr>
              <w:rPr>
                <w:rFonts w:ascii="Arial"/>
                <w:color w:val="auto"/>
                <w:sz w:val="21"/>
                <w:highlight w:val="none"/>
              </w:rPr>
            </w:pPr>
          </w:p>
        </w:tc>
        <w:tc>
          <w:tcPr>
            <w:tcW w:w="682" w:type="dxa"/>
            <w:vAlign w:val="top"/>
          </w:tcPr>
          <w:p w14:paraId="1052B82C">
            <w:pPr>
              <w:rPr>
                <w:rFonts w:ascii="Arial"/>
                <w:color w:val="auto"/>
                <w:sz w:val="21"/>
                <w:highlight w:val="none"/>
              </w:rPr>
            </w:pPr>
          </w:p>
        </w:tc>
        <w:tc>
          <w:tcPr>
            <w:tcW w:w="681" w:type="dxa"/>
            <w:vAlign w:val="top"/>
          </w:tcPr>
          <w:p w14:paraId="1CCE59FC">
            <w:pPr>
              <w:rPr>
                <w:rFonts w:ascii="Arial"/>
                <w:color w:val="auto"/>
                <w:sz w:val="21"/>
                <w:highlight w:val="none"/>
              </w:rPr>
            </w:pPr>
          </w:p>
        </w:tc>
        <w:tc>
          <w:tcPr>
            <w:tcW w:w="624" w:type="dxa"/>
            <w:vAlign w:val="top"/>
          </w:tcPr>
          <w:p w14:paraId="718273C3">
            <w:pPr>
              <w:rPr>
                <w:rFonts w:ascii="Arial"/>
                <w:color w:val="auto"/>
                <w:sz w:val="21"/>
                <w:highlight w:val="none"/>
              </w:rPr>
            </w:pPr>
          </w:p>
        </w:tc>
        <w:tc>
          <w:tcPr>
            <w:tcW w:w="628" w:type="dxa"/>
            <w:vAlign w:val="top"/>
          </w:tcPr>
          <w:p w14:paraId="680B5E2D">
            <w:pPr>
              <w:rPr>
                <w:rFonts w:ascii="Arial"/>
                <w:color w:val="auto"/>
                <w:sz w:val="21"/>
                <w:highlight w:val="none"/>
              </w:rPr>
            </w:pPr>
          </w:p>
        </w:tc>
        <w:tc>
          <w:tcPr>
            <w:tcW w:w="634" w:type="dxa"/>
            <w:vAlign w:val="top"/>
          </w:tcPr>
          <w:p w14:paraId="678D23B2">
            <w:pPr>
              <w:rPr>
                <w:rFonts w:ascii="Arial"/>
                <w:color w:val="auto"/>
                <w:sz w:val="21"/>
                <w:highlight w:val="none"/>
              </w:rPr>
            </w:pPr>
          </w:p>
        </w:tc>
      </w:tr>
      <w:tr w14:paraId="3CE1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65A9CF5">
            <w:pPr>
              <w:rPr>
                <w:rFonts w:ascii="Arial"/>
                <w:color w:val="auto"/>
                <w:sz w:val="21"/>
                <w:highlight w:val="none"/>
              </w:rPr>
            </w:pPr>
          </w:p>
        </w:tc>
        <w:tc>
          <w:tcPr>
            <w:tcW w:w="2578" w:type="dxa"/>
            <w:vAlign w:val="top"/>
          </w:tcPr>
          <w:p w14:paraId="4432771E">
            <w:pPr>
              <w:rPr>
                <w:rFonts w:ascii="Arial"/>
                <w:color w:val="auto"/>
                <w:sz w:val="21"/>
                <w:highlight w:val="none"/>
              </w:rPr>
            </w:pPr>
          </w:p>
        </w:tc>
        <w:tc>
          <w:tcPr>
            <w:tcW w:w="806" w:type="dxa"/>
            <w:vAlign w:val="top"/>
          </w:tcPr>
          <w:p w14:paraId="0AF267A4">
            <w:pPr>
              <w:rPr>
                <w:rFonts w:ascii="Arial"/>
                <w:color w:val="auto"/>
                <w:sz w:val="21"/>
                <w:highlight w:val="none"/>
              </w:rPr>
            </w:pPr>
          </w:p>
        </w:tc>
        <w:tc>
          <w:tcPr>
            <w:tcW w:w="562" w:type="dxa"/>
            <w:vAlign w:val="top"/>
          </w:tcPr>
          <w:p w14:paraId="2D2F2976">
            <w:pPr>
              <w:rPr>
                <w:rFonts w:ascii="Arial"/>
                <w:color w:val="auto"/>
                <w:sz w:val="21"/>
                <w:highlight w:val="none"/>
              </w:rPr>
            </w:pPr>
          </w:p>
        </w:tc>
        <w:tc>
          <w:tcPr>
            <w:tcW w:w="556" w:type="dxa"/>
            <w:vAlign w:val="top"/>
          </w:tcPr>
          <w:p w14:paraId="7BB90C1C">
            <w:pPr>
              <w:rPr>
                <w:rFonts w:ascii="Arial"/>
                <w:color w:val="auto"/>
                <w:sz w:val="21"/>
                <w:highlight w:val="none"/>
              </w:rPr>
            </w:pPr>
          </w:p>
        </w:tc>
        <w:tc>
          <w:tcPr>
            <w:tcW w:w="562" w:type="dxa"/>
            <w:vAlign w:val="top"/>
          </w:tcPr>
          <w:p w14:paraId="41DEB0AC">
            <w:pPr>
              <w:rPr>
                <w:rFonts w:ascii="Arial"/>
                <w:color w:val="auto"/>
                <w:sz w:val="21"/>
                <w:highlight w:val="none"/>
              </w:rPr>
            </w:pPr>
          </w:p>
        </w:tc>
        <w:tc>
          <w:tcPr>
            <w:tcW w:w="676" w:type="dxa"/>
            <w:vAlign w:val="top"/>
          </w:tcPr>
          <w:p w14:paraId="719052CB">
            <w:pPr>
              <w:rPr>
                <w:rFonts w:ascii="Arial"/>
                <w:color w:val="auto"/>
                <w:sz w:val="21"/>
                <w:highlight w:val="none"/>
              </w:rPr>
            </w:pPr>
          </w:p>
        </w:tc>
        <w:tc>
          <w:tcPr>
            <w:tcW w:w="682" w:type="dxa"/>
            <w:vAlign w:val="top"/>
          </w:tcPr>
          <w:p w14:paraId="1AFB23F2">
            <w:pPr>
              <w:rPr>
                <w:rFonts w:ascii="Arial"/>
                <w:color w:val="auto"/>
                <w:sz w:val="21"/>
                <w:highlight w:val="none"/>
              </w:rPr>
            </w:pPr>
          </w:p>
        </w:tc>
        <w:tc>
          <w:tcPr>
            <w:tcW w:w="681" w:type="dxa"/>
            <w:vAlign w:val="top"/>
          </w:tcPr>
          <w:p w14:paraId="5B63D1B4">
            <w:pPr>
              <w:rPr>
                <w:rFonts w:ascii="Arial"/>
                <w:color w:val="auto"/>
                <w:sz w:val="21"/>
                <w:highlight w:val="none"/>
              </w:rPr>
            </w:pPr>
          </w:p>
        </w:tc>
        <w:tc>
          <w:tcPr>
            <w:tcW w:w="624" w:type="dxa"/>
            <w:vAlign w:val="top"/>
          </w:tcPr>
          <w:p w14:paraId="0DDC71A0">
            <w:pPr>
              <w:rPr>
                <w:rFonts w:ascii="Arial"/>
                <w:color w:val="auto"/>
                <w:sz w:val="21"/>
                <w:highlight w:val="none"/>
              </w:rPr>
            </w:pPr>
          </w:p>
        </w:tc>
        <w:tc>
          <w:tcPr>
            <w:tcW w:w="628" w:type="dxa"/>
            <w:vAlign w:val="top"/>
          </w:tcPr>
          <w:p w14:paraId="04F2F043">
            <w:pPr>
              <w:rPr>
                <w:rFonts w:ascii="Arial"/>
                <w:color w:val="auto"/>
                <w:sz w:val="21"/>
                <w:highlight w:val="none"/>
              </w:rPr>
            </w:pPr>
          </w:p>
        </w:tc>
        <w:tc>
          <w:tcPr>
            <w:tcW w:w="634" w:type="dxa"/>
            <w:vAlign w:val="top"/>
          </w:tcPr>
          <w:p w14:paraId="794DD018">
            <w:pPr>
              <w:rPr>
                <w:rFonts w:ascii="Arial"/>
                <w:color w:val="auto"/>
                <w:sz w:val="21"/>
                <w:highlight w:val="none"/>
              </w:rPr>
            </w:pPr>
          </w:p>
        </w:tc>
      </w:tr>
      <w:tr w14:paraId="5BE61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31FBABD">
            <w:pPr>
              <w:rPr>
                <w:rFonts w:ascii="Arial"/>
                <w:color w:val="auto"/>
                <w:sz w:val="21"/>
                <w:highlight w:val="none"/>
              </w:rPr>
            </w:pPr>
          </w:p>
        </w:tc>
        <w:tc>
          <w:tcPr>
            <w:tcW w:w="2578" w:type="dxa"/>
            <w:vAlign w:val="top"/>
          </w:tcPr>
          <w:p w14:paraId="2F06EEED">
            <w:pPr>
              <w:rPr>
                <w:rFonts w:ascii="Arial"/>
                <w:color w:val="auto"/>
                <w:sz w:val="21"/>
                <w:highlight w:val="none"/>
              </w:rPr>
            </w:pPr>
          </w:p>
        </w:tc>
        <w:tc>
          <w:tcPr>
            <w:tcW w:w="806" w:type="dxa"/>
            <w:vAlign w:val="top"/>
          </w:tcPr>
          <w:p w14:paraId="6CBA0102">
            <w:pPr>
              <w:rPr>
                <w:rFonts w:ascii="Arial"/>
                <w:color w:val="auto"/>
                <w:sz w:val="21"/>
                <w:highlight w:val="none"/>
              </w:rPr>
            </w:pPr>
          </w:p>
        </w:tc>
        <w:tc>
          <w:tcPr>
            <w:tcW w:w="562" w:type="dxa"/>
            <w:vAlign w:val="top"/>
          </w:tcPr>
          <w:p w14:paraId="7FF2D6FC">
            <w:pPr>
              <w:rPr>
                <w:rFonts w:ascii="Arial"/>
                <w:color w:val="auto"/>
                <w:sz w:val="21"/>
                <w:highlight w:val="none"/>
              </w:rPr>
            </w:pPr>
          </w:p>
        </w:tc>
        <w:tc>
          <w:tcPr>
            <w:tcW w:w="556" w:type="dxa"/>
            <w:vAlign w:val="top"/>
          </w:tcPr>
          <w:p w14:paraId="5E4CC1F4">
            <w:pPr>
              <w:rPr>
                <w:rFonts w:ascii="Arial"/>
                <w:color w:val="auto"/>
                <w:sz w:val="21"/>
                <w:highlight w:val="none"/>
              </w:rPr>
            </w:pPr>
          </w:p>
        </w:tc>
        <w:tc>
          <w:tcPr>
            <w:tcW w:w="562" w:type="dxa"/>
            <w:vAlign w:val="top"/>
          </w:tcPr>
          <w:p w14:paraId="7ABF2956">
            <w:pPr>
              <w:rPr>
                <w:rFonts w:ascii="Arial"/>
                <w:color w:val="auto"/>
                <w:sz w:val="21"/>
                <w:highlight w:val="none"/>
              </w:rPr>
            </w:pPr>
          </w:p>
        </w:tc>
        <w:tc>
          <w:tcPr>
            <w:tcW w:w="676" w:type="dxa"/>
            <w:vAlign w:val="top"/>
          </w:tcPr>
          <w:p w14:paraId="6003820C">
            <w:pPr>
              <w:rPr>
                <w:rFonts w:ascii="Arial"/>
                <w:color w:val="auto"/>
                <w:sz w:val="21"/>
                <w:highlight w:val="none"/>
              </w:rPr>
            </w:pPr>
          </w:p>
        </w:tc>
        <w:tc>
          <w:tcPr>
            <w:tcW w:w="682" w:type="dxa"/>
            <w:vAlign w:val="top"/>
          </w:tcPr>
          <w:p w14:paraId="3D2D57B0">
            <w:pPr>
              <w:rPr>
                <w:rFonts w:ascii="Arial"/>
                <w:color w:val="auto"/>
                <w:sz w:val="21"/>
                <w:highlight w:val="none"/>
              </w:rPr>
            </w:pPr>
          </w:p>
        </w:tc>
        <w:tc>
          <w:tcPr>
            <w:tcW w:w="681" w:type="dxa"/>
            <w:vAlign w:val="top"/>
          </w:tcPr>
          <w:p w14:paraId="29066216">
            <w:pPr>
              <w:rPr>
                <w:rFonts w:ascii="Arial"/>
                <w:color w:val="auto"/>
                <w:sz w:val="21"/>
                <w:highlight w:val="none"/>
              </w:rPr>
            </w:pPr>
          </w:p>
        </w:tc>
        <w:tc>
          <w:tcPr>
            <w:tcW w:w="624" w:type="dxa"/>
            <w:vAlign w:val="top"/>
          </w:tcPr>
          <w:p w14:paraId="03CDCAEE">
            <w:pPr>
              <w:rPr>
                <w:rFonts w:ascii="Arial"/>
                <w:color w:val="auto"/>
                <w:sz w:val="21"/>
                <w:highlight w:val="none"/>
              </w:rPr>
            </w:pPr>
          </w:p>
        </w:tc>
        <w:tc>
          <w:tcPr>
            <w:tcW w:w="628" w:type="dxa"/>
            <w:vAlign w:val="top"/>
          </w:tcPr>
          <w:p w14:paraId="156A5047">
            <w:pPr>
              <w:rPr>
                <w:rFonts w:ascii="Arial"/>
                <w:color w:val="auto"/>
                <w:sz w:val="21"/>
                <w:highlight w:val="none"/>
              </w:rPr>
            </w:pPr>
          </w:p>
        </w:tc>
        <w:tc>
          <w:tcPr>
            <w:tcW w:w="634" w:type="dxa"/>
            <w:vAlign w:val="top"/>
          </w:tcPr>
          <w:p w14:paraId="2C3204E3">
            <w:pPr>
              <w:rPr>
                <w:rFonts w:ascii="Arial"/>
                <w:color w:val="auto"/>
                <w:sz w:val="21"/>
                <w:highlight w:val="none"/>
              </w:rPr>
            </w:pPr>
          </w:p>
        </w:tc>
      </w:tr>
      <w:tr w14:paraId="3F0F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4462670C">
            <w:pPr>
              <w:rPr>
                <w:rFonts w:ascii="Arial"/>
                <w:color w:val="auto"/>
                <w:sz w:val="21"/>
                <w:highlight w:val="none"/>
              </w:rPr>
            </w:pPr>
          </w:p>
        </w:tc>
        <w:tc>
          <w:tcPr>
            <w:tcW w:w="2578" w:type="dxa"/>
            <w:vAlign w:val="top"/>
          </w:tcPr>
          <w:p w14:paraId="62DBCCEE">
            <w:pPr>
              <w:rPr>
                <w:rFonts w:ascii="Arial"/>
                <w:color w:val="auto"/>
                <w:sz w:val="21"/>
                <w:highlight w:val="none"/>
              </w:rPr>
            </w:pPr>
          </w:p>
        </w:tc>
        <w:tc>
          <w:tcPr>
            <w:tcW w:w="806" w:type="dxa"/>
            <w:vAlign w:val="top"/>
          </w:tcPr>
          <w:p w14:paraId="262B337C">
            <w:pPr>
              <w:rPr>
                <w:rFonts w:ascii="Arial"/>
                <w:color w:val="auto"/>
                <w:sz w:val="21"/>
                <w:highlight w:val="none"/>
              </w:rPr>
            </w:pPr>
          </w:p>
        </w:tc>
        <w:tc>
          <w:tcPr>
            <w:tcW w:w="562" w:type="dxa"/>
            <w:vAlign w:val="top"/>
          </w:tcPr>
          <w:p w14:paraId="5383B5C9">
            <w:pPr>
              <w:rPr>
                <w:rFonts w:ascii="Arial"/>
                <w:color w:val="auto"/>
                <w:sz w:val="21"/>
                <w:highlight w:val="none"/>
              </w:rPr>
            </w:pPr>
          </w:p>
        </w:tc>
        <w:tc>
          <w:tcPr>
            <w:tcW w:w="556" w:type="dxa"/>
            <w:vAlign w:val="top"/>
          </w:tcPr>
          <w:p w14:paraId="3D810612">
            <w:pPr>
              <w:rPr>
                <w:rFonts w:ascii="Arial"/>
                <w:color w:val="auto"/>
                <w:sz w:val="21"/>
                <w:highlight w:val="none"/>
              </w:rPr>
            </w:pPr>
          </w:p>
        </w:tc>
        <w:tc>
          <w:tcPr>
            <w:tcW w:w="562" w:type="dxa"/>
            <w:vAlign w:val="top"/>
          </w:tcPr>
          <w:p w14:paraId="3814AA48">
            <w:pPr>
              <w:rPr>
                <w:rFonts w:ascii="Arial"/>
                <w:color w:val="auto"/>
                <w:sz w:val="21"/>
                <w:highlight w:val="none"/>
              </w:rPr>
            </w:pPr>
          </w:p>
        </w:tc>
        <w:tc>
          <w:tcPr>
            <w:tcW w:w="676" w:type="dxa"/>
            <w:vAlign w:val="top"/>
          </w:tcPr>
          <w:p w14:paraId="512B9F9E">
            <w:pPr>
              <w:rPr>
                <w:rFonts w:ascii="Arial"/>
                <w:color w:val="auto"/>
                <w:sz w:val="21"/>
                <w:highlight w:val="none"/>
              </w:rPr>
            </w:pPr>
          </w:p>
        </w:tc>
        <w:tc>
          <w:tcPr>
            <w:tcW w:w="682" w:type="dxa"/>
            <w:vAlign w:val="top"/>
          </w:tcPr>
          <w:p w14:paraId="4EDD1E26">
            <w:pPr>
              <w:rPr>
                <w:rFonts w:ascii="Arial"/>
                <w:color w:val="auto"/>
                <w:sz w:val="21"/>
                <w:highlight w:val="none"/>
              </w:rPr>
            </w:pPr>
          </w:p>
        </w:tc>
        <w:tc>
          <w:tcPr>
            <w:tcW w:w="681" w:type="dxa"/>
            <w:vAlign w:val="top"/>
          </w:tcPr>
          <w:p w14:paraId="5309CECB">
            <w:pPr>
              <w:rPr>
                <w:rFonts w:ascii="Arial"/>
                <w:color w:val="auto"/>
                <w:sz w:val="21"/>
                <w:highlight w:val="none"/>
              </w:rPr>
            </w:pPr>
          </w:p>
        </w:tc>
        <w:tc>
          <w:tcPr>
            <w:tcW w:w="624" w:type="dxa"/>
            <w:vAlign w:val="top"/>
          </w:tcPr>
          <w:p w14:paraId="09DCEE86">
            <w:pPr>
              <w:rPr>
                <w:rFonts w:ascii="Arial"/>
                <w:color w:val="auto"/>
                <w:sz w:val="21"/>
                <w:highlight w:val="none"/>
              </w:rPr>
            </w:pPr>
          </w:p>
        </w:tc>
        <w:tc>
          <w:tcPr>
            <w:tcW w:w="628" w:type="dxa"/>
            <w:vAlign w:val="top"/>
          </w:tcPr>
          <w:p w14:paraId="568D8DE7">
            <w:pPr>
              <w:rPr>
                <w:rFonts w:ascii="Arial"/>
                <w:color w:val="auto"/>
                <w:sz w:val="21"/>
                <w:highlight w:val="none"/>
              </w:rPr>
            </w:pPr>
          </w:p>
        </w:tc>
        <w:tc>
          <w:tcPr>
            <w:tcW w:w="634" w:type="dxa"/>
            <w:vAlign w:val="top"/>
          </w:tcPr>
          <w:p w14:paraId="278C592A">
            <w:pPr>
              <w:rPr>
                <w:rFonts w:ascii="Arial"/>
                <w:color w:val="auto"/>
                <w:sz w:val="21"/>
                <w:highlight w:val="none"/>
              </w:rPr>
            </w:pPr>
          </w:p>
        </w:tc>
      </w:tr>
      <w:tr w14:paraId="59C1C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58300A89">
            <w:pPr>
              <w:rPr>
                <w:rFonts w:ascii="Arial"/>
                <w:color w:val="auto"/>
                <w:sz w:val="21"/>
                <w:highlight w:val="none"/>
              </w:rPr>
            </w:pPr>
          </w:p>
        </w:tc>
        <w:tc>
          <w:tcPr>
            <w:tcW w:w="2578" w:type="dxa"/>
            <w:vAlign w:val="top"/>
          </w:tcPr>
          <w:p w14:paraId="1230D00C">
            <w:pPr>
              <w:rPr>
                <w:rFonts w:ascii="Arial"/>
                <w:color w:val="auto"/>
                <w:sz w:val="21"/>
                <w:highlight w:val="none"/>
              </w:rPr>
            </w:pPr>
          </w:p>
        </w:tc>
        <w:tc>
          <w:tcPr>
            <w:tcW w:w="806" w:type="dxa"/>
            <w:vAlign w:val="top"/>
          </w:tcPr>
          <w:p w14:paraId="5049A72A">
            <w:pPr>
              <w:rPr>
                <w:rFonts w:ascii="Arial"/>
                <w:color w:val="auto"/>
                <w:sz w:val="21"/>
                <w:highlight w:val="none"/>
              </w:rPr>
            </w:pPr>
          </w:p>
        </w:tc>
        <w:tc>
          <w:tcPr>
            <w:tcW w:w="562" w:type="dxa"/>
            <w:vAlign w:val="top"/>
          </w:tcPr>
          <w:p w14:paraId="5C661BD0">
            <w:pPr>
              <w:rPr>
                <w:rFonts w:ascii="Arial"/>
                <w:color w:val="auto"/>
                <w:sz w:val="21"/>
                <w:highlight w:val="none"/>
              </w:rPr>
            </w:pPr>
          </w:p>
        </w:tc>
        <w:tc>
          <w:tcPr>
            <w:tcW w:w="556" w:type="dxa"/>
            <w:vAlign w:val="top"/>
          </w:tcPr>
          <w:p w14:paraId="3559209F">
            <w:pPr>
              <w:rPr>
                <w:rFonts w:ascii="Arial"/>
                <w:color w:val="auto"/>
                <w:sz w:val="21"/>
                <w:highlight w:val="none"/>
              </w:rPr>
            </w:pPr>
          </w:p>
        </w:tc>
        <w:tc>
          <w:tcPr>
            <w:tcW w:w="562" w:type="dxa"/>
            <w:vAlign w:val="top"/>
          </w:tcPr>
          <w:p w14:paraId="168B3C80">
            <w:pPr>
              <w:rPr>
                <w:rFonts w:ascii="Arial"/>
                <w:color w:val="auto"/>
                <w:sz w:val="21"/>
                <w:highlight w:val="none"/>
              </w:rPr>
            </w:pPr>
          </w:p>
        </w:tc>
        <w:tc>
          <w:tcPr>
            <w:tcW w:w="676" w:type="dxa"/>
            <w:vAlign w:val="top"/>
          </w:tcPr>
          <w:p w14:paraId="3137956F">
            <w:pPr>
              <w:rPr>
                <w:rFonts w:ascii="Arial"/>
                <w:color w:val="auto"/>
                <w:sz w:val="21"/>
                <w:highlight w:val="none"/>
              </w:rPr>
            </w:pPr>
          </w:p>
        </w:tc>
        <w:tc>
          <w:tcPr>
            <w:tcW w:w="682" w:type="dxa"/>
            <w:vAlign w:val="top"/>
          </w:tcPr>
          <w:p w14:paraId="6780C108">
            <w:pPr>
              <w:rPr>
                <w:rFonts w:ascii="Arial"/>
                <w:color w:val="auto"/>
                <w:sz w:val="21"/>
                <w:highlight w:val="none"/>
              </w:rPr>
            </w:pPr>
          </w:p>
        </w:tc>
        <w:tc>
          <w:tcPr>
            <w:tcW w:w="681" w:type="dxa"/>
            <w:vAlign w:val="top"/>
          </w:tcPr>
          <w:p w14:paraId="19A4B670">
            <w:pPr>
              <w:rPr>
                <w:rFonts w:ascii="Arial"/>
                <w:color w:val="auto"/>
                <w:sz w:val="21"/>
                <w:highlight w:val="none"/>
              </w:rPr>
            </w:pPr>
          </w:p>
        </w:tc>
        <w:tc>
          <w:tcPr>
            <w:tcW w:w="624" w:type="dxa"/>
            <w:vAlign w:val="top"/>
          </w:tcPr>
          <w:p w14:paraId="079600EF">
            <w:pPr>
              <w:rPr>
                <w:rFonts w:ascii="Arial"/>
                <w:color w:val="auto"/>
                <w:sz w:val="21"/>
                <w:highlight w:val="none"/>
              </w:rPr>
            </w:pPr>
          </w:p>
        </w:tc>
        <w:tc>
          <w:tcPr>
            <w:tcW w:w="628" w:type="dxa"/>
            <w:vAlign w:val="top"/>
          </w:tcPr>
          <w:p w14:paraId="231861C8">
            <w:pPr>
              <w:rPr>
                <w:rFonts w:ascii="Arial"/>
                <w:color w:val="auto"/>
                <w:sz w:val="21"/>
                <w:highlight w:val="none"/>
              </w:rPr>
            </w:pPr>
          </w:p>
        </w:tc>
        <w:tc>
          <w:tcPr>
            <w:tcW w:w="634" w:type="dxa"/>
            <w:vAlign w:val="top"/>
          </w:tcPr>
          <w:p w14:paraId="3093F267">
            <w:pPr>
              <w:rPr>
                <w:rFonts w:ascii="Arial"/>
                <w:color w:val="auto"/>
                <w:sz w:val="21"/>
                <w:highlight w:val="none"/>
              </w:rPr>
            </w:pPr>
          </w:p>
        </w:tc>
      </w:tr>
      <w:tr w14:paraId="7E557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EF58165">
            <w:pPr>
              <w:rPr>
                <w:rFonts w:ascii="Arial"/>
                <w:color w:val="auto"/>
                <w:sz w:val="21"/>
                <w:highlight w:val="none"/>
              </w:rPr>
            </w:pPr>
          </w:p>
        </w:tc>
        <w:tc>
          <w:tcPr>
            <w:tcW w:w="2578" w:type="dxa"/>
            <w:vAlign w:val="top"/>
          </w:tcPr>
          <w:p w14:paraId="06597AC7">
            <w:pPr>
              <w:rPr>
                <w:rFonts w:ascii="Arial"/>
                <w:color w:val="auto"/>
                <w:sz w:val="21"/>
                <w:highlight w:val="none"/>
              </w:rPr>
            </w:pPr>
          </w:p>
        </w:tc>
        <w:tc>
          <w:tcPr>
            <w:tcW w:w="806" w:type="dxa"/>
            <w:vAlign w:val="top"/>
          </w:tcPr>
          <w:p w14:paraId="117B4E10">
            <w:pPr>
              <w:rPr>
                <w:rFonts w:ascii="Arial"/>
                <w:color w:val="auto"/>
                <w:sz w:val="21"/>
                <w:highlight w:val="none"/>
              </w:rPr>
            </w:pPr>
          </w:p>
        </w:tc>
        <w:tc>
          <w:tcPr>
            <w:tcW w:w="562" w:type="dxa"/>
            <w:vAlign w:val="top"/>
          </w:tcPr>
          <w:p w14:paraId="5BC99991">
            <w:pPr>
              <w:rPr>
                <w:rFonts w:ascii="Arial"/>
                <w:color w:val="auto"/>
                <w:sz w:val="21"/>
                <w:highlight w:val="none"/>
              </w:rPr>
            </w:pPr>
          </w:p>
        </w:tc>
        <w:tc>
          <w:tcPr>
            <w:tcW w:w="556" w:type="dxa"/>
            <w:vAlign w:val="top"/>
          </w:tcPr>
          <w:p w14:paraId="423645DC">
            <w:pPr>
              <w:rPr>
                <w:rFonts w:ascii="Arial"/>
                <w:color w:val="auto"/>
                <w:sz w:val="21"/>
                <w:highlight w:val="none"/>
              </w:rPr>
            </w:pPr>
          </w:p>
        </w:tc>
        <w:tc>
          <w:tcPr>
            <w:tcW w:w="562" w:type="dxa"/>
            <w:vAlign w:val="top"/>
          </w:tcPr>
          <w:p w14:paraId="47E376FF">
            <w:pPr>
              <w:rPr>
                <w:rFonts w:ascii="Arial"/>
                <w:color w:val="auto"/>
                <w:sz w:val="21"/>
                <w:highlight w:val="none"/>
              </w:rPr>
            </w:pPr>
          </w:p>
        </w:tc>
        <w:tc>
          <w:tcPr>
            <w:tcW w:w="676" w:type="dxa"/>
            <w:vAlign w:val="top"/>
          </w:tcPr>
          <w:p w14:paraId="751E6DA2">
            <w:pPr>
              <w:rPr>
                <w:rFonts w:ascii="Arial"/>
                <w:color w:val="auto"/>
                <w:sz w:val="21"/>
                <w:highlight w:val="none"/>
              </w:rPr>
            </w:pPr>
          </w:p>
        </w:tc>
        <w:tc>
          <w:tcPr>
            <w:tcW w:w="682" w:type="dxa"/>
            <w:vAlign w:val="top"/>
          </w:tcPr>
          <w:p w14:paraId="3D89D998">
            <w:pPr>
              <w:rPr>
                <w:rFonts w:ascii="Arial"/>
                <w:color w:val="auto"/>
                <w:sz w:val="21"/>
                <w:highlight w:val="none"/>
              </w:rPr>
            </w:pPr>
          </w:p>
        </w:tc>
        <w:tc>
          <w:tcPr>
            <w:tcW w:w="681" w:type="dxa"/>
            <w:vAlign w:val="top"/>
          </w:tcPr>
          <w:p w14:paraId="4DF04790">
            <w:pPr>
              <w:rPr>
                <w:rFonts w:ascii="Arial"/>
                <w:color w:val="auto"/>
                <w:sz w:val="21"/>
                <w:highlight w:val="none"/>
              </w:rPr>
            </w:pPr>
          </w:p>
        </w:tc>
        <w:tc>
          <w:tcPr>
            <w:tcW w:w="624" w:type="dxa"/>
            <w:vAlign w:val="top"/>
          </w:tcPr>
          <w:p w14:paraId="69EED55F">
            <w:pPr>
              <w:rPr>
                <w:rFonts w:ascii="Arial"/>
                <w:color w:val="auto"/>
                <w:sz w:val="21"/>
                <w:highlight w:val="none"/>
              </w:rPr>
            </w:pPr>
          </w:p>
        </w:tc>
        <w:tc>
          <w:tcPr>
            <w:tcW w:w="628" w:type="dxa"/>
            <w:vAlign w:val="top"/>
          </w:tcPr>
          <w:p w14:paraId="49CC411D">
            <w:pPr>
              <w:rPr>
                <w:rFonts w:ascii="Arial"/>
                <w:color w:val="auto"/>
                <w:sz w:val="21"/>
                <w:highlight w:val="none"/>
              </w:rPr>
            </w:pPr>
          </w:p>
        </w:tc>
        <w:tc>
          <w:tcPr>
            <w:tcW w:w="634" w:type="dxa"/>
            <w:vAlign w:val="top"/>
          </w:tcPr>
          <w:p w14:paraId="69723A7B">
            <w:pPr>
              <w:rPr>
                <w:rFonts w:ascii="Arial"/>
                <w:color w:val="auto"/>
                <w:sz w:val="21"/>
                <w:highlight w:val="none"/>
              </w:rPr>
            </w:pPr>
          </w:p>
        </w:tc>
      </w:tr>
      <w:tr w14:paraId="14D5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2F742E5C">
            <w:pPr>
              <w:rPr>
                <w:rFonts w:ascii="Arial"/>
                <w:color w:val="auto"/>
                <w:sz w:val="21"/>
                <w:highlight w:val="none"/>
              </w:rPr>
            </w:pPr>
          </w:p>
        </w:tc>
        <w:tc>
          <w:tcPr>
            <w:tcW w:w="2578" w:type="dxa"/>
            <w:vAlign w:val="top"/>
          </w:tcPr>
          <w:p w14:paraId="3A058D20">
            <w:pPr>
              <w:rPr>
                <w:rFonts w:ascii="Arial"/>
                <w:color w:val="auto"/>
                <w:sz w:val="21"/>
                <w:highlight w:val="none"/>
              </w:rPr>
            </w:pPr>
          </w:p>
        </w:tc>
        <w:tc>
          <w:tcPr>
            <w:tcW w:w="806" w:type="dxa"/>
            <w:vAlign w:val="top"/>
          </w:tcPr>
          <w:p w14:paraId="0C270597">
            <w:pPr>
              <w:rPr>
                <w:rFonts w:ascii="Arial"/>
                <w:color w:val="auto"/>
                <w:sz w:val="21"/>
                <w:highlight w:val="none"/>
              </w:rPr>
            </w:pPr>
          </w:p>
        </w:tc>
        <w:tc>
          <w:tcPr>
            <w:tcW w:w="562" w:type="dxa"/>
            <w:vAlign w:val="top"/>
          </w:tcPr>
          <w:p w14:paraId="1E8A8BAF">
            <w:pPr>
              <w:rPr>
                <w:rFonts w:ascii="Arial"/>
                <w:color w:val="auto"/>
                <w:sz w:val="21"/>
                <w:highlight w:val="none"/>
              </w:rPr>
            </w:pPr>
          </w:p>
        </w:tc>
        <w:tc>
          <w:tcPr>
            <w:tcW w:w="556" w:type="dxa"/>
            <w:vAlign w:val="top"/>
          </w:tcPr>
          <w:p w14:paraId="334C5FEA">
            <w:pPr>
              <w:rPr>
                <w:rFonts w:ascii="Arial"/>
                <w:color w:val="auto"/>
                <w:sz w:val="21"/>
                <w:highlight w:val="none"/>
              </w:rPr>
            </w:pPr>
          </w:p>
        </w:tc>
        <w:tc>
          <w:tcPr>
            <w:tcW w:w="562" w:type="dxa"/>
            <w:vAlign w:val="top"/>
          </w:tcPr>
          <w:p w14:paraId="37E490EB">
            <w:pPr>
              <w:rPr>
                <w:rFonts w:ascii="Arial"/>
                <w:color w:val="auto"/>
                <w:sz w:val="21"/>
                <w:highlight w:val="none"/>
              </w:rPr>
            </w:pPr>
          </w:p>
        </w:tc>
        <w:tc>
          <w:tcPr>
            <w:tcW w:w="676" w:type="dxa"/>
            <w:vAlign w:val="top"/>
          </w:tcPr>
          <w:p w14:paraId="79482B6B">
            <w:pPr>
              <w:rPr>
                <w:rFonts w:ascii="Arial"/>
                <w:color w:val="auto"/>
                <w:sz w:val="21"/>
                <w:highlight w:val="none"/>
              </w:rPr>
            </w:pPr>
          </w:p>
        </w:tc>
        <w:tc>
          <w:tcPr>
            <w:tcW w:w="682" w:type="dxa"/>
            <w:vAlign w:val="top"/>
          </w:tcPr>
          <w:p w14:paraId="07AF2C38">
            <w:pPr>
              <w:rPr>
                <w:rFonts w:ascii="Arial"/>
                <w:color w:val="auto"/>
                <w:sz w:val="21"/>
                <w:highlight w:val="none"/>
              </w:rPr>
            </w:pPr>
          </w:p>
        </w:tc>
        <w:tc>
          <w:tcPr>
            <w:tcW w:w="681" w:type="dxa"/>
            <w:vAlign w:val="top"/>
          </w:tcPr>
          <w:p w14:paraId="00D69D35">
            <w:pPr>
              <w:rPr>
                <w:rFonts w:ascii="Arial"/>
                <w:color w:val="auto"/>
                <w:sz w:val="21"/>
                <w:highlight w:val="none"/>
              </w:rPr>
            </w:pPr>
          </w:p>
        </w:tc>
        <w:tc>
          <w:tcPr>
            <w:tcW w:w="624" w:type="dxa"/>
            <w:vAlign w:val="top"/>
          </w:tcPr>
          <w:p w14:paraId="4FD2E2D1">
            <w:pPr>
              <w:rPr>
                <w:rFonts w:ascii="Arial"/>
                <w:color w:val="auto"/>
                <w:sz w:val="21"/>
                <w:highlight w:val="none"/>
              </w:rPr>
            </w:pPr>
          </w:p>
        </w:tc>
        <w:tc>
          <w:tcPr>
            <w:tcW w:w="628" w:type="dxa"/>
            <w:vAlign w:val="top"/>
          </w:tcPr>
          <w:p w14:paraId="51843BD2">
            <w:pPr>
              <w:rPr>
                <w:rFonts w:ascii="Arial"/>
                <w:color w:val="auto"/>
                <w:sz w:val="21"/>
                <w:highlight w:val="none"/>
              </w:rPr>
            </w:pPr>
          </w:p>
        </w:tc>
        <w:tc>
          <w:tcPr>
            <w:tcW w:w="634" w:type="dxa"/>
            <w:vAlign w:val="top"/>
          </w:tcPr>
          <w:p w14:paraId="77C67EE4">
            <w:pPr>
              <w:rPr>
                <w:rFonts w:ascii="Arial"/>
                <w:color w:val="auto"/>
                <w:sz w:val="21"/>
                <w:highlight w:val="none"/>
              </w:rPr>
            </w:pPr>
          </w:p>
        </w:tc>
      </w:tr>
      <w:tr w14:paraId="5B9CC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6A539EDA">
            <w:pPr>
              <w:rPr>
                <w:rFonts w:ascii="Arial"/>
                <w:color w:val="auto"/>
                <w:sz w:val="21"/>
                <w:highlight w:val="none"/>
              </w:rPr>
            </w:pPr>
          </w:p>
        </w:tc>
        <w:tc>
          <w:tcPr>
            <w:tcW w:w="2578" w:type="dxa"/>
            <w:vAlign w:val="top"/>
          </w:tcPr>
          <w:p w14:paraId="7514B3C7">
            <w:pPr>
              <w:rPr>
                <w:rFonts w:ascii="Arial"/>
                <w:color w:val="auto"/>
                <w:sz w:val="21"/>
                <w:highlight w:val="none"/>
              </w:rPr>
            </w:pPr>
          </w:p>
        </w:tc>
        <w:tc>
          <w:tcPr>
            <w:tcW w:w="806" w:type="dxa"/>
            <w:vAlign w:val="top"/>
          </w:tcPr>
          <w:p w14:paraId="262E0E5D">
            <w:pPr>
              <w:rPr>
                <w:rFonts w:ascii="Arial"/>
                <w:color w:val="auto"/>
                <w:sz w:val="21"/>
                <w:highlight w:val="none"/>
              </w:rPr>
            </w:pPr>
          </w:p>
        </w:tc>
        <w:tc>
          <w:tcPr>
            <w:tcW w:w="562" w:type="dxa"/>
            <w:vAlign w:val="top"/>
          </w:tcPr>
          <w:p w14:paraId="0EB31906">
            <w:pPr>
              <w:rPr>
                <w:rFonts w:ascii="Arial"/>
                <w:color w:val="auto"/>
                <w:sz w:val="21"/>
                <w:highlight w:val="none"/>
              </w:rPr>
            </w:pPr>
          </w:p>
        </w:tc>
        <w:tc>
          <w:tcPr>
            <w:tcW w:w="556" w:type="dxa"/>
            <w:vAlign w:val="top"/>
          </w:tcPr>
          <w:p w14:paraId="2970E1B3">
            <w:pPr>
              <w:rPr>
                <w:rFonts w:ascii="Arial"/>
                <w:color w:val="auto"/>
                <w:sz w:val="21"/>
                <w:highlight w:val="none"/>
              </w:rPr>
            </w:pPr>
          </w:p>
        </w:tc>
        <w:tc>
          <w:tcPr>
            <w:tcW w:w="562" w:type="dxa"/>
            <w:vAlign w:val="top"/>
          </w:tcPr>
          <w:p w14:paraId="2D1833EF">
            <w:pPr>
              <w:rPr>
                <w:rFonts w:ascii="Arial"/>
                <w:color w:val="auto"/>
                <w:sz w:val="21"/>
                <w:highlight w:val="none"/>
              </w:rPr>
            </w:pPr>
          </w:p>
        </w:tc>
        <w:tc>
          <w:tcPr>
            <w:tcW w:w="676" w:type="dxa"/>
            <w:vAlign w:val="top"/>
          </w:tcPr>
          <w:p w14:paraId="2B21BEA1">
            <w:pPr>
              <w:rPr>
                <w:rFonts w:ascii="Arial"/>
                <w:color w:val="auto"/>
                <w:sz w:val="21"/>
                <w:highlight w:val="none"/>
              </w:rPr>
            </w:pPr>
          </w:p>
        </w:tc>
        <w:tc>
          <w:tcPr>
            <w:tcW w:w="682" w:type="dxa"/>
            <w:vAlign w:val="top"/>
          </w:tcPr>
          <w:p w14:paraId="768C2537">
            <w:pPr>
              <w:rPr>
                <w:rFonts w:ascii="Arial"/>
                <w:color w:val="auto"/>
                <w:sz w:val="21"/>
                <w:highlight w:val="none"/>
              </w:rPr>
            </w:pPr>
          </w:p>
        </w:tc>
        <w:tc>
          <w:tcPr>
            <w:tcW w:w="681" w:type="dxa"/>
            <w:vAlign w:val="top"/>
          </w:tcPr>
          <w:p w14:paraId="6CBEEEE7">
            <w:pPr>
              <w:rPr>
                <w:rFonts w:ascii="Arial"/>
                <w:color w:val="auto"/>
                <w:sz w:val="21"/>
                <w:highlight w:val="none"/>
              </w:rPr>
            </w:pPr>
          </w:p>
        </w:tc>
        <w:tc>
          <w:tcPr>
            <w:tcW w:w="624" w:type="dxa"/>
            <w:vAlign w:val="top"/>
          </w:tcPr>
          <w:p w14:paraId="259FC724">
            <w:pPr>
              <w:rPr>
                <w:rFonts w:ascii="Arial"/>
                <w:color w:val="auto"/>
                <w:sz w:val="21"/>
                <w:highlight w:val="none"/>
              </w:rPr>
            </w:pPr>
          </w:p>
        </w:tc>
        <w:tc>
          <w:tcPr>
            <w:tcW w:w="628" w:type="dxa"/>
            <w:vAlign w:val="top"/>
          </w:tcPr>
          <w:p w14:paraId="7C864C61">
            <w:pPr>
              <w:rPr>
                <w:rFonts w:ascii="Arial"/>
                <w:color w:val="auto"/>
                <w:sz w:val="21"/>
                <w:highlight w:val="none"/>
              </w:rPr>
            </w:pPr>
          </w:p>
        </w:tc>
        <w:tc>
          <w:tcPr>
            <w:tcW w:w="634" w:type="dxa"/>
            <w:vAlign w:val="top"/>
          </w:tcPr>
          <w:p w14:paraId="70C169B7">
            <w:pPr>
              <w:rPr>
                <w:rFonts w:ascii="Arial"/>
                <w:color w:val="auto"/>
                <w:sz w:val="21"/>
                <w:highlight w:val="none"/>
              </w:rPr>
            </w:pPr>
          </w:p>
        </w:tc>
      </w:tr>
      <w:tr w14:paraId="5B551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43DF671">
            <w:pPr>
              <w:rPr>
                <w:rFonts w:ascii="Arial"/>
                <w:color w:val="auto"/>
                <w:sz w:val="21"/>
                <w:highlight w:val="none"/>
              </w:rPr>
            </w:pPr>
          </w:p>
        </w:tc>
        <w:tc>
          <w:tcPr>
            <w:tcW w:w="2578" w:type="dxa"/>
            <w:vAlign w:val="top"/>
          </w:tcPr>
          <w:p w14:paraId="3E3C08B7">
            <w:pPr>
              <w:rPr>
                <w:rFonts w:ascii="Arial"/>
                <w:color w:val="auto"/>
                <w:sz w:val="21"/>
                <w:highlight w:val="none"/>
              </w:rPr>
            </w:pPr>
          </w:p>
        </w:tc>
        <w:tc>
          <w:tcPr>
            <w:tcW w:w="806" w:type="dxa"/>
            <w:vAlign w:val="top"/>
          </w:tcPr>
          <w:p w14:paraId="33E5FD19">
            <w:pPr>
              <w:rPr>
                <w:rFonts w:ascii="Arial"/>
                <w:color w:val="auto"/>
                <w:sz w:val="21"/>
                <w:highlight w:val="none"/>
              </w:rPr>
            </w:pPr>
          </w:p>
        </w:tc>
        <w:tc>
          <w:tcPr>
            <w:tcW w:w="562" w:type="dxa"/>
            <w:vAlign w:val="top"/>
          </w:tcPr>
          <w:p w14:paraId="38C2812D">
            <w:pPr>
              <w:rPr>
                <w:rFonts w:ascii="Arial"/>
                <w:color w:val="auto"/>
                <w:sz w:val="21"/>
                <w:highlight w:val="none"/>
              </w:rPr>
            </w:pPr>
          </w:p>
        </w:tc>
        <w:tc>
          <w:tcPr>
            <w:tcW w:w="556" w:type="dxa"/>
            <w:vAlign w:val="top"/>
          </w:tcPr>
          <w:p w14:paraId="36CF11A2">
            <w:pPr>
              <w:rPr>
                <w:rFonts w:ascii="Arial"/>
                <w:color w:val="auto"/>
                <w:sz w:val="21"/>
                <w:highlight w:val="none"/>
              </w:rPr>
            </w:pPr>
          </w:p>
        </w:tc>
        <w:tc>
          <w:tcPr>
            <w:tcW w:w="562" w:type="dxa"/>
            <w:vAlign w:val="top"/>
          </w:tcPr>
          <w:p w14:paraId="47160490">
            <w:pPr>
              <w:rPr>
                <w:rFonts w:ascii="Arial"/>
                <w:color w:val="auto"/>
                <w:sz w:val="21"/>
                <w:highlight w:val="none"/>
              </w:rPr>
            </w:pPr>
          </w:p>
        </w:tc>
        <w:tc>
          <w:tcPr>
            <w:tcW w:w="676" w:type="dxa"/>
            <w:vAlign w:val="top"/>
          </w:tcPr>
          <w:p w14:paraId="2D0BB91D">
            <w:pPr>
              <w:rPr>
                <w:rFonts w:ascii="Arial"/>
                <w:color w:val="auto"/>
                <w:sz w:val="21"/>
                <w:highlight w:val="none"/>
              </w:rPr>
            </w:pPr>
          </w:p>
        </w:tc>
        <w:tc>
          <w:tcPr>
            <w:tcW w:w="682" w:type="dxa"/>
            <w:vAlign w:val="top"/>
          </w:tcPr>
          <w:p w14:paraId="3A385EB1">
            <w:pPr>
              <w:rPr>
                <w:rFonts w:ascii="Arial"/>
                <w:color w:val="auto"/>
                <w:sz w:val="21"/>
                <w:highlight w:val="none"/>
              </w:rPr>
            </w:pPr>
          </w:p>
        </w:tc>
        <w:tc>
          <w:tcPr>
            <w:tcW w:w="681" w:type="dxa"/>
            <w:vAlign w:val="top"/>
          </w:tcPr>
          <w:p w14:paraId="3B7D3991">
            <w:pPr>
              <w:rPr>
                <w:rFonts w:ascii="Arial"/>
                <w:color w:val="auto"/>
                <w:sz w:val="21"/>
                <w:highlight w:val="none"/>
              </w:rPr>
            </w:pPr>
          </w:p>
        </w:tc>
        <w:tc>
          <w:tcPr>
            <w:tcW w:w="624" w:type="dxa"/>
            <w:vAlign w:val="top"/>
          </w:tcPr>
          <w:p w14:paraId="24868941">
            <w:pPr>
              <w:rPr>
                <w:rFonts w:ascii="Arial"/>
                <w:color w:val="auto"/>
                <w:sz w:val="21"/>
                <w:highlight w:val="none"/>
              </w:rPr>
            </w:pPr>
          </w:p>
        </w:tc>
        <w:tc>
          <w:tcPr>
            <w:tcW w:w="628" w:type="dxa"/>
            <w:vAlign w:val="top"/>
          </w:tcPr>
          <w:p w14:paraId="438BB73A">
            <w:pPr>
              <w:rPr>
                <w:rFonts w:ascii="Arial"/>
                <w:color w:val="auto"/>
                <w:sz w:val="21"/>
                <w:highlight w:val="none"/>
              </w:rPr>
            </w:pPr>
          </w:p>
        </w:tc>
        <w:tc>
          <w:tcPr>
            <w:tcW w:w="634" w:type="dxa"/>
            <w:vAlign w:val="top"/>
          </w:tcPr>
          <w:p w14:paraId="7C7AD434">
            <w:pPr>
              <w:rPr>
                <w:rFonts w:ascii="Arial"/>
                <w:color w:val="auto"/>
                <w:sz w:val="21"/>
                <w:highlight w:val="none"/>
              </w:rPr>
            </w:pPr>
          </w:p>
        </w:tc>
      </w:tr>
      <w:tr w14:paraId="3C92B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C6D4719">
            <w:pPr>
              <w:rPr>
                <w:rFonts w:ascii="Arial"/>
                <w:color w:val="auto"/>
                <w:sz w:val="21"/>
                <w:highlight w:val="none"/>
              </w:rPr>
            </w:pPr>
          </w:p>
        </w:tc>
        <w:tc>
          <w:tcPr>
            <w:tcW w:w="2578" w:type="dxa"/>
            <w:vAlign w:val="top"/>
          </w:tcPr>
          <w:p w14:paraId="5AB4C0F0">
            <w:pPr>
              <w:rPr>
                <w:rFonts w:ascii="Arial"/>
                <w:color w:val="auto"/>
                <w:sz w:val="21"/>
                <w:highlight w:val="none"/>
              </w:rPr>
            </w:pPr>
          </w:p>
        </w:tc>
        <w:tc>
          <w:tcPr>
            <w:tcW w:w="806" w:type="dxa"/>
            <w:vAlign w:val="top"/>
          </w:tcPr>
          <w:p w14:paraId="7F9BCEA9">
            <w:pPr>
              <w:rPr>
                <w:rFonts w:ascii="Arial"/>
                <w:color w:val="auto"/>
                <w:sz w:val="21"/>
                <w:highlight w:val="none"/>
              </w:rPr>
            </w:pPr>
          </w:p>
        </w:tc>
        <w:tc>
          <w:tcPr>
            <w:tcW w:w="562" w:type="dxa"/>
            <w:vAlign w:val="top"/>
          </w:tcPr>
          <w:p w14:paraId="02C43787">
            <w:pPr>
              <w:rPr>
                <w:rFonts w:ascii="Arial"/>
                <w:color w:val="auto"/>
                <w:sz w:val="21"/>
                <w:highlight w:val="none"/>
              </w:rPr>
            </w:pPr>
          </w:p>
        </w:tc>
        <w:tc>
          <w:tcPr>
            <w:tcW w:w="556" w:type="dxa"/>
            <w:vAlign w:val="top"/>
          </w:tcPr>
          <w:p w14:paraId="7565ECE3">
            <w:pPr>
              <w:rPr>
                <w:rFonts w:ascii="Arial"/>
                <w:color w:val="auto"/>
                <w:sz w:val="21"/>
                <w:highlight w:val="none"/>
              </w:rPr>
            </w:pPr>
          </w:p>
        </w:tc>
        <w:tc>
          <w:tcPr>
            <w:tcW w:w="562" w:type="dxa"/>
            <w:vAlign w:val="top"/>
          </w:tcPr>
          <w:p w14:paraId="3248D297">
            <w:pPr>
              <w:rPr>
                <w:rFonts w:ascii="Arial"/>
                <w:color w:val="auto"/>
                <w:sz w:val="21"/>
                <w:highlight w:val="none"/>
              </w:rPr>
            </w:pPr>
          </w:p>
        </w:tc>
        <w:tc>
          <w:tcPr>
            <w:tcW w:w="676" w:type="dxa"/>
            <w:vAlign w:val="top"/>
          </w:tcPr>
          <w:p w14:paraId="67131982">
            <w:pPr>
              <w:rPr>
                <w:rFonts w:ascii="Arial"/>
                <w:color w:val="auto"/>
                <w:sz w:val="21"/>
                <w:highlight w:val="none"/>
              </w:rPr>
            </w:pPr>
          </w:p>
        </w:tc>
        <w:tc>
          <w:tcPr>
            <w:tcW w:w="682" w:type="dxa"/>
            <w:vAlign w:val="top"/>
          </w:tcPr>
          <w:p w14:paraId="6486E0E2">
            <w:pPr>
              <w:rPr>
                <w:rFonts w:ascii="Arial"/>
                <w:color w:val="auto"/>
                <w:sz w:val="21"/>
                <w:highlight w:val="none"/>
              </w:rPr>
            </w:pPr>
          </w:p>
        </w:tc>
        <w:tc>
          <w:tcPr>
            <w:tcW w:w="681" w:type="dxa"/>
            <w:vAlign w:val="top"/>
          </w:tcPr>
          <w:p w14:paraId="7C2BA874">
            <w:pPr>
              <w:rPr>
                <w:rFonts w:ascii="Arial"/>
                <w:color w:val="auto"/>
                <w:sz w:val="21"/>
                <w:highlight w:val="none"/>
              </w:rPr>
            </w:pPr>
          </w:p>
        </w:tc>
        <w:tc>
          <w:tcPr>
            <w:tcW w:w="624" w:type="dxa"/>
            <w:vAlign w:val="top"/>
          </w:tcPr>
          <w:p w14:paraId="5A660B43">
            <w:pPr>
              <w:rPr>
                <w:rFonts w:ascii="Arial"/>
                <w:color w:val="auto"/>
                <w:sz w:val="21"/>
                <w:highlight w:val="none"/>
              </w:rPr>
            </w:pPr>
          </w:p>
        </w:tc>
        <w:tc>
          <w:tcPr>
            <w:tcW w:w="628" w:type="dxa"/>
            <w:vAlign w:val="top"/>
          </w:tcPr>
          <w:p w14:paraId="5275FECE">
            <w:pPr>
              <w:rPr>
                <w:rFonts w:ascii="Arial"/>
                <w:color w:val="auto"/>
                <w:sz w:val="21"/>
                <w:highlight w:val="none"/>
              </w:rPr>
            </w:pPr>
          </w:p>
        </w:tc>
        <w:tc>
          <w:tcPr>
            <w:tcW w:w="634" w:type="dxa"/>
            <w:vAlign w:val="top"/>
          </w:tcPr>
          <w:p w14:paraId="105A56D7">
            <w:pPr>
              <w:rPr>
                <w:rFonts w:ascii="Arial"/>
                <w:color w:val="auto"/>
                <w:sz w:val="21"/>
                <w:highlight w:val="none"/>
              </w:rPr>
            </w:pPr>
          </w:p>
        </w:tc>
      </w:tr>
      <w:tr w14:paraId="29BDE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9228CF7">
            <w:pPr>
              <w:rPr>
                <w:rFonts w:ascii="Arial"/>
                <w:color w:val="auto"/>
                <w:sz w:val="21"/>
                <w:highlight w:val="none"/>
              </w:rPr>
            </w:pPr>
          </w:p>
        </w:tc>
        <w:tc>
          <w:tcPr>
            <w:tcW w:w="2578" w:type="dxa"/>
            <w:vAlign w:val="top"/>
          </w:tcPr>
          <w:p w14:paraId="6B94CCFD">
            <w:pPr>
              <w:rPr>
                <w:rFonts w:ascii="Arial"/>
                <w:color w:val="auto"/>
                <w:sz w:val="21"/>
                <w:highlight w:val="none"/>
              </w:rPr>
            </w:pPr>
          </w:p>
        </w:tc>
        <w:tc>
          <w:tcPr>
            <w:tcW w:w="806" w:type="dxa"/>
            <w:vAlign w:val="top"/>
          </w:tcPr>
          <w:p w14:paraId="59B8299C">
            <w:pPr>
              <w:rPr>
                <w:rFonts w:ascii="Arial"/>
                <w:color w:val="auto"/>
                <w:sz w:val="21"/>
                <w:highlight w:val="none"/>
              </w:rPr>
            </w:pPr>
          </w:p>
        </w:tc>
        <w:tc>
          <w:tcPr>
            <w:tcW w:w="562" w:type="dxa"/>
            <w:vAlign w:val="top"/>
          </w:tcPr>
          <w:p w14:paraId="568530A5">
            <w:pPr>
              <w:rPr>
                <w:rFonts w:ascii="Arial"/>
                <w:color w:val="auto"/>
                <w:sz w:val="21"/>
                <w:highlight w:val="none"/>
              </w:rPr>
            </w:pPr>
          </w:p>
        </w:tc>
        <w:tc>
          <w:tcPr>
            <w:tcW w:w="556" w:type="dxa"/>
            <w:vAlign w:val="top"/>
          </w:tcPr>
          <w:p w14:paraId="317349E8">
            <w:pPr>
              <w:rPr>
                <w:rFonts w:ascii="Arial"/>
                <w:color w:val="auto"/>
                <w:sz w:val="21"/>
                <w:highlight w:val="none"/>
              </w:rPr>
            </w:pPr>
          </w:p>
        </w:tc>
        <w:tc>
          <w:tcPr>
            <w:tcW w:w="562" w:type="dxa"/>
            <w:vAlign w:val="top"/>
          </w:tcPr>
          <w:p w14:paraId="473BC036">
            <w:pPr>
              <w:rPr>
                <w:rFonts w:ascii="Arial"/>
                <w:color w:val="auto"/>
                <w:sz w:val="21"/>
                <w:highlight w:val="none"/>
              </w:rPr>
            </w:pPr>
          </w:p>
        </w:tc>
        <w:tc>
          <w:tcPr>
            <w:tcW w:w="676" w:type="dxa"/>
            <w:vAlign w:val="top"/>
          </w:tcPr>
          <w:p w14:paraId="1EA4A874">
            <w:pPr>
              <w:rPr>
                <w:rFonts w:ascii="Arial"/>
                <w:color w:val="auto"/>
                <w:sz w:val="21"/>
                <w:highlight w:val="none"/>
              </w:rPr>
            </w:pPr>
          </w:p>
        </w:tc>
        <w:tc>
          <w:tcPr>
            <w:tcW w:w="682" w:type="dxa"/>
            <w:vAlign w:val="top"/>
          </w:tcPr>
          <w:p w14:paraId="27649F1D">
            <w:pPr>
              <w:rPr>
                <w:rFonts w:ascii="Arial"/>
                <w:color w:val="auto"/>
                <w:sz w:val="21"/>
                <w:highlight w:val="none"/>
              </w:rPr>
            </w:pPr>
          </w:p>
        </w:tc>
        <w:tc>
          <w:tcPr>
            <w:tcW w:w="681" w:type="dxa"/>
            <w:vAlign w:val="top"/>
          </w:tcPr>
          <w:p w14:paraId="0B2144A8">
            <w:pPr>
              <w:rPr>
                <w:rFonts w:ascii="Arial"/>
                <w:color w:val="auto"/>
                <w:sz w:val="21"/>
                <w:highlight w:val="none"/>
              </w:rPr>
            </w:pPr>
          </w:p>
        </w:tc>
        <w:tc>
          <w:tcPr>
            <w:tcW w:w="624" w:type="dxa"/>
            <w:vAlign w:val="top"/>
          </w:tcPr>
          <w:p w14:paraId="346D16BD">
            <w:pPr>
              <w:rPr>
                <w:rFonts w:ascii="Arial"/>
                <w:color w:val="auto"/>
                <w:sz w:val="21"/>
                <w:highlight w:val="none"/>
              </w:rPr>
            </w:pPr>
          </w:p>
        </w:tc>
        <w:tc>
          <w:tcPr>
            <w:tcW w:w="628" w:type="dxa"/>
            <w:vAlign w:val="top"/>
          </w:tcPr>
          <w:p w14:paraId="130056A1">
            <w:pPr>
              <w:rPr>
                <w:rFonts w:ascii="Arial"/>
                <w:color w:val="auto"/>
                <w:sz w:val="21"/>
                <w:highlight w:val="none"/>
              </w:rPr>
            </w:pPr>
          </w:p>
        </w:tc>
        <w:tc>
          <w:tcPr>
            <w:tcW w:w="634" w:type="dxa"/>
            <w:vAlign w:val="top"/>
          </w:tcPr>
          <w:p w14:paraId="4E03DC38">
            <w:pPr>
              <w:rPr>
                <w:rFonts w:ascii="Arial"/>
                <w:color w:val="auto"/>
                <w:sz w:val="21"/>
                <w:highlight w:val="none"/>
              </w:rPr>
            </w:pPr>
          </w:p>
        </w:tc>
      </w:tr>
      <w:tr w14:paraId="24302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4D33080B">
            <w:pPr>
              <w:rPr>
                <w:rFonts w:ascii="Arial"/>
                <w:color w:val="auto"/>
                <w:sz w:val="21"/>
                <w:highlight w:val="none"/>
              </w:rPr>
            </w:pPr>
          </w:p>
        </w:tc>
        <w:tc>
          <w:tcPr>
            <w:tcW w:w="2578" w:type="dxa"/>
            <w:vAlign w:val="top"/>
          </w:tcPr>
          <w:p w14:paraId="6BE3FDD6">
            <w:pPr>
              <w:rPr>
                <w:rFonts w:ascii="Arial"/>
                <w:color w:val="auto"/>
                <w:sz w:val="21"/>
                <w:highlight w:val="none"/>
              </w:rPr>
            </w:pPr>
          </w:p>
        </w:tc>
        <w:tc>
          <w:tcPr>
            <w:tcW w:w="806" w:type="dxa"/>
            <w:vAlign w:val="top"/>
          </w:tcPr>
          <w:p w14:paraId="655B642D">
            <w:pPr>
              <w:rPr>
                <w:rFonts w:ascii="Arial"/>
                <w:color w:val="auto"/>
                <w:sz w:val="21"/>
                <w:highlight w:val="none"/>
              </w:rPr>
            </w:pPr>
          </w:p>
        </w:tc>
        <w:tc>
          <w:tcPr>
            <w:tcW w:w="562" w:type="dxa"/>
            <w:vAlign w:val="top"/>
          </w:tcPr>
          <w:p w14:paraId="0995B2FF">
            <w:pPr>
              <w:rPr>
                <w:rFonts w:ascii="Arial"/>
                <w:color w:val="auto"/>
                <w:sz w:val="21"/>
                <w:highlight w:val="none"/>
              </w:rPr>
            </w:pPr>
          </w:p>
        </w:tc>
        <w:tc>
          <w:tcPr>
            <w:tcW w:w="556" w:type="dxa"/>
            <w:vAlign w:val="top"/>
          </w:tcPr>
          <w:p w14:paraId="79F428EC">
            <w:pPr>
              <w:rPr>
                <w:rFonts w:ascii="Arial"/>
                <w:color w:val="auto"/>
                <w:sz w:val="21"/>
                <w:highlight w:val="none"/>
              </w:rPr>
            </w:pPr>
          </w:p>
        </w:tc>
        <w:tc>
          <w:tcPr>
            <w:tcW w:w="562" w:type="dxa"/>
            <w:vAlign w:val="top"/>
          </w:tcPr>
          <w:p w14:paraId="2D8CAE2A">
            <w:pPr>
              <w:rPr>
                <w:rFonts w:ascii="Arial"/>
                <w:color w:val="auto"/>
                <w:sz w:val="21"/>
                <w:highlight w:val="none"/>
              </w:rPr>
            </w:pPr>
          </w:p>
        </w:tc>
        <w:tc>
          <w:tcPr>
            <w:tcW w:w="676" w:type="dxa"/>
            <w:vAlign w:val="top"/>
          </w:tcPr>
          <w:p w14:paraId="240EA1DA">
            <w:pPr>
              <w:rPr>
                <w:rFonts w:ascii="Arial"/>
                <w:color w:val="auto"/>
                <w:sz w:val="21"/>
                <w:highlight w:val="none"/>
              </w:rPr>
            </w:pPr>
          </w:p>
        </w:tc>
        <w:tc>
          <w:tcPr>
            <w:tcW w:w="682" w:type="dxa"/>
            <w:vAlign w:val="top"/>
          </w:tcPr>
          <w:p w14:paraId="380AAE8A">
            <w:pPr>
              <w:rPr>
                <w:rFonts w:ascii="Arial"/>
                <w:color w:val="auto"/>
                <w:sz w:val="21"/>
                <w:highlight w:val="none"/>
              </w:rPr>
            </w:pPr>
          </w:p>
        </w:tc>
        <w:tc>
          <w:tcPr>
            <w:tcW w:w="681" w:type="dxa"/>
            <w:vAlign w:val="top"/>
          </w:tcPr>
          <w:p w14:paraId="41AB90F2">
            <w:pPr>
              <w:rPr>
                <w:rFonts w:ascii="Arial"/>
                <w:color w:val="auto"/>
                <w:sz w:val="21"/>
                <w:highlight w:val="none"/>
              </w:rPr>
            </w:pPr>
          </w:p>
        </w:tc>
        <w:tc>
          <w:tcPr>
            <w:tcW w:w="624" w:type="dxa"/>
            <w:vAlign w:val="top"/>
          </w:tcPr>
          <w:p w14:paraId="26D99828">
            <w:pPr>
              <w:rPr>
                <w:rFonts w:ascii="Arial"/>
                <w:color w:val="auto"/>
                <w:sz w:val="21"/>
                <w:highlight w:val="none"/>
              </w:rPr>
            </w:pPr>
          </w:p>
        </w:tc>
        <w:tc>
          <w:tcPr>
            <w:tcW w:w="628" w:type="dxa"/>
            <w:vAlign w:val="top"/>
          </w:tcPr>
          <w:p w14:paraId="25C9E88A">
            <w:pPr>
              <w:rPr>
                <w:rFonts w:ascii="Arial"/>
                <w:color w:val="auto"/>
                <w:sz w:val="21"/>
                <w:highlight w:val="none"/>
              </w:rPr>
            </w:pPr>
          </w:p>
        </w:tc>
        <w:tc>
          <w:tcPr>
            <w:tcW w:w="634" w:type="dxa"/>
            <w:vAlign w:val="top"/>
          </w:tcPr>
          <w:p w14:paraId="66798B26">
            <w:pPr>
              <w:rPr>
                <w:rFonts w:ascii="Arial"/>
                <w:color w:val="auto"/>
                <w:sz w:val="21"/>
                <w:highlight w:val="none"/>
              </w:rPr>
            </w:pPr>
          </w:p>
        </w:tc>
      </w:tr>
      <w:tr w14:paraId="389EF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5A2D91CE">
            <w:pPr>
              <w:rPr>
                <w:rFonts w:ascii="Arial"/>
                <w:color w:val="auto"/>
                <w:sz w:val="21"/>
                <w:highlight w:val="none"/>
              </w:rPr>
            </w:pPr>
          </w:p>
        </w:tc>
        <w:tc>
          <w:tcPr>
            <w:tcW w:w="2578" w:type="dxa"/>
            <w:vAlign w:val="top"/>
          </w:tcPr>
          <w:p w14:paraId="3BA7B971">
            <w:pPr>
              <w:rPr>
                <w:rFonts w:ascii="Arial"/>
                <w:color w:val="auto"/>
                <w:sz w:val="21"/>
                <w:highlight w:val="none"/>
              </w:rPr>
            </w:pPr>
          </w:p>
        </w:tc>
        <w:tc>
          <w:tcPr>
            <w:tcW w:w="806" w:type="dxa"/>
            <w:vAlign w:val="top"/>
          </w:tcPr>
          <w:p w14:paraId="4DD05862">
            <w:pPr>
              <w:rPr>
                <w:rFonts w:ascii="Arial"/>
                <w:color w:val="auto"/>
                <w:sz w:val="21"/>
                <w:highlight w:val="none"/>
              </w:rPr>
            </w:pPr>
          </w:p>
        </w:tc>
        <w:tc>
          <w:tcPr>
            <w:tcW w:w="562" w:type="dxa"/>
            <w:vAlign w:val="top"/>
          </w:tcPr>
          <w:p w14:paraId="6FE9928F">
            <w:pPr>
              <w:rPr>
                <w:rFonts w:ascii="Arial"/>
                <w:color w:val="auto"/>
                <w:sz w:val="21"/>
                <w:highlight w:val="none"/>
              </w:rPr>
            </w:pPr>
          </w:p>
        </w:tc>
        <w:tc>
          <w:tcPr>
            <w:tcW w:w="556" w:type="dxa"/>
            <w:vAlign w:val="top"/>
          </w:tcPr>
          <w:p w14:paraId="7BC5BE69">
            <w:pPr>
              <w:rPr>
                <w:rFonts w:ascii="Arial"/>
                <w:color w:val="auto"/>
                <w:sz w:val="21"/>
                <w:highlight w:val="none"/>
              </w:rPr>
            </w:pPr>
          </w:p>
        </w:tc>
        <w:tc>
          <w:tcPr>
            <w:tcW w:w="562" w:type="dxa"/>
            <w:vAlign w:val="top"/>
          </w:tcPr>
          <w:p w14:paraId="44E4DB70">
            <w:pPr>
              <w:rPr>
                <w:rFonts w:ascii="Arial"/>
                <w:color w:val="auto"/>
                <w:sz w:val="21"/>
                <w:highlight w:val="none"/>
              </w:rPr>
            </w:pPr>
          </w:p>
        </w:tc>
        <w:tc>
          <w:tcPr>
            <w:tcW w:w="676" w:type="dxa"/>
            <w:vAlign w:val="top"/>
          </w:tcPr>
          <w:p w14:paraId="44B9FF64">
            <w:pPr>
              <w:rPr>
                <w:rFonts w:ascii="Arial"/>
                <w:color w:val="auto"/>
                <w:sz w:val="21"/>
                <w:highlight w:val="none"/>
              </w:rPr>
            </w:pPr>
          </w:p>
        </w:tc>
        <w:tc>
          <w:tcPr>
            <w:tcW w:w="682" w:type="dxa"/>
            <w:vAlign w:val="top"/>
          </w:tcPr>
          <w:p w14:paraId="5499D4DC">
            <w:pPr>
              <w:rPr>
                <w:rFonts w:ascii="Arial"/>
                <w:color w:val="auto"/>
                <w:sz w:val="21"/>
                <w:highlight w:val="none"/>
              </w:rPr>
            </w:pPr>
          </w:p>
        </w:tc>
        <w:tc>
          <w:tcPr>
            <w:tcW w:w="681" w:type="dxa"/>
            <w:vAlign w:val="top"/>
          </w:tcPr>
          <w:p w14:paraId="294E889A">
            <w:pPr>
              <w:rPr>
                <w:rFonts w:ascii="Arial"/>
                <w:color w:val="auto"/>
                <w:sz w:val="21"/>
                <w:highlight w:val="none"/>
              </w:rPr>
            </w:pPr>
          </w:p>
        </w:tc>
        <w:tc>
          <w:tcPr>
            <w:tcW w:w="624" w:type="dxa"/>
            <w:vAlign w:val="top"/>
          </w:tcPr>
          <w:p w14:paraId="5CFCE76B">
            <w:pPr>
              <w:rPr>
                <w:rFonts w:ascii="Arial"/>
                <w:color w:val="auto"/>
                <w:sz w:val="21"/>
                <w:highlight w:val="none"/>
              </w:rPr>
            </w:pPr>
          </w:p>
        </w:tc>
        <w:tc>
          <w:tcPr>
            <w:tcW w:w="628" w:type="dxa"/>
            <w:vAlign w:val="top"/>
          </w:tcPr>
          <w:p w14:paraId="3CEB558A">
            <w:pPr>
              <w:rPr>
                <w:rFonts w:ascii="Arial"/>
                <w:color w:val="auto"/>
                <w:sz w:val="21"/>
                <w:highlight w:val="none"/>
              </w:rPr>
            </w:pPr>
          </w:p>
        </w:tc>
        <w:tc>
          <w:tcPr>
            <w:tcW w:w="634" w:type="dxa"/>
            <w:vAlign w:val="top"/>
          </w:tcPr>
          <w:p w14:paraId="29AB343D">
            <w:pPr>
              <w:rPr>
                <w:rFonts w:ascii="Arial"/>
                <w:color w:val="auto"/>
                <w:sz w:val="21"/>
                <w:highlight w:val="none"/>
              </w:rPr>
            </w:pPr>
          </w:p>
        </w:tc>
      </w:tr>
      <w:tr w14:paraId="72BB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5B7F783">
            <w:pPr>
              <w:rPr>
                <w:rFonts w:ascii="Arial"/>
                <w:color w:val="auto"/>
                <w:sz w:val="21"/>
                <w:highlight w:val="none"/>
              </w:rPr>
            </w:pPr>
          </w:p>
        </w:tc>
        <w:tc>
          <w:tcPr>
            <w:tcW w:w="2578" w:type="dxa"/>
            <w:vAlign w:val="top"/>
          </w:tcPr>
          <w:p w14:paraId="3BC27DB6">
            <w:pPr>
              <w:rPr>
                <w:rFonts w:ascii="Arial"/>
                <w:color w:val="auto"/>
                <w:sz w:val="21"/>
                <w:highlight w:val="none"/>
              </w:rPr>
            </w:pPr>
          </w:p>
        </w:tc>
        <w:tc>
          <w:tcPr>
            <w:tcW w:w="806" w:type="dxa"/>
            <w:vAlign w:val="top"/>
          </w:tcPr>
          <w:p w14:paraId="2CE59C5E">
            <w:pPr>
              <w:rPr>
                <w:rFonts w:ascii="Arial"/>
                <w:color w:val="auto"/>
                <w:sz w:val="21"/>
                <w:highlight w:val="none"/>
              </w:rPr>
            </w:pPr>
          </w:p>
        </w:tc>
        <w:tc>
          <w:tcPr>
            <w:tcW w:w="562" w:type="dxa"/>
            <w:vAlign w:val="top"/>
          </w:tcPr>
          <w:p w14:paraId="40C80A61">
            <w:pPr>
              <w:rPr>
                <w:rFonts w:ascii="Arial"/>
                <w:color w:val="auto"/>
                <w:sz w:val="21"/>
                <w:highlight w:val="none"/>
              </w:rPr>
            </w:pPr>
          </w:p>
        </w:tc>
        <w:tc>
          <w:tcPr>
            <w:tcW w:w="556" w:type="dxa"/>
            <w:vAlign w:val="top"/>
          </w:tcPr>
          <w:p w14:paraId="46E729E3">
            <w:pPr>
              <w:rPr>
                <w:rFonts w:ascii="Arial"/>
                <w:color w:val="auto"/>
                <w:sz w:val="21"/>
                <w:highlight w:val="none"/>
              </w:rPr>
            </w:pPr>
          </w:p>
        </w:tc>
        <w:tc>
          <w:tcPr>
            <w:tcW w:w="562" w:type="dxa"/>
            <w:vAlign w:val="top"/>
          </w:tcPr>
          <w:p w14:paraId="072B5265">
            <w:pPr>
              <w:rPr>
                <w:rFonts w:ascii="Arial"/>
                <w:color w:val="auto"/>
                <w:sz w:val="21"/>
                <w:highlight w:val="none"/>
              </w:rPr>
            </w:pPr>
          </w:p>
        </w:tc>
        <w:tc>
          <w:tcPr>
            <w:tcW w:w="676" w:type="dxa"/>
            <w:vAlign w:val="top"/>
          </w:tcPr>
          <w:p w14:paraId="764BDDFA">
            <w:pPr>
              <w:rPr>
                <w:rFonts w:ascii="Arial"/>
                <w:color w:val="auto"/>
                <w:sz w:val="21"/>
                <w:highlight w:val="none"/>
              </w:rPr>
            </w:pPr>
          </w:p>
        </w:tc>
        <w:tc>
          <w:tcPr>
            <w:tcW w:w="682" w:type="dxa"/>
            <w:vAlign w:val="top"/>
          </w:tcPr>
          <w:p w14:paraId="2DDB75DB">
            <w:pPr>
              <w:rPr>
                <w:rFonts w:ascii="Arial"/>
                <w:color w:val="auto"/>
                <w:sz w:val="21"/>
                <w:highlight w:val="none"/>
              </w:rPr>
            </w:pPr>
          </w:p>
        </w:tc>
        <w:tc>
          <w:tcPr>
            <w:tcW w:w="681" w:type="dxa"/>
            <w:vAlign w:val="top"/>
          </w:tcPr>
          <w:p w14:paraId="60F237C6">
            <w:pPr>
              <w:rPr>
                <w:rFonts w:ascii="Arial"/>
                <w:color w:val="auto"/>
                <w:sz w:val="21"/>
                <w:highlight w:val="none"/>
              </w:rPr>
            </w:pPr>
          </w:p>
        </w:tc>
        <w:tc>
          <w:tcPr>
            <w:tcW w:w="624" w:type="dxa"/>
            <w:vAlign w:val="top"/>
          </w:tcPr>
          <w:p w14:paraId="161B7204">
            <w:pPr>
              <w:rPr>
                <w:rFonts w:ascii="Arial"/>
                <w:color w:val="auto"/>
                <w:sz w:val="21"/>
                <w:highlight w:val="none"/>
              </w:rPr>
            </w:pPr>
          </w:p>
        </w:tc>
        <w:tc>
          <w:tcPr>
            <w:tcW w:w="628" w:type="dxa"/>
            <w:vAlign w:val="top"/>
          </w:tcPr>
          <w:p w14:paraId="648FA4F1">
            <w:pPr>
              <w:rPr>
                <w:rFonts w:ascii="Arial"/>
                <w:color w:val="auto"/>
                <w:sz w:val="21"/>
                <w:highlight w:val="none"/>
              </w:rPr>
            </w:pPr>
          </w:p>
        </w:tc>
        <w:tc>
          <w:tcPr>
            <w:tcW w:w="634" w:type="dxa"/>
            <w:vAlign w:val="top"/>
          </w:tcPr>
          <w:p w14:paraId="55C7C0E0">
            <w:pPr>
              <w:rPr>
                <w:rFonts w:ascii="Arial"/>
                <w:color w:val="auto"/>
                <w:sz w:val="21"/>
                <w:highlight w:val="none"/>
              </w:rPr>
            </w:pPr>
          </w:p>
        </w:tc>
      </w:tr>
      <w:tr w14:paraId="2B2B7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6CD4B84">
            <w:pPr>
              <w:rPr>
                <w:rFonts w:ascii="Arial"/>
                <w:color w:val="auto"/>
                <w:sz w:val="21"/>
                <w:highlight w:val="none"/>
              </w:rPr>
            </w:pPr>
          </w:p>
        </w:tc>
        <w:tc>
          <w:tcPr>
            <w:tcW w:w="2578" w:type="dxa"/>
            <w:vAlign w:val="top"/>
          </w:tcPr>
          <w:p w14:paraId="344E234A">
            <w:pPr>
              <w:rPr>
                <w:rFonts w:ascii="Arial"/>
                <w:color w:val="auto"/>
                <w:sz w:val="21"/>
                <w:highlight w:val="none"/>
              </w:rPr>
            </w:pPr>
          </w:p>
        </w:tc>
        <w:tc>
          <w:tcPr>
            <w:tcW w:w="806" w:type="dxa"/>
            <w:vAlign w:val="top"/>
          </w:tcPr>
          <w:p w14:paraId="613C4AEB">
            <w:pPr>
              <w:rPr>
                <w:rFonts w:ascii="Arial"/>
                <w:color w:val="auto"/>
                <w:sz w:val="21"/>
                <w:highlight w:val="none"/>
              </w:rPr>
            </w:pPr>
          </w:p>
        </w:tc>
        <w:tc>
          <w:tcPr>
            <w:tcW w:w="562" w:type="dxa"/>
            <w:vAlign w:val="top"/>
          </w:tcPr>
          <w:p w14:paraId="147F2595">
            <w:pPr>
              <w:rPr>
                <w:rFonts w:ascii="Arial"/>
                <w:color w:val="auto"/>
                <w:sz w:val="21"/>
                <w:highlight w:val="none"/>
              </w:rPr>
            </w:pPr>
          </w:p>
        </w:tc>
        <w:tc>
          <w:tcPr>
            <w:tcW w:w="556" w:type="dxa"/>
            <w:vAlign w:val="top"/>
          </w:tcPr>
          <w:p w14:paraId="7BBD8608">
            <w:pPr>
              <w:rPr>
                <w:rFonts w:ascii="Arial"/>
                <w:color w:val="auto"/>
                <w:sz w:val="21"/>
                <w:highlight w:val="none"/>
              </w:rPr>
            </w:pPr>
          </w:p>
        </w:tc>
        <w:tc>
          <w:tcPr>
            <w:tcW w:w="562" w:type="dxa"/>
            <w:vAlign w:val="top"/>
          </w:tcPr>
          <w:p w14:paraId="14E81BCD">
            <w:pPr>
              <w:rPr>
                <w:rFonts w:ascii="Arial"/>
                <w:color w:val="auto"/>
                <w:sz w:val="21"/>
                <w:highlight w:val="none"/>
              </w:rPr>
            </w:pPr>
          </w:p>
        </w:tc>
        <w:tc>
          <w:tcPr>
            <w:tcW w:w="676" w:type="dxa"/>
            <w:vAlign w:val="top"/>
          </w:tcPr>
          <w:p w14:paraId="7A15B16E">
            <w:pPr>
              <w:rPr>
                <w:rFonts w:ascii="Arial"/>
                <w:color w:val="auto"/>
                <w:sz w:val="21"/>
                <w:highlight w:val="none"/>
              </w:rPr>
            </w:pPr>
          </w:p>
        </w:tc>
        <w:tc>
          <w:tcPr>
            <w:tcW w:w="682" w:type="dxa"/>
            <w:vAlign w:val="top"/>
          </w:tcPr>
          <w:p w14:paraId="71EB2C4A">
            <w:pPr>
              <w:rPr>
                <w:rFonts w:ascii="Arial"/>
                <w:color w:val="auto"/>
                <w:sz w:val="21"/>
                <w:highlight w:val="none"/>
              </w:rPr>
            </w:pPr>
          </w:p>
        </w:tc>
        <w:tc>
          <w:tcPr>
            <w:tcW w:w="681" w:type="dxa"/>
            <w:vAlign w:val="top"/>
          </w:tcPr>
          <w:p w14:paraId="4DCFFD8C">
            <w:pPr>
              <w:rPr>
                <w:rFonts w:ascii="Arial"/>
                <w:color w:val="auto"/>
                <w:sz w:val="21"/>
                <w:highlight w:val="none"/>
              </w:rPr>
            </w:pPr>
          </w:p>
        </w:tc>
        <w:tc>
          <w:tcPr>
            <w:tcW w:w="624" w:type="dxa"/>
            <w:vAlign w:val="top"/>
          </w:tcPr>
          <w:p w14:paraId="1E07FF6A">
            <w:pPr>
              <w:rPr>
                <w:rFonts w:ascii="Arial"/>
                <w:color w:val="auto"/>
                <w:sz w:val="21"/>
                <w:highlight w:val="none"/>
              </w:rPr>
            </w:pPr>
          </w:p>
        </w:tc>
        <w:tc>
          <w:tcPr>
            <w:tcW w:w="628" w:type="dxa"/>
            <w:vAlign w:val="top"/>
          </w:tcPr>
          <w:p w14:paraId="1F14D84F">
            <w:pPr>
              <w:rPr>
                <w:rFonts w:ascii="Arial"/>
                <w:color w:val="auto"/>
                <w:sz w:val="21"/>
                <w:highlight w:val="none"/>
              </w:rPr>
            </w:pPr>
          </w:p>
        </w:tc>
        <w:tc>
          <w:tcPr>
            <w:tcW w:w="634" w:type="dxa"/>
            <w:vAlign w:val="top"/>
          </w:tcPr>
          <w:p w14:paraId="2714B5BC">
            <w:pPr>
              <w:rPr>
                <w:rFonts w:ascii="Arial"/>
                <w:color w:val="auto"/>
                <w:sz w:val="21"/>
                <w:highlight w:val="none"/>
              </w:rPr>
            </w:pPr>
          </w:p>
        </w:tc>
      </w:tr>
      <w:tr w14:paraId="54DFC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0BC7F00">
            <w:pPr>
              <w:rPr>
                <w:rFonts w:ascii="Arial"/>
                <w:color w:val="auto"/>
                <w:sz w:val="21"/>
                <w:highlight w:val="none"/>
              </w:rPr>
            </w:pPr>
          </w:p>
        </w:tc>
        <w:tc>
          <w:tcPr>
            <w:tcW w:w="2578" w:type="dxa"/>
            <w:vAlign w:val="top"/>
          </w:tcPr>
          <w:p w14:paraId="180BF6AD">
            <w:pPr>
              <w:rPr>
                <w:rFonts w:ascii="Arial"/>
                <w:color w:val="auto"/>
                <w:sz w:val="21"/>
                <w:highlight w:val="none"/>
              </w:rPr>
            </w:pPr>
          </w:p>
        </w:tc>
        <w:tc>
          <w:tcPr>
            <w:tcW w:w="806" w:type="dxa"/>
            <w:vAlign w:val="top"/>
          </w:tcPr>
          <w:p w14:paraId="56030AEE">
            <w:pPr>
              <w:rPr>
                <w:rFonts w:ascii="Arial"/>
                <w:color w:val="auto"/>
                <w:sz w:val="21"/>
                <w:highlight w:val="none"/>
              </w:rPr>
            </w:pPr>
          </w:p>
        </w:tc>
        <w:tc>
          <w:tcPr>
            <w:tcW w:w="562" w:type="dxa"/>
            <w:vAlign w:val="top"/>
          </w:tcPr>
          <w:p w14:paraId="69D6D57E">
            <w:pPr>
              <w:rPr>
                <w:rFonts w:ascii="Arial"/>
                <w:color w:val="auto"/>
                <w:sz w:val="21"/>
                <w:highlight w:val="none"/>
              </w:rPr>
            </w:pPr>
          </w:p>
        </w:tc>
        <w:tc>
          <w:tcPr>
            <w:tcW w:w="556" w:type="dxa"/>
            <w:vAlign w:val="top"/>
          </w:tcPr>
          <w:p w14:paraId="672BD7F3">
            <w:pPr>
              <w:rPr>
                <w:rFonts w:ascii="Arial"/>
                <w:color w:val="auto"/>
                <w:sz w:val="21"/>
                <w:highlight w:val="none"/>
              </w:rPr>
            </w:pPr>
          </w:p>
        </w:tc>
        <w:tc>
          <w:tcPr>
            <w:tcW w:w="562" w:type="dxa"/>
            <w:vAlign w:val="top"/>
          </w:tcPr>
          <w:p w14:paraId="0A0C0DF1">
            <w:pPr>
              <w:rPr>
                <w:rFonts w:ascii="Arial"/>
                <w:color w:val="auto"/>
                <w:sz w:val="21"/>
                <w:highlight w:val="none"/>
              </w:rPr>
            </w:pPr>
          </w:p>
        </w:tc>
        <w:tc>
          <w:tcPr>
            <w:tcW w:w="676" w:type="dxa"/>
            <w:vAlign w:val="top"/>
          </w:tcPr>
          <w:p w14:paraId="1014534F">
            <w:pPr>
              <w:rPr>
                <w:rFonts w:ascii="Arial"/>
                <w:color w:val="auto"/>
                <w:sz w:val="21"/>
                <w:highlight w:val="none"/>
              </w:rPr>
            </w:pPr>
          </w:p>
        </w:tc>
        <w:tc>
          <w:tcPr>
            <w:tcW w:w="682" w:type="dxa"/>
            <w:vAlign w:val="top"/>
          </w:tcPr>
          <w:p w14:paraId="06F05B78">
            <w:pPr>
              <w:rPr>
                <w:rFonts w:ascii="Arial"/>
                <w:color w:val="auto"/>
                <w:sz w:val="21"/>
                <w:highlight w:val="none"/>
              </w:rPr>
            </w:pPr>
          </w:p>
        </w:tc>
        <w:tc>
          <w:tcPr>
            <w:tcW w:w="681" w:type="dxa"/>
            <w:vAlign w:val="top"/>
          </w:tcPr>
          <w:p w14:paraId="23BA8D45">
            <w:pPr>
              <w:rPr>
                <w:rFonts w:ascii="Arial"/>
                <w:color w:val="auto"/>
                <w:sz w:val="21"/>
                <w:highlight w:val="none"/>
              </w:rPr>
            </w:pPr>
          </w:p>
        </w:tc>
        <w:tc>
          <w:tcPr>
            <w:tcW w:w="624" w:type="dxa"/>
            <w:vAlign w:val="top"/>
          </w:tcPr>
          <w:p w14:paraId="1BA4962C">
            <w:pPr>
              <w:rPr>
                <w:rFonts w:ascii="Arial"/>
                <w:color w:val="auto"/>
                <w:sz w:val="21"/>
                <w:highlight w:val="none"/>
              </w:rPr>
            </w:pPr>
          </w:p>
        </w:tc>
        <w:tc>
          <w:tcPr>
            <w:tcW w:w="628" w:type="dxa"/>
            <w:vAlign w:val="top"/>
          </w:tcPr>
          <w:p w14:paraId="4B89D1F2">
            <w:pPr>
              <w:rPr>
                <w:rFonts w:ascii="Arial"/>
                <w:color w:val="auto"/>
                <w:sz w:val="21"/>
                <w:highlight w:val="none"/>
              </w:rPr>
            </w:pPr>
          </w:p>
        </w:tc>
        <w:tc>
          <w:tcPr>
            <w:tcW w:w="634" w:type="dxa"/>
            <w:vAlign w:val="top"/>
          </w:tcPr>
          <w:p w14:paraId="4832CF2F">
            <w:pPr>
              <w:rPr>
                <w:rFonts w:ascii="Arial"/>
                <w:color w:val="auto"/>
                <w:sz w:val="21"/>
                <w:highlight w:val="none"/>
              </w:rPr>
            </w:pPr>
          </w:p>
        </w:tc>
      </w:tr>
      <w:tr w14:paraId="54EC2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1FEBC7B">
            <w:pPr>
              <w:rPr>
                <w:rFonts w:ascii="Arial"/>
                <w:color w:val="auto"/>
                <w:sz w:val="21"/>
                <w:highlight w:val="none"/>
              </w:rPr>
            </w:pPr>
          </w:p>
        </w:tc>
        <w:tc>
          <w:tcPr>
            <w:tcW w:w="2578" w:type="dxa"/>
            <w:vAlign w:val="top"/>
          </w:tcPr>
          <w:p w14:paraId="5F6F7BD2">
            <w:pPr>
              <w:rPr>
                <w:rFonts w:ascii="Arial"/>
                <w:color w:val="auto"/>
                <w:sz w:val="21"/>
                <w:highlight w:val="none"/>
              </w:rPr>
            </w:pPr>
          </w:p>
        </w:tc>
        <w:tc>
          <w:tcPr>
            <w:tcW w:w="806" w:type="dxa"/>
            <w:vAlign w:val="top"/>
          </w:tcPr>
          <w:p w14:paraId="130BE34F">
            <w:pPr>
              <w:rPr>
                <w:rFonts w:ascii="Arial"/>
                <w:color w:val="auto"/>
                <w:sz w:val="21"/>
                <w:highlight w:val="none"/>
              </w:rPr>
            </w:pPr>
          </w:p>
        </w:tc>
        <w:tc>
          <w:tcPr>
            <w:tcW w:w="562" w:type="dxa"/>
            <w:vAlign w:val="top"/>
          </w:tcPr>
          <w:p w14:paraId="0D47583D">
            <w:pPr>
              <w:rPr>
                <w:rFonts w:ascii="Arial"/>
                <w:color w:val="auto"/>
                <w:sz w:val="21"/>
                <w:highlight w:val="none"/>
              </w:rPr>
            </w:pPr>
          </w:p>
        </w:tc>
        <w:tc>
          <w:tcPr>
            <w:tcW w:w="556" w:type="dxa"/>
            <w:vAlign w:val="top"/>
          </w:tcPr>
          <w:p w14:paraId="600C7CC5">
            <w:pPr>
              <w:rPr>
                <w:rFonts w:ascii="Arial"/>
                <w:color w:val="auto"/>
                <w:sz w:val="21"/>
                <w:highlight w:val="none"/>
              </w:rPr>
            </w:pPr>
          </w:p>
        </w:tc>
        <w:tc>
          <w:tcPr>
            <w:tcW w:w="562" w:type="dxa"/>
            <w:vAlign w:val="top"/>
          </w:tcPr>
          <w:p w14:paraId="5642FEDB">
            <w:pPr>
              <w:rPr>
                <w:rFonts w:ascii="Arial"/>
                <w:color w:val="auto"/>
                <w:sz w:val="21"/>
                <w:highlight w:val="none"/>
              </w:rPr>
            </w:pPr>
          </w:p>
        </w:tc>
        <w:tc>
          <w:tcPr>
            <w:tcW w:w="676" w:type="dxa"/>
            <w:vAlign w:val="top"/>
          </w:tcPr>
          <w:p w14:paraId="2FFA3C58">
            <w:pPr>
              <w:rPr>
                <w:rFonts w:ascii="Arial"/>
                <w:color w:val="auto"/>
                <w:sz w:val="21"/>
                <w:highlight w:val="none"/>
              </w:rPr>
            </w:pPr>
          </w:p>
        </w:tc>
        <w:tc>
          <w:tcPr>
            <w:tcW w:w="682" w:type="dxa"/>
            <w:vAlign w:val="top"/>
          </w:tcPr>
          <w:p w14:paraId="4DEDF854">
            <w:pPr>
              <w:rPr>
                <w:rFonts w:ascii="Arial"/>
                <w:color w:val="auto"/>
                <w:sz w:val="21"/>
                <w:highlight w:val="none"/>
              </w:rPr>
            </w:pPr>
          </w:p>
        </w:tc>
        <w:tc>
          <w:tcPr>
            <w:tcW w:w="681" w:type="dxa"/>
            <w:vAlign w:val="top"/>
          </w:tcPr>
          <w:p w14:paraId="3651E198">
            <w:pPr>
              <w:rPr>
                <w:rFonts w:ascii="Arial"/>
                <w:color w:val="auto"/>
                <w:sz w:val="21"/>
                <w:highlight w:val="none"/>
              </w:rPr>
            </w:pPr>
          </w:p>
        </w:tc>
        <w:tc>
          <w:tcPr>
            <w:tcW w:w="624" w:type="dxa"/>
            <w:vAlign w:val="top"/>
          </w:tcPr>
          <w:p w14:paraId="03A887E9">
            <w:pPr>
              <w:rPr>
                <w:rFonts w:ascii="Arial"/>
                <w:color w:val="auto"/>
                <w:sz w:val="21"/>
                <w:highlight w:val="none"/>
              </w:rPr>
            </w:pPr>
          </w:p>
        </w:tc>
        <w:tc>
          <w:tcPr>
            <w:tcW w:w="628" w:type="dxa"/>
            <w:vAlign w:val="top"/>
          </w:tcPr>
          <w:p w14:paraId="00EE952A">
            <w:pPr>
              <w:rPr>
                <w:rFonts w:ascii="Arial"/>
                <w:color w:val="auto"/>
                <w:sz w:val="21"/>
                <w:highlight w:val="none"/>
              </w:rPr>
            </w:pPr>
          </w:p>
        </w:tc>
        <w:tc>
          <w:tcPr>
            <w:tcW w:w="634" w:type="dxa"/>
            <w:vAlign w:val="top"/>
          </w:tcPr>
          <w:p w14:paraId="359E8F51">
            <w:pPr>
              <w:rPr>
                <w:rFonts w:ascii="Arial"/>
                <w:color w:val="auto"/>
                <w:sz w:val="21"/>
                <w:highlight w:val="none"/>
              </w:rPr>
            </w:pPr>
          </w:p>
        </w:tc>
      </w:tr>
      <w:tr w14:paraId="52C77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75EE42C8">
            <w:pPr>
              <w:rPr>
                <w:rFonts w:ascii="Arial"/>
                <w:color w:val="auto"/>
                <w:sz w:val="21"/>
                <w:highlight w:val="none"/>
              </w:rPr>
            </w:pPr>
          </w:p>
        </w:tc>
        <w:tc>
          <w:tcPr>
            <w:tcW w:w="2578" w:type="dxa"/>
            <w:vAlign w:val="top"/>
          </w:tcPr>
          <w:p w14:paraId="1B7E5545">
            <w:pPr>
              <w:rPr>
                <w:rFonts w:ascii="Arial"/>
                <w:color w:val="auto"/>
                <w:sz w:val="21"/>
                <w:highlight w:val="none"/>
              </w:rPr>
            </w:pPr>
          </w:p>
        </w:tc>
        <w:tc>
          <w:tcPr>
            <w:tcW w:w="806" w:type="dxa"/>
            <w:vAlign w:val="top"/>
          </w:tcPr>
          <w:p w14:paraId="4BA105D8">
            <w:pPr>
              <w:rPr>
                <w:rFonts w:ascii="Arial"/>
                <w:color w:val="auto"/>
                <w:sz w:val="21"/>
                <w:highlight w:val="none"/>
              </w:rPr>
            </w:pPr>
          </w:p>
        </w:tc>
        <w:tc>
          <w:tcPr>
            <w:tcW w:w="562" w:type="dxa"/>
            <w:vAlign w:val="top"/>
          </w:tcPr>
          <w:p w14:paraId="15D78B55">
            <w:pPr>
              <w:rPr>
                <w:rFonts w:ascii="Arial"/>
                <w:color w:val="auto"/>
                <w:sz w:val="21"/>
                <w:highlight w:val="none"/>
              </w:rPr>
            </w:pPr>
          </w:p>
        </w:tc>
        <w:tc>
          <w:tcPr>
            <w:tcW w:w="556" w:type="dxa"/>
            <w:vAlign w:val="top"/>
          </w:tcPr>
          <w:p w14:paraId="5823B32A">
            <w:pPr>
              <w:rPr>
                <w:rFonts w:ascii="Arial"/>
                <w:color w:val="auto"/>
                <w:sz w:val="21"/>
                <w:highlight w:val="none"/>
              </w:rPr>
            </w:pPr>
          </w:p>
        </w:tc>
        <w:tc>
          <w:tcPr>
            <w:tcW w:w="562" w:type="dxa"/>
            <w:vAlign w:val="top"/>
          </w:tcPr>
          <w:p w14:paraId="797D4E9E">
            <w:pPr>
              <w:rPr>
                <w:rFonts w:ascii="Arial"/>
                <w:color w:val="auto"/>
                <w:sz w:val="21"/>
                <w:highlight w:val="none"/>
              </w:rPr>
            </w:pPr>
          </w:p>
        </w:tc>
        <w:tc>
          <w:tcPr>
            <w:tcW w:w="676" w:type="dxa"/>
            <w:vAlign w:val="top"/>
          </w:tcPr>
          <w:p w14:paraId="51E1005B">
            <w:pPr>
              <w:rPr>
                <w:rFonts w:ascii="Arial"/>
                <w:color w:val="auto"/>
                <w:sz w:val="21"/>
                <w:highlight w:val="none"/>
              </w:rPr>
            </w:pPr>
          </w:p>
        </w:tc>
        <w:tc>
          <w:tcPr>
            <w:tcW w:w="682" w:type="dxa"/>
            <w:vAlign w:val="top"/>
          </w:tcPr>
          <w:p w14:paraId="0D4ADF62">
            <w:pPr>
              <w:rPr>
                <w:rFonts w:ascii="Arial"/>
                <w:color w:val="auto"/>
                <w:sz w:val="21"/>
                <w:highlight w:val="none"/>
              </w:rPr>
            </w:pPr>
          </w:p>
        </w:tc>
        <w:tc>
          <w:tcPr>
            <w:tcW w:w="681" w:type="dxa"/>
            <w:vAlign w:val="top"/>
          </w:tcPr>
          <w:p w14:paraId="736A47AC">
            <w:pPr>
              <w:rPr>
                <w:rFonts w:ascii="Arial"/>
                <w:color w:val="auto"/>
                <w:sz w:val="21"/>
                <w:highlight w:val="none"/>
              </w:rPr>
            </w:pPr>
          </w:p>
        </w:tc>
        <w:tc>
          <w:tcPr>
            <w:tcW w:w="624" w:type="dxa"/>
            <w:vAlign w:val="top"/>
          </w:tcPr>
          <w:p w14:paraId="047B2CA2">
            <w:pPr>
              <w:rPr>
                <w:rFonts w:ascii="Arial"/>
                <w:color w:val="auto"/>
                <w:sz w:val="21"/>
                <w:highlight w:val="none"/>
              </w:rPr>
            </w:pPr>
          </w:p>
        </w:tc>
        <w:tc>
          <w:tcPr>
            <w:tcW w:w="628" w:type="dxa"/>
            <w:vAlign w:val="top"/>
          </w:tcPr>
          <w:p w14:paraId="72F4FA15">
            <w:pPr>
              <w:rPr>
                <w:rFonts w:ascii="Arial"/>
                <w:color w:val="auto"/>
                <w:sz w:val="21"/>
                <w:highlight w:val="none"/>
              </w:rPr>
            </w:pPr>
          </w:p>
        </w:tc>
        <w:tc>
          <w:tcPr>
            <w:tcW w:w="634" w:type="dxa"/>
            <w:vAlign w:val="top"/>
          </w:tcPr>
          <w:p w14:paraId="23A63BA9">
            <w:pPr>
              <w:rPr>
                <w:rFonts w:ascii="Arial"/>
                <w:color w:val="auto"/>
                <w:sz w:val="21"/>
                <w:highlight w:val="none"/>
              </w:rPr>
            </w:pPr>
          </w:p>
        </w:tc>
      </w:tr>
      <w:tr w14:paraId="04A8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14:paraId="7B060594">
            <w:pPr>
              <w:rPr>
                <w:rFonts w:ascii="Arial"/>
                <w:color w:val="auto"/>
                <w:sz w:val="21"/>
                <w:highlight w:val="none"/>
              </w:rPr>
            </w:pPr>
          </w:p>
        </w:tc>
        <w:tc>
          <w:tcPr>
            <w:tcW w:w="2578" w:type="dxa"/>
            <w:vAlign w:val="top"/>
          </w:tcPr>
          <w:p w14:paraId="6C20E450">
            <w:pPr>
              <w:rPr>
                <w:rFonts w:ascii="Arial"/>
                <w:color w:val="auto"/>
                <w:sz w:val="21"/>
                <w:highlight w:val="none"/>
              </w:rPr>
            </w:pPr>
          </w:p>
        </w:tc>
        <w:tc>
          <w:tcPr>
            <w:tcW w:w="806" w:type="dxa"/>
            <w:vAlign w:val="top"/>
          </w:tcPr>
          <w:p w14:paraId="1DFEE37A">
            <w:pPr>
              <w:rPr>
                <w:rFonts w:ascii="Arial"/>
                <w:color w:val="auto"/>
                <w:sz w:val="21"/>
                <w:highlight w:val="none"/>
              </w:rPr>
            </w:pPr>
          </w:p>
        </w:tc>
        <w:tc>
          <w:tcPr>
            <w:tcW w:w="562" w:type="dxa"/>
            <w:vAlign w:val="top"/>
          </w:tcPr>
          <w:p w14:paraId="75B7C827">
            <w:pPr>
              <w:rPr>
                <w:rFonts w:ascii="Arial"/>
                <w:color w:val="auto"/>
                <w:sz w:val="21"/>
                <w:highlight w:val="none"/>
              </w:rPr>
            </w:pPr>
          </w:p>
        </w:tc>
        <w:tc>
          <w:tcPr>
            <w:tcW w:w="556" w:type="dxa"/>
            <w:vAlign w:val="top"/>
          </w:tcPr>
          <w:p w14:paraId="18A178A4">
            <w:pPr>
              <w:rPr>
                <w:rFonts w:ascii="Arial"/>
                <w:color w:val="auto"/>
                <w:sz w:val="21"/>
                <w:highlight w:val="none"/>
              </w:rPr>
            </w:pPr>
          </w:p>
        </w:tc>
        <w:tc>
          <w:tcPr>
            <w:tcW w:w="562" w:type="dxa"/>
            <w:vAlign w:val="top"/>
          </w:tcPr>
          <w:p w14:paraId="41D6506D">
            <w:pPr>
              <w:rPr>
                <w:rFonts w:ascii="Arial"/>
                <w:color w:val="auto"/>
                <w:sz w:val="21"/>
                <w:highlight w:val="none"/>
              </w:rPr>
            </w:pPr>
          </w:p>
        </w:tc>
        <w:tc>
          <w:tcPr>
            <w:tcW w:w="676" w:type="dxa"/>
            <w:vAlign w:val="top"/>
          </w:tcPr>
          <w:p w14:paraId="7AE81D7A">
            <w:pPr>
              <w:rPr>
                <w:rFonts w:ascii="Arial"/>
                <w:color w:val="auto"/>
                <w:sz w:val="21"/>
                <w:highlight w:val="none"/>
              </w:rPr>
            </w:pPr>
          </w:p>
        </w:tc>
        <w:tc>
          <w:tcPr>
            <w:tcW w:w="682" w:type="dxa"/>
            <w:vAlign w:val="top"/>
          </w:tcPr>
          <w:p w14:paraId="33F78CD8">
            <w:pPr>
              <w:rPr>
                <w:rFonts w:ascii="Arial"/>
                <w:color w:val="auto"/>
                <w:sz w:val="21"/>
                <w:highlight w:val="none"/>
              </w:rPr>
            </w:pPr>
          </w:p>
        </w:tc>
        <w:tc>
          <w:tcPr>
            <w:tcW w:w="681" w:type="dxa"/>
            <w:vAlign w:val="top"/>
          </w:tcPr>
          <w:p w14:paraId="3BF0C7BE">
            <w:pPr>
              <w:rPr>
                <w:rFonts w:ascii="Arial"/>
                <w:color w:val="auto"/>
                <w:sz w:val="21"/>
                <w:highlight w:val="none"/>
              </w:rPr>
            </w:pPr>
          </w:p>
        </w:tc>
        <w:tc>
          <w:tcPr>
            <w:tcW w:w="624" w:type="dxa"/>
            <w:vAlign w:val="top"/>
          </w:tcPr>
          <w:p w14:paraId="0A0E9BB7">
            <w:pPr>
              <w:rPr>
                <w:rFonts w:ascii="Arial"/>
                <w:color w:val="auto"/>
                <w:sz w:val="21"/>
                <w:highlight w:val="none"/>
              </w:rPr>
            </w:pPr>
          </w:p>
        </w:tc>
        <w:tc>
          <w:tcPr>
            <w:tcW w:w="628" w:type="dxa"/>
            <w:vAlign w:val="top"/>
          </w:tcPr>
          <w:p w14:paraId="28BC05FF">
            <w:pPr>
              <w:rPr>
                <w:rFonts w:ascii="Arial"/>
                <w:color w:val="auto"/>
                <w:sz w:val="21"/>
                <w:highlight w:val="none"/>
              </w:rPr>
            </w:pPr>
          </w:p>
        </w:tc>
        <w:tc>
          <w:tcPr>
            <w:tcW w:w="634" w:type="dxa"/>
            <w:vAlign w:val="top"/>
          </w:tcPr>
          <w:p w14:paraId="4CFE9F70">
            <w:pPr>
              <w:rPr>
                <w:rFonts w:ascii="Arial"/>
                <w:color w:val="auto"/>
                <w:sz w:val="21"/>
                <w:highlight w:val="none"/>
              </w:rPr>
            </w:pPr>
          </w:p>
        </w:tc>
      </w:tr>
      <w:tr w14:paraId="46030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14:paraId="74857974">
            <w:pPr>
              <w:rPr>
                <w:rFonts w:ascii="Arial"/>
                <w:color w:val="auto"/>
                <w:sz w:val="21"/>
                <w:highlight w:val="none"/>
              </w:rPr>
            </w:pPr>
          </w:p>
        </w:tc>
        <w:tc>
          <w:tcPr>
            <w:tcW w:w="562" w:type="dxa"/>
            <w:vAlign w:val="top"/>
          </w:tcPr>
          <w:p w14:paraId="0845482A">
            <w:pPr>
              <w:rPr>
                <w:rFonts w:ascii="Arial"/>
                <w:color w:val="auto"/>
                <w:sz w:val="21"/>
                <w:highlight w:val="none"/>
              </w:rPr>
            </w:pPr>
          </w:p>
        </w:tc>
        <w:tc>
          <w:tcPr>
            <w:tcW w:w="556" w:type="dxa"/>
            <w:vAlign w:val="top"/>
          </w:tcPr>
          <w:p w14:paraId="1900B2A2">
            <w:pPr>
              <w:rPr>
                <w:rFonts w:ascii="Arial"/>
                <w:color w:val="auto"/>
                <w:sz w:val="21"/>
                <w:highlight w:val="none"/>
              </w:rPr>
            </w:pPr>
          </w:p>
        </w:tc>
        <w:tc>
          <w:tcPr>
            <w:tcW w:w="562" w:type="dxa"/>
            <w:vAlign w:val="top"/>
          </w:tcPr>
          <w:p w14:paraId="600BB352">
            <w:pPr>
              <w:rPr>
                <w:rFonts w:ascii="Arial"/>
                <w:color w:val="auto"/>
                <w:sz w:val="21"/>
                <w:highlight w:val="none"/>
              </w:rPr>
            </w:pPr>
          </w:p>
        </w:tc>
        <w:tc>
          <w:tcPr>
            <w:tcW w:w="676" w:type="dxa"/>
            <w:vAlign w:val="top"/>
          </w:tcPr>
          <w:p w14:paraId="41032BF7">
            <w:pPr>
              <w:rPr>
                <w:rFonts w:ascii="Arial"/>
                <w:color w:val="auto"/>
                <w:sz w:val="21"/>
                <w:highlight w:val="none"/>
              </w:rPr>
            </w:pPr>
          </w:p>
        </w:tc>
        <w:tc>
          <w:tcPr>
            <w:tcW w:w="682" w:type="dxa"/>
            <w:vAlign w:val="top"/>
          </w:tcPr>
          <w:p w14:paraId="32ABE29B">
            <w:pPr>
              <w:rPr>
                <w:rFonts w:ascii="Arial"/>
                <w:color w:val="auto"/>
                <w:sz w:val="21"/>
                <w:highlight w:val="none"/>
              </w:rPr>
            </w:pPr>
          </w:p>
        </w:tc>
        <w:tc>
          <w:tcPr>
            <w:tcW w:w="681" w:type="dxa"/>
            <w:vAlign w:val="top"/>
          </w:tcPr>
          <w:p w14:paraId="5609B1BD">
            <w:pPr>
              <w:rPr>
                <w:rFonts w:ascii="Arial"/>
                <w:color w:val="auto"/>
                <w:sz w:val="21"/>
                <w:highlight w:val="none"/>
              </w:rPr>
            </w:pPr>
          </w:p>
        </w:tc>
        <w:tc>
          <w:tcPr>
            <w:tcW w:w="624" w:type="dxa"/>
            <w:vAlign w:val="top"/>
          </w:tcPr>
          <w:p w14:paraId="615DAFC6">
            <w:pPr>
              <w:rPr>
                <w:rFonts w:ascii="Arial"/>
                <w:color w:val="auto"/>
                <w:sz w:val="21"/>
                <w:highlight w:val="none"/>
              </w:rPr>
            </w:pPr>
          </w:p>
        </w:tc>
        <w:tc>
          <w:tcPr>
            <w:tcW w:w="628" w:type="dxa"/>
            <w:vAlign w:val="top"/>
          </w:tcPr>
          <w:p w14:paraId="392B148C">
            <w:pPr>
              <w:rPr>
                <w:rFonts w:ascii="Arial"/>
                <w:color w:val="auto"/>
                <w:sz w:val="21"/>
                <w:highlight w:val="none"/>
              </w:rPr>
            </w:pPr>
          </w:p>
        </w:tc>
        <w:tc>
          <w:tcPr>
            <w:tcW w:w="634" w:type="dxa"/>
            <w:vAlign w:val="top"/>
          </w:tcPr>
          <w:p w14:paraId="280221D3">
            <w:pPr>
              <w:rPr>
                <w:rFonts w:ascii="Arial"/>
                <w:color w:val="auto"/>
                <w:sz w:val="21"/>
                <w:highlight w:val="none"/>
              </w:rPr>
            </w:pPr>
          </w:p>
        </w:tc>
      </w:tr>
    </w:tbl>
    <w:p w14:paraId="1A209088">
      <w:pPr>
        <w:spacing w:before="149" w:line="221" w:lineRule="auto"/>
        <w:ind w:left="1049" w:right="620" w:hanging="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注：此表由招标人填写“暂估单价”，并在备注栏说明</w:t>
      </w:r>
      <w:r>
        <w:rPr>
          <w:rFonts w:ascii="宋体" w:hAnsi="宋体" w:eastAsia="宋体" w:cs="宋体"/>
          <w:color w:val="auto"/>
          <w:spacing w:val="-3"/>
          <w:sz w:val="21"/>
          <w:szCs w:val="21"/>
          <w:highlight w:val="none"/>
        </w:rPr>
        <w:t>暂估价的材料、工程设备拟用在那些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 xml:space="preserve">清单项目上，投标人应将上述材料、工程设备暂估单价计入工程量清单综合单价报价 </w:t>
      </w:r>
      <w:r>
        <w:rPr>
          <w:rFonts w:ascii="宋体" w:hAnsi="宋体" w:eastAsia="宋体" w:cs="宋体"/>
          <w:color w:val="auto"/>
          <w:spacing w:val="-10"/>
          <w:sz w:val="21"/>
          <w:szCs w:val="21"/>
          <w:highlight w:val="none"/>
        </w:rPr>
        <w:t>中。</w:t>
      </w:r>
    </w:p>
    <w:p w14:paraId="5F14FDFE">
      <w:pPr>
        <w:spacing w:line="221" w:lineRule="auto"/>
        <w:rPr>
          <w:rFonts w:ascii="宋体" w:hAnsi="宋体" w:eastAsia="宋体" w:cs="宋体"/>
          <w:color w:val="auto"/>
          <w:sz w:val="21"/>
          <w:szCs w:val="21"/>
          <w:highlight w:val="none"/>
        </w:rPr>
        <w:sectPr>
          <w:type w:val="continuous"/>
          <w:pgSz w:w="11905" w:h="16839"/>
          <w:pgMar w:top="400" w:right="1171" w:bottom="1004" w:left="1176" w:header="0" w:footer="828" w:gutter="0"/>
          <w:pgNumType w:fmt="decimal"/>
          <w:cols w:equalWidth="0" w:num="1">
            <w:col w:w="9556"/>
          </w:cols>
        </w:sectPr>
      </w:pPr>
    </w:p>
    <w:p w14:paraId="0A64B0F2">
      <w:pPr>
        <w:pStyle w:val="5"/>
        <w:spacing w:line="267" w:lineRule="auto"/>
        <w:rPr>
          <w:color w:val="auto"/>
          <w:highlight w:val="none"/>
        </w:rPr>
      </w:pPr>
    </w:p>
    <w:p w14:paraId="2BE76E00">
      <w:pPr>
        <w:pStyle w:val="5"/>
        <w:spacing w:line="267" w:lineRule="auto"/>
        <w:rPr>
          <w:color w:val="auto"/>
          <w:highlight w:val="none"/>
        </w:rPr>
      </w:pPr>
    </w:p>
    <w:p w14:paraId="17EDD323">
      <w:pPr>
        <w:pStyle w:val="5"/>
        <w:spacing w:line="268" w:lineRule="auto"/>
        <w:rPr>
          <w:color w:val="auto"/>
          <w:highlight w:val="none"/>
        </w:rPr>
      </w:pPr>
    </w:p>
    <w:p w14:paraId="360039EA">
      <w:pPr>
        <w:pStyle w:val="5"/>
        <w:spacing w:line="268" w:lineRule="auto"/>
        <w:rPr>
          <w:color w:val="auto"/>
          <w:highlight w:val="none"/>
        </w:rPr>
      </w:pPr>
    </w:p>
    <w:p w14:paraId="57D5A575">
      <w:pPr>
        <w:spacing w:before="78" w:line="219" w:lineRule="auto"/>
        <w:ind w:left="6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4.12-3 </w:t>
      </w:r>
      <w:r>
        <w:rPr>
          <w:rFonts w:ascii="黑体" w:hAnsi="黑体" w:eastAsia="黑体" w:cs="黑体"/>
          <w:color w:val="auto"/>
          <w:spacing w:val="-1"/>
          <w:sz w:val="24"/>
          <w:szCs w:val="24"/>
          <w:highlight w:val="none"/>
        </w:rPr>
        <w:t>专业工程暂估价及结算价表</w:t>
      </w:r>
    </w:p>
    <w:p w14:paraId="38253AB9">
      <w:pPr>
        <w:pStyle w:val="5"/>
        <w:spacing w:line="278" w:lineRule="auto"/>
        <w:rPr>
          <w:color w:val="auto"/>
          <w:highlight w:val="none"/>
        </w:rPr>
      </w:pPr>
    </w:p>
    <w:p w14:paraId="10DF2D72">
      <w:pPr>
        <w:pStyle w:val="5"/>
        <w:spacing w:line="278" w:lineRule="auto"/>
        <w:rPr>
          <w:color w:val="auto"/>
          <w:highlight w:val="none"/>
        </w:rPr>
      </w:pPr>
    </w:p>
    <w:p w14:paraId="6B3ABE45">
      <w:pPr>
        <w:spacing w:before="87" w:line="225" w:lineRule="auto"/>
        <w:ind w:left="3103"/>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专业工程暂估价及结算价表</w:t>
      </w:r>
    </w:p>
    <w:p w14:paraId="167CCEA6">
      <w:pPr>
        <w:spacing w:line="162" w:lineRule="exact"/>
        <w:rPr>
          <w:color w:val="auto"/>
          <w:highlight w:val="none"/>
        </w:rPr>
      </w:pPr>
    </w:p>
    <w:p w14:paraId="72FF1C2C">
      <w:pPr>
        <w:spacing w:line="162" w:lineRule="exact"/>
        <w:rPr>
          <w:color w:val="auto"/>
          <w:highlight w:val="none"/>
        </w:rPr>
        <w:sectPr>
          <w:footerReference r:id="rId136" w:type="default"/>
          <w:pgSz w:w="11905" w:h="16839"/>
          <w:pgMar w:top="400" w:right="1176" w:bottom="1004" w:left="1186" w:header="0" w:footer="829" w:gutter="0"/>
          <w:pgNumType w:fmt="decimal"/>
          <w:cols w:equalWidth="0" w:num="1">
            <w:col w:w="9542"/>
          </w:cols>
        </w:sectPr>
      </w:pPr>
    </w:p>
    <w:p w14:paraId="47CA9A5C">
      <w:pPr>
        <w:spacing w:before="41" w:line="186" w:lineRule="auto"/>
        <w:ind w:left="12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工程名称：</w:t>
      </w:r>
    </w:p>
    <w:p w14:paraId="7336E402">
      <w:pPr>
        <w:pStyle w:val="5"/>
        <w:spacing w:line="14" w:lineRule="auto"/>
        <w:rPr>
          <w:color w:val="auto"/>
          <w:sz w:val="2"/>
          <w:highlight w:val="none"/>
        </w:rPr>
      </w:pPr>
      <w:r>
        <w:rPr>
          <w:color w:val="auto"/>
          <w:sz w:val="2"/>
          <w:szCs w:val="2"/>
          <w:highlight w:val="none"/>
        </w:rPr>
        <w:br w:type="column"/>
      </w:r>
    </w:p>
    <w:p w14:paraId="7697D356">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标段名称：</w:t>
      </w:r>
      <w:r>
        <w:rPr>
          <w:rFonts w:ascii="宋体" w:hAnsi="宋体" w:eastAsia="宋体" w:cs="宋体"/>
          <w:color w:val="auto"/>
          <w:spacing w:val="2"/>
          <w:sz w:val="20"/>
          <w:szCs w:val="20"/>
          <w:highlight w:val="none"/>
        </w:rPr>
        <w:t xml:space="preserve">                       </w:t>
      </w:r>
      <w:r>
        <w:rPr>
          <w:rFonts w:ascii="宋体" w:hAnsi="宋体" w:eastAsia="宋体" w:cs="宋体"/>
          <w:color w:val="auto"/>
          <w:spacing w:val="-2"/>
          <w:sz w:val="20"/>
          <w:szCs w:val="20"/>
          <w:highlight w:val="none"/>
        </w:rPr>
        <w:t>第</w:t>
      </w:r>
    </w:p>
    <w:p w14:paraId="108945E7">
      <w:pPr>
        <w:pStyle w:val="5"/>
        <w:spacing w:line="14" w:lineRule="auto"/>
        <w:rPr>
          <w:color w:val="auto"/>
          <w:sz w:val="2"/>
          <w:highlight w:val="none"/>
        </w:rPr>
      </w:pPr>
      <w:r>
        <w:rPr>
          <w:color w:val="auto"/>
          <w:sz w:val="2"/>
          <w:szCs w:val="2"/>
          <w:highlight w:val="none"/>
        </w:rPr>
        <w:br w:type="column"/>
      </w:r>
    </w:p>
    <w:p w14:paraId="3663F6A5">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页 共</w:t>
      </w:r>
      <w:r>
        <w:rPr>
          <w:rFonts w:ascii="宋体" w:hAnsi="宋体" w:eastAsia="宋体" w:cs="宋体"/>
          <w:color w:val="auto"/>
          <w:spacing w:val="14"/>
          <w:sz w:val="20"/>
          <w:szCs w:val="20"/>
          <w:highlight w:val="none"/>
        </w:rPr>
        <w:t xml:space="preserve"> </w:t>
      </w:r>
      <w:r>
        <w:rPr>
          <w:rFonts w:ascii="宋体" w:hAnsi="宋体" w:eastAsia="宋体" w:cs="宋体"/>
          <w:color w:val="auto"/>
          <w:spacing w:val="-4"/>
          <w:sz w:val="20"/>
          <w:szCs w:val="20"/>
          <w:highlight w:val="none"/>
        </w:rPr>
        <w:t>页</w:t>
      </w:r>
    </w:p>
    <w:p w14:paraId="36B15953">
      <w:pPr>
        <w:spacing w:line="186" w:lineRule="auto"/>
        <w:rPr>
          <w:rFonts w:ascii="宋体" w:hAnsi="宋体" w:eastAsia="宋体" w:cs="宋体"/>
          <w:color w:val="auto"/>
          <w:sz w:val="20"/>
          <w:szCs w:val="20"/>
          <w:highlight w:val="none"/>
        </w:rPr>
        <w:sectPr>
          <w:type w:val="continuous"/>
          <w:pgSz w:w="11905" w:h="16839"/>
          <w:pgMar w:top="400" w:right="1176" w:bottom="1004" w:left="1186" w:header="0" w:footer="829" w:gutter="0"/>
          <w:pgNumType w:fmt="decimal"/>
          <w:cols w:equalWidth="0" w:num="3">
            <w:col w:w="4788" w:space="100"/>
            <w:col w:w="3655" w:space="100"/>
            <w:col w:w="900"/>
          </w:cols>
        </w:sectPr>
      </w:pPr>
    </w:p>
    <w:p w14:paraId="3C213222">
      <w:pPr>
        <w:spacing w:line="96" w:lineRule="exact"/>
        <w:rPr>
          <w:color w:val="auto"/>
          <w:highlight w:val="none"/>
        </w:rPr>
      </w:pPr>
    </w:p>
    <w:tbl>
      <w:tblPr>
        <w:tblStyle w:val="17"/>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14:paraId="7CE3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14:paraId="74EC0E74">
            <w:pPr>
              <w:pStyle w:val="18"/>
              <w:spacing w:before="129" w:line="211" w:lineRule="auto"/>
              <w:ind w:left="105"/>
              <w:rPr>
                <w:color w:val="auto"/>
                <w:sz w:val="20"/>
                <w:szCs w:val="20"/>
                <w:highlight w:val="none"/>
              </w:rPr>
            </w:pPr>
            <w:r>
              <w:rPr>
                <w:color w:val="auto"/>
                <w:spacing w:val="30"/>
                <w:sz w:val="20"/>
                <w:szCs w:val="20"/>
                <w:highlight w:val="none"/>
              </w:rPr>
              <w:t>序号</w:t>
            </w:r>
          </w:p>
        </w:tc>
        <w:tc>
          <w:tcPr>
            <w:tcW w:w="1934" w:type="dxa"/>
            <w:vAlign w:val="top"/>
          </w:tcPr>
          <w:p w14:paraId="4679C69F">
            <w:pPr>
              <w:pStyle w:val="18"/>
              <w:spacing w:before="234" w:line="222" w:lineRule="auto"/>
              <w:ind w:left="573"/>
              <w:rPr>
                <w:color w:val="auto"/>
                <w:sz w:val="20"/>
                <w:szCs w:val="20"/>
                <w:highlight w:val="none"/>
              </w:rPr>
            </w:pPr>
            <w:r>
              <w:rPr>
                <w:color w:val="auto"/>
                <w:spacing w:val="-1"/>
                <w:sz w:val="20"/>
                <w:szCs w:val="20"/>
                <w:highlight w:val="none"/>
              </w:rPr>
              <w:t>工程名称</w:t>
            </w:r>
          </w:p>
        </w:tc>
        <w:tc>
          <w:tcPr>
            <w:tcW w:w="2376" w:type="dxa"/>
            <w:vAlign w:val="top"/>
          </w:tcPr>
          <w:p w14:paraId="2CA7B210">
            <w:pPr>
              <w:pStyle w:val="18"/>
              <w:spacing w:before="234" w:line="221" w:lineRule="auto"/>
              <w:ind w:left="795"/>
              <w:rPr>
                <w:color w:val="auto"/>
                <w:sz w:val="20"/>
                <w:szCs w:val="20"/>
                <w:highlight w:val="none"/>
              </w:rPr>
            </w:pPr>
            <w:r>
              <w:rPr>
                <w:color w:val="auto"/>
                <w:spacing w:val="-1"/>
                <w:sz w:val="20"/>
                <w:szCs w:val="20"/>
                <w:highlight w:val="none"/>
              </w:rPr>
              <w:t>工程内容</w:t>
            </w:r>
          </w:p>
        </w:tc>
        <w:tc>
          <w:tcPr>
            <w:tcW w:w="1219" w:type="dxa"/>
            <w:vAlign w:val="top"/>
          </w:tcPr>
          <w:p w14:paraId="202348BD">
            <w:pPr>
              <w:pStyle w:val="18"/>
              <w:spacing w:before="106" w:line="230" w:lineRule="auto"/>
              <w:ind w:left="318" w:right="203" w:hanging="100"/>
              <w:rPr>
                <w:color w:val="auto"/>
                <w:sz w:val="20"/>
                <w:szCs w:val="20"/>
                <w:highlight w:val="none"/>
              </w:rPr>
            </w:pPr>
            <w:r>
              <w:rPr>
                <w:color w:val="auto"/>
                <w:spacing w:val="-2"/>
                <w:sz w:val="20"/>
                <w:szCs w:val="20"/>
                <w:highlight w:val="none"/>
              </w:rPr>
              <w:t>暂估金额</w:t>
            </w:r>
            <w:r>
              <w:rPr>
                <w:color w:val="auto"/>
                <w:sz w:val="20"/>
                <w:szCs w:val="20"/>
                <w:highlight w:val="none"/>
              </w:rPr>
              <w:t xml:space="preserve"> </w:t>
            </w:r>
            <w:r>
              <w:rPr>
                <w:color w:val="auto"/>
                <w:spacing w:val="-4"/>
                <w:sz w:val="20"/>
                <w:szCs w:val="20"/>
                <w:highlight w:val="none"/>
              </w:rPr>
              <w:t>（元）</w:t>
            </w:r>
          </w:p>
        </w:tc>
        <w:tc>
          <w:tcPr>
            <w:tcW w:w="1262" w:type="dxa"/>
            <w:vAlign w:val="top"/>
          </w:tcPr>
          <w:p w14:paraId="1F3C39DA">
            <w:pPr>
              <w:pStyle w:val="18"/>
              <w:spacing w:before="106" w:line="230" w:lineRule="auto"/>
              <w:ind w:left="343" w:right="221" w:hanging="102"/>
              <w:rPr>
                <w:color w:val="auto"/>
                <w:sz w:val="20"/>
                <w:szCs w:val="20"/>
                <w:highlight w:val="none"/>
              </w:rPr>
            </w:pPr>
            <w:r>
              <w:rPr>
                <w:color w:val="auto"/>
                <w:spacing w:val="-2"/>
                <w:sz w:val="20"/>
                <w:szCs w:val="20"/>
                <w:highlight w:val="none"/>
              </w:rPr>
              <w:t>结算金额</w:t>
            </w:r>
            <w:r>
              <w:rPr>
                <w:color w:val="auto"/>
                <w:sz w:val="20"/>
                <w:szCs w:val="20"/>
                <w:highlight w:val="none"/>
              </w:rPr>
              <w:t xml:space="preserve"> </w:t>
            </w:r>
            <w:r>
              <w:rPr>
                <w:color w:val="auto"/>
                <w:spacing w:val="-4"/>
                <w:sz w:val="20"/>
                <w:szCs w:val="20"/>
                <w:highlight w:val="none"/>
              </w:rPr>
              <w:t>（元）</w:t>
            </w:r>
          </w:p>
        </w:tc>
        <w:tc>
          <w:tcPr>
            <w:tcW w:w="1099" w:type="dxa"/>
            <w:vAlign w:val="top"/>
          </w:tcPr>
          <w:p w14:paraId="15F44F0D">
            <w:pPr>
              <w:pStyle w:val="18"/>
              <w:spacing w:before="105" w:line="239" w:lineRule="auto"/>
              <w:ind w:left="254"/>
              <w:rPr>
                <w:color w:val="auto"/>
                <w:sz w:val="20"/>
                <w:szCs w:val="20"/>
                <w:highlight w:val="none"/>
              </w:rPr>
            </w:pPr>
            <w:r>
              <w:rPr>
                <w:color w:val="auto"/>
                <w:spacing w:val="-2"/>
                <w:sz w:val="20"/>
                <w:szCs w:val="20"/>
                <w:highlight w:val="none"/>
              </w:rPr>
              <w:t>差额±</w:t>
            </w:r>
          </w:p>
          <w:p w14:paraId="2A05999D">
            <w:pPr>
              <w:pStyle w:val="18"/>
              <w:spacing w:line="221" w:lineRule="auto"/>
              <w:ind w:left="258"/>
              <w:rPr>
                <w:color w:val="auto"/>
                <w:sz w:val="20"/>
                <w:szCs w:val="20"/>
                <w:highlight w:val="none"/>
              </w:rPr>
            </w:pPr>
            <w:r>
              <w:rPr>
                <w:color w:val="auto"/>
                <w:spacing w:val="-4"/>
                <w:sz w:val="20"/>
                <w:szCs w:val="20"/>
                <w:highlight w:val="none"/>
              </w:rPr>
              <w:t>（元）</w:t>
            </w:r>
          </w:p>
        </w:tc>
        <w:tc>
          <w:tcPr>
            <w:tcW w:w="1186" w:type="dxa"/>
            <w:vAlign w:val="top"/>
          </w:tcPr>
          <w:p w14:paraId="414D9D37">
            <w:pPr>
              <w:pStyle w:val="18"/>
              <w:spacing w:before="235" w:line="222" w:lineRule="auto"/>
              <w:ind w:left="399"/>
              <w:rPr>
                <w:color w:val="auto"/>
                <w:sz w:val="20"/>
                <w:szCs w:val="20"/>
                <w:highlight w:val="none"/>
              </w:rPr>
            </w:pPr>
            <w:r>
              <w:rPr>
                <w:color w:val="auto"/>
                <w:spacing w:val="-2"/>
                <w:sz w:val="20"/>
                <w:szCs w:val="20"/>
                <w:highlight w:val="none"/>
              </w:rPr>
              <w:t>备注</w:t>
            </w:r>
          </w:p>
        </w:tc>
      </w:tr>
      <w:tr w14:paraId="6EEAC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1090C127">
            <w:pPr>
              <w:rPr>
                <w:rFonts w:ascii="Arial"/>
                <w:color w:val="auto"/>
                <w:sz w:val="21"/>
                <w:highlight w:val="none"/>
              </w:rPr>
            </w:pPr>
          </w:p>
        </w:tc>
        <w:tc>
          <w:tcPr>
            <w:tcW w:w="1934" w:type="dxa"/>
            <w:vAlign w:val="top"/>
          </w:tcPr>
          <w:p w14:paraId="57F3645B">
            <w:pPr>
              <w:rPr>
                <w:rFonts w:ascii="Arial"/>
                <w:color w:val="auto"/>
                <w:sz w:val="21"/>
                <w:highlight w:val="none"/>
              </w:rPr>
            </w:pPr>
          </w:p>
        </w:tc>
        <w:tc>
          <w:tcPr>
            <w:tcW w:w="2376" w:type="dxa"/>
            <w:vAlign w:val="top"/>
          </w:tcPr>
          <w:p w14:paraId="26B76368">
            <w:pPr>
              <w:rPr>
                <w:rFonts w:ascii="Arial"/>
                <w:color w:val="auto"/>
                <w:sz w:val="21"/>
                <w:highlight w:val="none"/>
              </w:rPr>
            </w:pPr>
          </w:p>
        </w:tc>
        <w:tc>
          <w:tcPr>
            <w:tcW w:w="1219" w:type="dxa"/>
            <w:vAlign w:val="top"/>
          </w:tcPr>
          <w:p w14:paraId="6451EF9F">
            <w:pPr>
              <w:rPr>
                <w:rFonts w:ascii="Arial"/>
                <w:color w:val="auto"/>
                <w:sz w:val="21"/>
                <w:highlight w:val="none"/>
              </w:rPr>
            </w:pPr>
          </w:p>
        </w:tc>
        <w:tc>
          <w:tcPr>
            <w:tcW w:w="1262" w:type="dxa"/>
            <w:vAlign w:val="top"/>
          </w:tcPr>
          <w:p w14:paraId="60D75AEC">
            <w:pPr>
              <w:rPr>
                <w:rFonts w:ascii="Arial"/>
                <w:color w:val="auto"/>
                <w:sz w:val="21"/>
                <w:highlight w:val="none"/>
              </w:rPr>
            </w:pPr>
          </w:p>
        </w:tc>
        <w:tc>
          <w:tcPr>
            <w:tcW w:w="1099" w:type="dxa"/>
            <w:vAlign w:val="top"/>
          </w:tcPr>
          <w:p w14:paraId="495F61BB">
            <w:pPr>
              <w:rPr>
                <w:rFonts w:ascii="Arial"/>
                <w:color w:val="auto"/>
                <w:sz w:val="21"/>
                <w:highlight w:val="none"/>
              </w:rPr>
            </w:pPr>
          </w:p>
        </w:tc>
        <w:tc>
          <w:tcPr>
            <w:tcW w:w="1186" w:type="dxa"/>
            <w:vAlign w:val="top"/>
          </w:tcPr>
          <w:p w14:paraId="388E4360">
            <w:pPr>
              <w:rPr>
                <w:rFonts w:ascii="Arial"/>
                <w:color w:val="auto"/>
                <w:sz w:val="21"/>
                <w:highlight w:val="none"/>
              </w:rPr>
            </w:pPr>
          </w:p>
        </w:tc>
      </w:tr>
      <w:tr w14:paraId="076B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27A86FA">
            <w:pPr>
              <w:rPr>
                <w:rFonts w:ascii="Arial"/>
                <w:color w:val="auto"/>
                <w:sz w:val="21"/>
                <w:highlight w:val="none"/>
              </w:rPr>
            </w:pPr>
          </w:p>
        </w:tc>
        <w:tc>
          <w:tcPr>
            <w:tcW w:w="1934" w:type="dxa"/>
            <w:vAlign w:val="top"/>
          </w:tcPr>
          <w:p w14:paraId="7B1AD527">
            <w:pPr>
              <w:rPr>
                <w:rFonts w:ascii="Arial"/>
                <w:color w:val="auto"/>
                <w:sz w:val="21"/>
                <w:highlight w:val="none"/>
              </w:rPr>
            </w:pPr>
          </w:p>
        </w:tc>
        <w:tc>
          <w:tcPr>
            <w:tcW w:w="2376" w:type="dxa"/>
            <w:vAlign w:val="top"/>
          </w:tcPr>
          <w:p w14:paraId="6064B55E">
            <w:pPr>
              <w:rPr>
                <w:rFonts w:ascii="Arial"/>
                <w:color w:val="auto"/>
                <w:sz w:val="21"/>
                <w:highlight w:val="none"/>
              </w:rPr>
            </w:pPr>
          </w:p>
        </w:tc>
        <w:tc>
          <w:tcPr>
            <w:tcW w:w="1219" w:type="dxa"/>
            <w:vAlign w:val="top"/>
          </w:tcPr>
          <w:p w14:paraId="590CCE02">
            <w:pPr>
              <w:rPr>
                <w:rFonts w:ascii="Arial"/>
                <w:color w:val="auto"/>
                <w:sz w:val="21"/>
                <w:highlight w:val="none"/>
              </w:rPr>
            </w:pPr>
          </w:p>
        </w:tc>
        <w:tc>
          <w:tcPr>
            <w:tcW w:w="1262" w:type="dxa"/>
            <w:vAlign w:val="top"/>
          </w:tcPr>
          <w:p w14:paraId="026FD8B6">
            <w:pPr>
              <w:rPr>
                <w:rFonts w:ascii="Arial"/>
                <w:color w:val="auto"/>
                <w:sz w:val="21"/>
                <w:highlight w:val="none"/>
              </w:rPr>
            </w:pPr>
          </w:p>
        </w:tc>
        <w:tc>
          <w:tcPr>
            <w:tcW w:w="1099" w:type="dxa"/>
            <w:vAlign w:val="top"/>
          </w:tcPr>
          <w:p w14:paraId="343F05FD">
            <w:pPr>
              <w:rPr>
                <w:rFonts w:ascii="Arial"/>
                <w:color w:val="auto"/>
                <w:sz w:val="21"/>
                <w:highlight w:val="none"/>
              </w:rPr>
            </w:pPr>
          </w:p>
        </w:tc>
        <w:tc>
          <w:tcPr>
            <w:tcW w:w="1186" w:type="dxa"/>
            <w:vAlign w:val="top"/>
          </w:tcPr>
          <w:p w14:paraId="2E8CB3B6">
            <w:pPr>
              <w:rPr>
                <w:rFonts w:ascii="Arial"/>
                <w:color w:val="auto"/>
                <w:sz w:val="21"/>
                <w:highlight w:val="none"/>
              </w:rPr>
            </w:pPr>
          </w:p>
        </w:tc>
      </w:tr>
      <w:tr w14:paraId="66972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3A354C8F">
            <w:pPr>
              <w:rPr>
                <w:rFonts w:ascii="Arial"/>
                <w:color w:val="auto"/>
                <w:sz w:val="21"/>
                <w:highlight w:val="none"/>
              </w:rPr>
            </w:pPr>
          </w:p>
        </w:tc>
        <w:tc>
          <w:tcPr>
            <w:tcW w:w="1934" w:type="dxa"/>
            <w:vAlign w:val="top"/>
          </w:tcPr>
          <w:p w14:paraId="7A6D252A">
            <w:pPr>
              <w:rPr>
                <w:rFonts w:ascii="Arial"/>
                <w:color w:val="auto"/>
                <w:sz w:val="21"/>
                <w:highlight w:val="none"/>
              </w:rPr>
            </w:pPr>
          </w:p>
        </w:tc>
        <w:tc>
          <w:tcPr>
            <w:tcW w:w="2376" w:type="dxa"/>
            <w:vAlign w:val="top"/>
          </w:tcPr>
          <w:p w14:paraId="37A26CFA">
            <w:pPr>
              <w:rPr>
                <w:rFonts w:ascii="Arial"/>
                <w:color w:val="auto"/>
                <w:sz w:val="21"/>
                <w:highlight w:val="none"/>
              </w:rPr>
            </w:pPr>
          </w:p>
        </w:tc>
        <w:tc>
          <w:tcPr>
            <w:tcW w:w="1219" w:type="dxa"/>
            <w:vAlign w:val="top"/>
          </w:tcPr>
          <w:p w14:paraId="1F20DDC4">
            <w:pPr>
              <w:rPr>
                <w:rFonts w:ascii="Arial"/>
                <w:color w:val="auto"/>
                <w:sz w:val="21"/>
                <w:highlight w:val="none"/>
              </w:rPr>
            </w:pPr>
          </w:p>
        </w:tc>
        <w:tc>
          <w:tcPr>
            <w:tcW w:w="1262" w:type="dxa"/>
            <w:vAlign w:val="top"/>
          </w:tcPr>
          <w:p w14:paraId="3C3C861A">
            <w:pPr>
              <w:rPr>
                <w:rFonts w:ascii="Arial"/>
                <w:color w:val="auto"/>
                <w:sz w:val="21"/>
                <w:highlight w:val="none"/>
              </w:rPr>
            </w:pPr>
          </w:p>
        </w:tc>
        <w:tc>
          <w:tcPr>
            <w:tcW w:w="1099" w:type="dxa"/>
            <w:vAlign w:val="top"/>
          </w:tcPr>
          <w:p w14:paraId="488DD7D4">
            <w:pPr>
              <w:rPr>
                <w:rFonts w:ascii="Arial"/>
                <w:color w:val="auto"/>
                <w:sz w:val="21"/>
                <w:highlight w:val="none"/>
              </w:rPr>
            </w:pPr>
          </w:p>
        </w:tc>
        <w:tc>
          <w:tcPr>
            <w:tcW w:w="1186" w:type="dxa"/>
            <w:vAlign w:val="top"/>
          </w:tcPr>
          <w:p w14:paraId="1CF411B2">
            <w:pPr>
              <w:rPr>
                <w:rFonts w:ascii="Arial"/>
                <w:color w:val="auto"/>
                <w:sz w:val="21"/>
                <w:highlight w:val="none"/>
              </w:rPr>
            </w:pPr>
          </w:p>
        </w:tc>
      </w:tr>
      <w:tr w14:paraId="35307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455739F">
            <w:pPr>
              <w:rPr>
                <w:rFonts w:ascii="Arial"/>
                <w:color w:val="auto"/>
                <w:sz w:val="21"/>
                <w:highlight w:val="none"/>
              </w:rPr>
            </w:pPr>
          </w:p>
        </w:tc>
        <w:tc>
          <w:tcPr>
            <w:tcW w:w="1934" w:type="dxa"/>
            <w:vAlign w:val="top"/>
          </w:tcPr>
          <w:p w14:paraId="5575EFDC">
            <w:pPr>
              <w:rPr>
                <w:rFonts w:ascii="Arial"/>
                <w:color w:val="auto"/>
                <w:sz w:val="21"/>
                <w:highlight w:val="none"/>
              </w:rPr>
            </w:pPr>
          </w:p>
        </w:tc>
        <w:tc>
          <w:tcPr>
            <w:tcW w:w="2376" w:type="dxa"/>
            <w:vAlign w:val="top"/>
          </w:tcPr>
          <w:p w14:paraId="24817864">
            <w:pPr>
              <w:rPr>
                <w:rFonts w:ascii="Arial"/>
                <w:color w:val="auto"/>
                <w:sz w:val="21"/>
                <w:highlight w:val="none"/>
              </w:rPr>
            </w:pPr>
          </w:p>
        </w:tc>
        <w:tc>
          <w:tcPr>
            <w:tcW w:w="1219" w:type="dxa"/>
            <w:vAlign w:val="top"/>
          </w:tcPr>
          <w:p w14:paraId="622A4F80">
            <w:pPr>
              <w:rPr>
                <w:rFonts w:ascii="Arial"/>
                <w:color w:val="auto"/>
                <w:sz w:val="21"/>
                <w:highlight w:val="none"/>
              </w:rPr>
            </w:pPr>
          </w:p>
        </w:tc>
        <w:tc>
          <w:tcPr>
            <w:tcW w:w="1262" w:type="dxa"/>
            <w:vAlign w:val="top"/>
          </w:tcPr>
          <w:p w14:paraId="64B3746D">
            <w:pPr>
              <w:rPr>
                <w:rFonts w:ascii="Arial"/>
                <w:color w:val="auto"/>
                <w:sz w:val="21"/>
                <w:highlight w:val="none"/>
              </w:rPr>
            </w:pPr>
          </w:p>
        </w:tc>
        <w:tc>
          <w:tcPr>
            <w:tcW w:w="1099" w:type="dxa"/>
            <w:vAlign w:val="top"/>
          </w:tcPr>
          <w:p w14:paraId="1FD4874F">
            <w:pPr>
              <w:rPr>
                <w:rFonts w:ascii="Arial"/>
                <w:color w:val="auto"/>
                <w:sz w:val="21"/>
                <w:highlight w:val="none"/>
              </w:rPr>
            </w:pPr>
          </w:p>
        </w:tc>
        <w:tc>
          <w:tcPr>
            <w:tcW w:w="1186" w:type="dxa"/>
            <w:vAlign w:val="top"/>
          </w:tcPr>
          <w:p w14:paraId="0E39F3FF">
            <w:pPr>
              <w:rPr>
                <w:rFonts w:ascii="Arial"/>
                <w:color w:val="auto"/>
                <w:sz w:val="21"/>
                <w:highlight w:val="none"/>
              </w:rPr>
            </w:pPr>
          </w:p>
        </w:tc>
      </w:tr>
      <w:tr w14:paraId="1AFFF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4477E57D">
            <w:pPr>
              <w:rPr>
                <w:rFonts w:ascii="Arial"/>
                <w:color w:val="auto"/>
                <w:sz w:val="21"/>
                <w:highlight w:val="none"/>
              </w:rPr>
            </w:pPr>
          </w:p>
        </w:tc>
        <w:tc>
          <w:tcPr>
            <w:tcW w:w="1934" w:type="dxa"/>
            <w:vAlign w:val="top"/>
          </w:tcPr>
          <w:p w14:paraId="7B6E6773">
            <w:pPr>
              <w:rPr>
                <w:rFonts w:ascii="Arial"/>
                <w:color w:val="auto"/>
                <w:sz w:val="21"/>
                <w:highlight w:val="none"/>
              </w:rPr>
            </w:pPr>
          </w:p>
        </w:tc>
        <w:tc>
          <w:tcPr>
            <w:tcW w:w="2376" w:type="dxa"/>
            <w:vAlign w:val="top"/>
          </w:tcPr>
          <w:p w14:paraId="4CF09EDE">
            <w:pPr>
              <w:rPr>
                <w:rFonts w:ascii="Arial"/>
                <w:color w:val="auto"/>
                <w:sz w:val="21"/>
                <w:highlight w:val="none"/>
              </w:rPr>
            </w:pPr>
          </w:p>
        </w:tc>
        <w:tc>
          <w:tcPr>
            <w:tcW w:w="1219" w:type="dxa"/>
            <w:vAlign w:val="top"/>
          </w:tcPr>
          <w:p w14:paraId="5B89174F">
            <w:pPr>
              <w:rPr>
                <w:rFonts w:ascii="Arial"/>
                <w:color w:val="auto"/>
                <w:sz w:val="21"/>
                <w:highlight w:val="none"/>
              </w:rPr>
            </w:pPr>
          </w:p>
        </w:tc>
        <w:tc>
          <w:tcPr>
            <w:tcW w:w="1262" w:type="dxa"/>
            <w:vAlign w:val="top"/>
          </w:tcPr>
          <w:p w14:paraId="509D1BA6">
            <w:pPr>
              <w:rPr>
                <w:rFonts w:ascii="Arial"/>
                <w:color w:val="auto"/>
                <w:sz w:val="21"/>
                <w:highlight w:val="none"/>
              </w:rPr>
            </w:pPr>
          </w:p>
        </w:tc>
        <w:tc>
          <w:tcPr>
            <w:tcW w:w="1099" w:type="dxa"/>
            <w:vAlign w:val="top"/>
          </w:tcPr>
          <w:p w14:paraId="377445F9">
            <w:pPr>
              <w:rPr>
                <w:rFonts w:ascii="Arial"/>
                <w:color w:val="auto"/>
                <w:sz w:val="21"/>
                <w:highlight w:val="none"/>
              </w:rPr>
            </w:pPr>
          </w:p>
        </w:tc>
        <w:tc>
          <w:tcPr>
            <w:tcW w:w="1186" w:type="dxa"/>
            <w:vAlign w:val="top"/>
          </w:tcPr>
          <w:p w14:paraId="06AEB4AB">
            <w:pPr>
              <w:rPr>
                <w:rFonts w:ascii="Arial"/>
                <w:color w:val="auto"/>
                <w:sz w:val="21"/>
                <w:highlight w:val="none"/>
              </w:rPr>
            </w:pPr>
          </w:p>
        </w:tc>
      </w:tr>
      <w:tr w14:paraId="17B01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70088988">
            <w:pPr>
              <w:rPr>
                <w:rFonts w:ascii="Arial"/>
                <w:color w:val="auto"/>
                <w:sz w:val="21"/>
                <w:highlight w:val="none"/>
              </w:rPr>
            </w:pPr>
          </w:p>
        </w:tc>
        <w:tc>
          <w:tcPr>
            <w:tcW w:w="1934" w:type="dxa"/>
            <w:vAlign w:val="top"/>
          </w:tcPr>
          <w:p w14:paraId="4A6BB9E3">
            <w:pPr>
              <w:rPr>
                <w:rFonts w:ascii="Arial"/>
                <w:color w:val="auto"/>
                <w:sz w:val="21"/>
                <w:highlight w:val="none"/>
              </w:rPr>
            </w:pPr>
          </w:p>
        </w:tc>
        <w:tc>
          <w:tcPr>
            <w:tcW w:w="2376" w:type="dxa"/>
            <w:vAlign w:val="top"/>
          </w:tcPr>
          <w:p w14:paraId="7DCCC3BB">
            <w:pPr>
              <w:rPr>
                <w:rFonts w:ascii="Arial"/>
                <w:color w:val="auto"/>
                <w:sz w:val="21"/>
                <w:highlight w:val="none"/>
              </w:rPr>
            </w:pPr>
          </w:p>
        </w:tc>
        <w:tc>
          <w:tcPr>
            <w:tcW w:w="1219" w:type="dxa"/>
            <w:vAlign w:val="top"/>
          </w:tcPr>
          <w:p w14:paraId="15D66189">
            <w:pPr>
              <w:rPr>
                <w:rFonts w:ascii="Arial"/>
                <w:color w:val="auto"/>
                <w:sz w:val="21"/>
                <w:highlight w:val="none"/>
              </w:rPr>
            </w:pPr>
          </w:p>
        </w:tc>
        <w:tc>
          <w:tcPr>
            <w:tcW w:w="1262" w:type="dxa"/>
            <w:vAlign w:val="top"/>
          </w:tcPr>
          <w:p w14:paraId="04FB0EE3">
            <w:pPr>
              <w:rPr>
                <w:rFonts w:ascii="Arial"/>
                <w:color w:val="auto"/>
                <w:sz w:val="21"/>
                <w:highlight w:val="none"/>
              </w:rPr>
            </w:pPr>
          </w:p>
        </w:tc>
        <w:tc>
          <w:tcPr>
            <w:tcW w:w="1099" w:type="dxa"/>
            <w:vAlign w:val="top"/>
          </w:tcPr>
          <w:p w14:paraId="5B62F88C">
            <w:pPr>
              <w:rPr>
                <w:rFonts w:ascii="Arial"/>
                <w:color w:val="auto"/>
                <w:sz w:val="21"/>
                <w:highlight w:val="none"/>
              </w:rPr>
            </w:pPr>
          </w:p>
        </w:tc>
        <w:tc>
          <w:tcPr>
            <w:tcW w:w="1186" w:type="dxa"/>
            <w:vAlign w:val="top"/>
          </w:tcPr>
          <w:p w14:paraId="1A45E83F">
            <w:pPr>
              <w:rPr>
                <w:rFonts w:ascii="Arial"/>
                <w:color w:val="auto"/>
                <w:sz w:val="21"/>
                <w:highlight w:val="none"/>
              </w:rPr>
            </w:pPr>
          </w:p>
        </w:tc>
      </w:tr>
      <w:tr w14:paraId="7D10B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FC1DE55">
            <w:pPr>
              <w:rPr>
                <w:rFonts w:ascii="Arial"/>
                <w:color w:val="auto"/>
                <w:sz w:val="21"/>
                <w:highlight w:val="none"/>
              </w:rPr>
            </w:pPr>
          </w:p>
        </w:tc>
        <w:tc>
          <w:tcPr>
            <w:tcW w:w="1934" w:type="dxa"/>
            <w:vAlign w:val="top"/>
          </w:tcPr>
          <w:p w14:paraId="7041C672">
            <w:pPr>
              <w:rPr>
                <w:rFonts w:ascii="Arial"/>
                <w:color w:val="auto"/>
                <w:sz w:val="21"/>
                <w:highlight w:val="none"/>
              </w:rPr>
            </w:pPr>
          </w:p>
        </w:tc>
        <w:tc>
          <w:tcPr>
            <w:tcW w:w="2376" w:type="dxa"/>
            <w:vAlign w:val="top"/>
          </w:tcPr>
          <w:p w14:paraId="5EDA298B">
            <w:pPr>
              <w:rPr>
                <w:rFonts w:ascii="Arial"/>
                <w:color w:val="auto"/>
                <w:sz w:val="21"/>
                <w:highlight w:val="none"/>
              </w:rPr>
            </w:pPr>
          </w:p>
        </w:tc>
        <w:tc>
          <w:tcPr>
            <w:tcW w:w="1219" w:type="dxa"/>
            <w:vAlign w:val="top"/>
          </w:tcPr>
          <w:p w14:paraId="5912169F">
            <w:pPr>
              <w:rPr>
                <w:rFonts w:ascii="Arial"/>
                <w:color w:val="auto"/>
                <w:sz w:val="21"/>
                <w:highlight w:val="none"/>
              </w:rPr>
            </w:pPr>
          </w:p>
        </w:tc>
        <w:tc>
          <w:tcPr>
            <w:tcW w:w="1262" w:type="dxa"/>
            <w:vAlign w:val="top"/>
          </w:tcPr>
          <w:p w14:paraId="2DF8ADFF">
            <w:pPr>
              <w:rPr>
                <w:rFonts w:ascii="Arial"/>
                <w:color w:val="auto"/>
                <w:sz w:val="21"/>
                <w:highlight w:val="none"/>
              </w:rPr>
            </w:pPr>
          </w:p>
        </w:tc>
        <w:tc>
          <w:tcPr>
            <w:tcW w:w="1099" w:type="dxa"/>
            <w:vAlign w:val="top"/>
          </w:tcPr>
          <w:p w14:paraId="58FCA5D0">
            <w:pPr>
              <w:rPr>
                <w:rFonts w:ascii="Arial"/>
                <w:color w:val="auto"/>
                <w:sz w:val="21"/>
                <w:highlight w:val="none"/>
              </w:rPr>
            </w:pPr>
          </w:p>
        </w:tc>
        <w:tc>
          <w:tcPr>
            <w:tcW w:w="1186" w:type="dxa"/>
            <w:vAlign w:val="top"/>
          </w:tcPr>
          <w:p w14:paraId="237CFAF0">
            <w:pPr>
              <w:rPr>
                <w:rFonts w:ascii="Arial"/>
                <w:color w:val="auto"/>
                <w:sz w:val="21"/>
                <w:highlight w:val="none"/>
              </w:rPr>
            </w:pPr>
          </w:p>
        </w:tc>
      </w:tr>
      <w:tr w14:paraId="13FB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03D29E6">
            <w:pPr>
              <w:rPr>
                <w:rFonts w:ascii="Arial"/>
                <w:color w:val="auto"/>
                <w:sz w:val="21"/>
                <w:highlight w:val="none"/>
              </w:rPr>
            </w:pPr>
          </w:p>
        </w:tc>
        <w:tc>
          <w:tcPr>
            <w:tcW w:w="1934" w:type="dxa"/>
            <w:vAlign w:val="top"/>
          </w:tcPr>
          <w:p w14:paraId="7626DD37">
            <w:pPr>
              <w:rPr>
                <w:rFonts w:ascii="Arial"/>
                <w:color w:val="auto"/>
                <w:sz w:val="21"/>
                <w:highlight w:val="none"/>
              </w:rPr>
            </w:pPr>
          </w:p>
        </w:tc>
        <w:tc>
          <w:tcPr>
            <w:tcW w:w="2376" w:type="dxa"/>
            <w:vAlign w:val="top"/>
          </w:tcPr>
          <w:p w14:paraId="6449110B">
            <w:pPr>
              <w:rPr>
                <w:rFonts w:ascii="Arial"/>
                <w:color w:val="auto"/>
                <w:sz w:val="21"/>
                <w:highlight w:val="none"/>
              </w:rPr>
            </w:pPr>
          </w:p>
        </w:tc>
        <w:tc>
          <w:tcPr>
            <w:tcW w:w="1219" w:type="dxa"/>
            <w:vAlign w:val="top"/>
          </w:tcPr>
          <w:p w14:paraId="2A3B6CD7">
            <w:pPr>
              <w:rPr>
                <w:rFonts w:ascii="Arial"/>
                <w:color w:val="auto"/>
                <w:sz w:val="21"/>
                <w:highlight w:val="none"/>
              </w:rPr>
            </w:pPr>
          </w:p>
        </w:tc>
        <w:tc>
          <w:tcPr>
            <w:tcW w:w="1262" w:type="dxa"/>
            <w:vAlign w:val="top"/>
          </w:tcPr>
          <w:p w14:paraId="36F6801A">
            <w:pPr>
              <w:rPr>
                <w:rFonts w:ascii="Arial"/>
                <w:color w:val="auto"/>
                <w:sz w:val="21"/>
                <w:highlight w:val="none"/>
              </w:rPr>
            </w:pPr>
          </w:p>
        </w:tc>
        <w:tc>
          <w:tcPr>
            <w:tcW w:w="1099" w:type="dxa"/>
            <w:vAlign w:val="top"/>
          </w:tcPr>
          <w:p w14:paraId="0938A999">
            <w:pPr>
              <w:rPr>
                <w:rFonts w:ascii="Arial"/>
                <w:color w:val="auto"/>
                <w:sz w:val="21"/>
                <w:highlight w:val="none"/>
              </w:rPr>
            </w:pPr>
          </w:p>
        </w:tc>
        <w:tc>
          <w:tcPr>
            <w:tcW w:w="1186" w:type="dxa"/>
            <w:vAlign w:val="top"/>
          </w:tcPr>
          <w:p w14:paraId="25FC508F">
            <w:pPr>
              <w:rPr>
                <w:rFonts w:ascii="Arial"/>
                <w:color w:val="auto"/>
                <w:sz w:val="21"/>
                <w:highlight w:val="none"/>
              </w:rPr>
            </w:pPr>
          </w:p>
        </w:tc>
      </w:tr>
      <w:tr w14:paraId="578CF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297B31D8">
            <w:pPr>
              <w:rPr>
                <w:rFonts w:ascii="Arial"/>
                <w:color w:val="auto"/>
                <w:sz w:val="21"/>
                <w:highlight w:val="none"/>
              </w:rPr>
            </w:pPr>
          </w:p>
        </w:tc>
        <w:tc>
          <w:tcPr>
            <w:tcW w:w="1934" w:type="dxa"/>
            <w:vAlign w:val="top"/>
          </w:tcPr>
          <w:p w14:paraId="62E69A18">
            <w:pPr>
              <w:rPr>
                <w:rFonts w:ascii="Arial"/>
                <w:color w:val="auto"/>
                <w:sz w:val="21"/>
                <w:highlight w:val="none"/>
              </w:rPr>
            </w:pPr>
          </w:p>
        </w:tc>
        <w:tc>
          <w:tcPr>
            <w:tcW w:w="2376" w:type="dxa"/>
            <w:vAlign w:val="top"/>
          </w:tcPr>
          <w:p w14:paraId="62F9F6C0">
            <w:pPr>
              <w:rPr>
                <w:rFonts w:ascii="Arial"/>
                <w:color w:val="auto"/>
                <w:sz w:val="21"/>
                <w:highlight w:val="none"/>
              </w:rPr>
            </w:pPr>
          </w:p>
        </w:tc>
        <w:tc>
          <w:tcPr>
            <w:tcW w:w="1219" w:type="dxa"/>
            <w:vAlign w:val="top"/>
          </w:tcPr>
          <w:p w14:paraId="302F5EC7">
            <w:pPr>
              <w:rPr>
                <w:rFonts w:ascii="Arial"/>
                <w:color w:val="auto"/>
                <w:sz w:val="21"/>
                <w:highlight w:val="none"/>
              </w:rPr>
            </w:pPr>
          </w:p>
        </w:tc>
        <w:tc>
          <w:tcPr>
            <w:tcW w:w="1262" w:type="dxa"/>
            <w:vAlign w:val="top"/>
          </w:tcPr>
          <w:p w14:paraId="17066B0F">
            <w:pPr>
              <w:rPr>
                <w:rFonts w:ascii="Arial"/>
                <w:color w:val="auto"/>
                <w:sz w:val="21"/>
                <w:highlight w:val="none"/>
              </w:rPr>
            </w:pPr>
          </w:p>
        </w:tc>
        <w:tc>
          <w:tcPr>
            <w:tcW w:w="1099" w:type="dxa"/>
            <w:vAlign w:val="top"/>
          </w:tcPr>
          <w:p w14:paraId="1A1E0E6E">
            <w:pPr>
              <w:rPr>
                <w:rFonts w:ascii="Arial"/>
                <w:color w:val="auto"/>
                <w:sz w:val="21"/>
                <w:highlight w:val="none"/>
              </w:rPr>
            </w:pPr>
          </w:p>
        </w:tc>
        <w:tc>
          <w:tcPr>
            <w:tcW w:w="1186" w:type="dxa"/>
            <w:vAlign w:val="top"/>
          </w:tcPr>
          <w:p w14:paraId="540DFB0B">
            <w:pPr>
              <w:rPr>
                <w:rFonts w:ascii="Arial"/>
                <w:color w:val="auto"/>
                <w:sz w:val="21"/>
                <w:highlight w:val="none"/>
              </w:rPr>
            </w:pPr>
          </w:p>
        </w:tc>
      </w:tr>
      <w:tr w14:paraId="758D0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60D4AB7">
            <w:pPr>
              <w:rPr>
                <w:rFonts w:ascii="Arial"/>
                <w:color w:val="auto"/>
                <w:sz w:val="21"/>
                <w:highlight w:val="none"/>
              </w:rPr>
            </w:pPr>
          </w:p>
        </w:tc>
        <w:tc>
          <w:tcPr>
            <w:tcW w:w="1934" w:type="dxa"/>
            <w:vAlign w:val="top"/>
          </w:tcPr>
          <w:p w14:paraId="7FEED472">
            <w:pPr>
              <w:rPr>
                <w:rFonts w:ascii="Arial"/>
                <w:color w:val="auto"/>
                <w:sz w:val="21"/>
                <w:highlight w:val="none"/>
              </w:rPr>
            </w:pPr>
          </w:p>
        </w:tc>
        <w:tc>
          <w:tcPr>
            <w:tcW w:w="2376" w:type="dxa"/>
            <w:vAlign w:val="top"/>
          </w:tcPr>
          <w:p w14:paraId="5B80CD18">
            <w:pPr>
              <w:rPr>
                <w:rFonts w:ascii="Arial"/>
                <w:color w:val="auto"/>
                <w:sz w:val="21"/>
                <w:highlight w:val="none"/>
              </w:rPr>
            </w:pPr>
          </w:p>
        </w:tc>
        <w:tc>
          <w:tcPr>
            <w:tcW w:w="1219" w:type="dxa"/>
            <w:vAlign w:val="top"/>
          </w:tcPr>
          <w:p w14:paraId="681E2273">
            <w:pPr>
              <w:rPr>
                <w:rFonts w:ascii="Arial"/>
                <w:color w:val="auto"/>
                <w:sz w:val="21"/>
                <w:highlight w:val="none"/>
              </w:rPr>
            </w:pPr>
          </w:p>
        </w:tc>
        <w:tc>
          <w:tcPr>
            <w:tcW w:w="1262" w:type="dxa"/>
            <w:vAlign w:val="top"/>
          </w:tcPr>
          <w:p w14:paraId="728BE65C">
            <w:pPr>
              <w:rPr>
                <w:rFonts w:ascii="Arial"/>
                <w:color w:val="auto"/>
                <w:sz w:val="21"/>
                <w:highlight w:val="none"/>
              </w:rPr>
            </w:pPr>
          </w:p>
        </w:tc>
        <w:tc>
          <w:tcPr>
            <w:tcW w:w="1099" w:type="dxa"/>
            <w:vAlign w:val="top"/>
          </w:tcPr>
          <w:p w14:paraId="58E29AAB">
            <w:pPr>
              <w:rPr>
                <w:rFonts w:ascii="Arial"/>
                <w:color w:val="auto"/>
                <w:sz w:val="21"/>
                <w:highlight w:val="none"/>
              </w:rPr>
            </w:pPr>
          </w:p>
        </w:tc>
        <w:tc>
          <w:tcPr>
            <w:tcW w:w="1186" w:type="dxa"/>
            <w:vAlign w:val="top"/>
          </w:tcPr>
          <w:p w14:paraId="6FBB809F">
            <w:pPr>
              <w:rPr>
                <w:rFonts w:ascii="Arial"/>
                <w:color w:val="auto"/>
                <w:sz w:val="21"/>
                <w:highlight w:val="none"/>
              </w:rPr>
            </w:pPr>
          </w:p>
        </w:tc>
      </w:tr>
      <w:tr w14:paraId="24557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EE2A36A">
            <w:pPr>
              <w:rPr>
                <w:rFonts w:ascii="Arial"/>
                <w:color w:val="auto"/>
                <w:sz w:val="21"/>
                <w:highlight w:val="none"/>
              </w:rPr>
            </w:pPr>
          </w:p>
        </w:tc>
        <w:tc>
          <w:tcPr>
            <w:tcW w:w="1934" w:type="dxa"/>
            <w:vAlign w:val="top"/>
          </w:tcPr>
          <w:p w14:paraId="3FFF154B">
            <w:pPr>
              <w:rPr>
                <w:rFonts w:ascii="Arial"/>
                <w:color w:val="auto"/>
                <w:sz w:val="21"/>
                <w:highlight w:val="none"/>
              </w:rPr>
            </w:pPr>
          </w:p>
        </w:tc>
        <w:tc>
          <w:tcPr>
            <w:tcW w:w="2376" w:type="dxa"/>
            <w:vAlign w:val="top"/>
          </w:tcPr>
          <w:p w14:paraId="2ECCCCE4">
            <w:pPr>
              <w:rPr>
                <w:rFonts w:ascii="Arial"/>
                <w:color w:val="auto"/>
                <w:sz w:val="21"/>
                <w:highlight w:val="none"/>
              </w:rPr>
            </w:pPr>
          </w:p>
        </w:tc>
        <w:tc>
          <w:tcPr>
            <w:tcW w:w="1219" w:type="dxa"/>
            <w:vAlign w:val="top"/>
          </w:tcPr>
          <w:p w14:paraId="089489CE">
            <w:pPr>
              <w:rPr>
                <w:rFonts w:ascii="Arial"/>
                <w:color w:val="auto"/>
                <w:sz w:val="21"/>
                <w:highlight w:val="none"/>
              </w:rPr>
            </w:pPr>
          </w:p>
        </w:tc>
        <w:tc>
          <w:tcPr>
            <w:tcW w:w="1262" w:type="dxa"/>
            <w:vAlign w:val="top"/>
          </w:tcPr>
          <w:p w14:paraId="372D463B">
            <w:pPr>
              <w:rPr>
                <w:rFonts w:ascii="Arial"/>
                <w:color w:val="auto"/>
                <w:sz w:val="21"/>
                <w:highlight w:val="none"/>
              </w:rPr>
            </w:pPr>
          </w:p>
        </w:tc>
        <w:tc>
          <w:tcPr>
            <w:tcW w:w="1099" w:type="dxa"/>
            <w:vAlign w:val="top"/>
          </w:tcPr>
          <w:p w14:paraId="72F1F066">
            <w:pPr>
              <w:rPr>
                <w:rFonts w:ascii="Arial"/>
                <w:color w:val="auto"/>
                <w:sz w:val="21"/>
                <w:highlight w:val="none"/>
              </w:rPr>
            </w:pPr>
          </w:p>
        </w:tc>
        <w:tc>
          <w:tcPr>
            <w:tcW w:w="1186" w:type="dxa"/>
            <w:vAlign w:val="top"/>
          </w:tcPr>
          <w:p w14:paraId="594E2C03">
            <w:pPr>
              <w:rPr>
                <w:rFonts w:ascii="Arial"/>
                <w:color w:val="auto"/>
                <w:sz w:val="21"/>
                <w:highlight w:val="none"/>
              </w:rPr>
            </w:pPr>
          </w:p>
        </w:tc>
      </w:tr>
      <w:tr w14:paraId="46322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7A899535">
            <w:pPr>
              <w:rPr>
                <w:rFonts w:ascii="Arial"/>
                <w:color w:val="auto"/>
                <w:sz w:val="21"/>
                <w:highlight w:val="none"/>
              </w:rPr>
            </w:pPr>
          </w:p>
        </w:tc>
        <w:tc>
          <w:tcPr>
            <w:tcW w:w="1934" w:type="dxa"/>
            <w:vAlign w:val="top"/>
          </w:tcPr>
          <w:p w14:paraId="503D3753">
            <w:pPr>
              <w:rPr>
                <w:rFonts w:ascii="Arial"/>
                <w:color w:val="auto"/>
                <w:sz w:val="21"/>
                <w:highlight w:val="none"/>
              </w:rPr>
            </w:pPr>
          </w:p>
        </w:tc>
        <w:tc>
          <w:tcPr>
            <w:tcW w:w="2376" w:type="dxa"/>
            <w:vAlign w:val="top"/>
          </w:tcPr>
          <w:p w14:paraId="494A8475">
            <w:pPr>
              <w:rPr>
                <w:rFonts w:ascii="Arial"/>
                <w:color w:val="auto"/>
                <w:sz w:val="21"/>
                <w:highlight w:val="none"/>
              </w:rPr>
            </w:pPr>
          </w:p>
        </w:tc>
        <w:tc>
          <w:tcPr>
            <w:tcW w:w="1219" w:type="dxa"/>
            <w:vAlign w:val="top"/>
          </w:tcPr>
          <w:p w14:paraId="69427F30">
            <w:pPr>
              <w:rPr>
                <w:rFonts w:ascii="Arial"/>
                <w:color w:val="auto"/>
                <w:sz w:val="21"/>
                <w:highlight w:val="none"/>
              </w:rPr>
            </w:pPr>
          </w:p>
        </w:tc>
        <w:tc>
          <w:tcPr>
            <w:tcW w:w="1262" w:type="dxa"/>
            <w:vAlign w:val="top"/>
          </w:tcPr>
          <w:p w14:paraId="23A7D214">
            <w:pPr>
              <w:rPr>
                <w:rFonts w:ascii="Arial"/>
                <w:color w:val="auto"/>
                <w:sz w:val="21"/>
                <w:highlight w:val="none"/>
              </w:rPr>
            </w:pPr>
          </w:p>
        </w:tc>
        <w:tc>
          <w:tcPr>
            <w:tcW w:w="1099" w:type="dxa"/>
            <w:vAlign w:val="top"/>
          </w:tcPr>
          <w:p w14:paraId="4E8B1CFD">
            <w:pPr>
              <w:rPr>
                <w:rFonts w:ascii="Arial"/>
                <w:color w:val="auto"/>
                <w:sz w:val="21"/>
                <w:highlight w:val="none"/>
              </w:rPr>
            </w:pPr>
          </w:p>
        </w:tc>
        <w:tc>
          <w:tcPr>
            <w:tcW w:w="1186" w:type="dxa"/>
            <w:vAlign w:val="top"/>
          </w:tcPr>
          <w:p w14:paraId="0A852EFF">
            <w:pPr>
              <w:rPr>
                <w:rFonts w:ascii="Arial"/>
                <w:color w:val="auto"/>
                <w:sz w:val="21"/>
                <w:highlight w:val="none"/>
              </w:rPr>
            </w:pPr>
          </w:p>
        </w:tc>
      </w:tr>
      <w:tr w14:paraId="37AEF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0A429179">
            <w:pPr>
              <w:rPr>
                <w:rFonts w:ascii="Arial"/>
                <w:color w:val="auto"/>
                <w:sz w:val="21"/>
                <w:highlight w:val="none"/>
              </w:rPr>
            </w:pPr>
          </w:p>
        </w:tc>
        <w:tc>
          <w:tcPr>
            <w:tcW w:w="1934" w:type="dxa"/>
            <w:vAlign w:val="top"/>
          </w:tcPr>
          <w:p w14:paraId="54B301A9">
            <w:pPr>
              <w:rPr>
                <w:rFonts w:ascii="Arial"/>
                <w:color w:val="auto"/>
                <w:sz w:val="21"/>
                <w:highlight w:val="none"/>
              </w:rPr>
            </w:pPr>
          </w:p>
        </w:tc>
        <w:tc>
          <w:tcPr>
            <w:tcW w:w="2376" w:type="dxa"/>
            <w:vAlign w:val="top"/>
          </w:tcPr>
          <w:p w14:paraId="69567C34">
            <w:pPr>
              <w:rPr>
                <w:rFonts w:ascii="Arial"/>
                <w:color w:val="auto"/>
                <w:sz w:val="21"/>
                <w:highlight w:val="none"/>
              </w:rPr>
            </w:pPr>
          </w:p>
        </w:tc>
        <w:tc>
          <w:tcPr>
            <w:tcW w:w="1219" w:type="dxa"/>
            <w:vAlign w:val="top"/>
          </w:tcPr>
          <w:p w14:paraId="74B992BE">
            <w:pPr>
              <w:rPr>
                <w:rFonts w:ascii="Arial"/>
                <w:color w:val="auto"/>
                <w:sz w:val="21"/>
                <w:highlight w:val="none"/>
              </w:rPr>
            </w:pPr>
          </w:p>
        </w:tc>
        <w:tc>
          <w:tcPr>
            <w:tcW w:w="1262" w:type="dxa"/>
            <w:vAlign w:val="top"/>
          </w:tcPr>
          <w:p w14:paraId="58CD5B6D">
            <w:pPr>
              <w:rPr>
                <w:rFonts w:ascii="Arial"/>
                <w:color w:val="auto"/>
                <w:sz w:val="21"/>
                <w:highlight w:val="none"/>
              </w:rPr>
            </w:pPr>
          </w:p>
        </w:tc>
        <w:tc>
          <w:tcPr>
            <w:tcW w:w="1099" w:type="dxa"/>
            <w:vAlign w:val="top"/>
          </w:tcPr>
          <w:p w14:paraId="09678F1B">
            <w:pPr>
              <w:rPr>
                <w:rFonts w:ascii="Arial"/>
                <w:color w:val="auto"/>
                <w:sz w:val="21"/>
                <w:highlight w:val="none"/>
              </w:rPr>
            </w:pPr>
          </w:p>
        </w:tc>
        <w:tc>
          <w:tcPr>
            <w:tcW w:w="1186" w:type="dxa"/>
            <w:vAlign w:val="top"/>
          </w:tcPr>
          <w:p w14:paraId="2A615A95">
            <w:pPr>
              <w:rPr>
                <w:rFonts w:ascii="Arial"/>
                <w:color w:val="auto"/>
                <w:sz w:val="21"/>
                <w:highlight w:val="none"/>
              </w:rPr>
            </w:pPr>
          </w:p>
        </w:tc>
      </w:tr>
      <w:tr w14:paraId="329D2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3916F4E">
            <w:pPr>
              <w:rPr>
                <w:rFonts w:ascii="Arial"/>
                <w:color w:val="auto"/>
                <w:sz w:val="21"/>
                <w:highlight w:val="none"/>
              </w:rPr>
            </w:pPr>
          </w:p>
        </w:tc>
        <w:tc>
          <w:tcPr>
            <w:tcW w:w="1934" w:type="dxa"/>
            <w:vAlign w:val="top"/>
          </w:tcPr>
          <w:p w14:paraId="21BD4F24">
            <w:pPr>
              <w:rPr>
                <w:rFonts w:ascii="Arial"/>
                <w:color w:val="auto"/>
                <w:sz w:val="21"/>
                <w:highlight w:val="none"/>
              </w:rPr>
            </w:pPr>
          </w:p>
        </w:tc>
        <w:tc>
          <w:tcPr>
            <w:tcW w:w="2376" w:type="dxa"/>
            <w:vAlign w:val="top"/>
          </w:tcPr>
          <w:p w14:paraId="58620BDF">
            <w:pPr>
              <w:rPr>
                <w:rFonts w:ascii="Arial"/>
                <w:color w:val="auto"/>
                <w:sz w:val="21"/>
                <w:highlight w:val="none"/>
              </w:rPr>
            </w:pPr>
          </w:p>
        </w:tc>
        <w:tc>
          <w:tcPr>
            <w:tcW w:w="1219" w:type="dxa"/>
            <w:vAlign w:val="top"/>
          </w:tcPr>
          <w:p w14:paraId="771F8E01">
            <w:pPr>
              <w:rPr>
                <w:rFonts w:ascii="Arial"/>
                <w:color w:val="auto"/>
                <w:sz w:val="21"/>
                <w:highlight w:val="none"/>
              </w:rPr>
            </w:pPr>
          </w:p>
        </w:tc>
        <w:tc>
          <w:tcPr>
            <w:tcW w:w="1262" w:type="dxa"/>
            <w:vAlign w:val="top"/>
          </w:tcPr>
          <w:p w14:paraId="0308E263">
            <w:pPr>
              <w:rPr>
                <w:rFonts w:ascii="Arial"/>
                <w:color w:val="auto"/>
                <w:sz w:val="21"/>
                <w:highlight w:val="none"/>
              </w:rPr>
            </w:pPr>
          </w:p>
        </w:tc>
        <w:tc>
          <w:tcPr>
            <w:tcW w:w="1099" w:type="dxa"/>
            <w:vAlign w:val="top"/>
          </w:tcPr>
          <w:p w14:paraId="6EEBF47D">
            <w:pPr>
              <w:rPr>
                <w:rFonts w:ascii="Arial"/>
                <w:color w:val="auto"/>
                <w:sz w:val="21"/>
                <w:highlight w:val="none"/>
              </w:rPr>
            </w:pPr>
          </w:p>
        </w:tc>
        <w:tc>
          <w:tcPr>
            <w:tcW w:w="1186" w:type="dxa"/>
            <w:vAlign w:val="top"/>
          </w:tcPr>
          <w:p w14:paraId="112C15C7">
            <w:pPr>
              <w:rPr>
                <w:rFonts w:ascii="Arial"/>
                <w:color w:val="auto"/>
                <w:sz w:val="21"/>
                <w:highlight w:val="none"/>
              </w:rPr>
            </w:pPr>
          </w:p>
        </w:tc>
      </w:tr>
      <w:tr w14:paraId="155E4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EF91342">
            <w:pPr>
              <w:rPr>
                <w:rFonts w:ascii="Arial"/>
                <w:color w:val="auto"/>
                <w:sz w:val="21"/>
                <w:highlight w:val="none"/>
              </w:rPr>
            </w:pPr>
          </w:p>
        </w:tc>
        <w:tc>
          <w:tcPr>
            <w:tcW w:w="1934" w:type="dxa"/>
            <w:vAlign w:val="top"/>
          </w:tcPr>
          <w:p w14:paraId="20A4CE9B">
            <w:pPr>
              <w:rPr>
                <w:rFonts w:ascii="Arial"/>
                <w:color w:val="auto"/>
                <w:sz w:val="21"/>
                <w:highlight w:val="none"/>
              </w:rPr>
            </w:pPr>
          </w:p>
        </w:tc>
        <w:tc>
          <w:tcPr>
            <w:tcW w:w="2376" w:type="dxa"/>
            <w:vAlign w:val="top"/>
          </w:tcPr>
          <w:p w14:paraId="74DCE66E">
            <w:pPr>
              <w:rPr>
                <w:rFonts w:ascii="Arial"/>
                <w:color w:val="auto"/>
                <w:sz w:val="21"/>
                <w:highlight w:val="none"/>
              </w:rPr>
            </w:pPr>
          </w:p>
        </w:tc>
        <w:tc>
          <w:tcPr>
            <w:tcW w:w="1219" w:type="dxa"/>
            <w:vAlign w:val="top"/>
          </w:tcPr>
          <w:p w14:paraId="68B8DBB3">
            <w:pPr>
              <w:rPr>
                <w:rFonts w:ascii="Arial"/>
                <w:color w:val="auto"/>
                <w:sz w:val="21"/>
                <w:highlight w:val="none"/>
              </w:rPr>
            </w:pPr>
          </w:p>
        </w:tc>
        <w:tc>
          <w:tcPr>
            <w:tcW w:w="1262" w:type="dxa"/>
            <w:vAlign w:val="top"/>
          </w:tcPr>
          <w:p w14:paraId="7E5583B9">
            <w:pPr>
              <w:rPr>
                <w:rFonts w:ascii="Arial"/>
                <w:color w:val="auto"/>
                <w:sz w:val="21"/>
                <w:highlight w:val="none"/>
              </w:rPr>
            </w:pPr>
          </w:p>
        </w:tc>
        <w:tc>
          <w:tcPr>
            <w:tcW w:w="1099" w:type="dxa"/>
            <w:vAlign w:val="top"/>
          </w:tcPr>
          <w:p w14:paraId="590C192D">
            <w:pPr>
              <w:rPr>
                <w:rFonts w:ascii="Arial"/>
                <w:color w:val="auto"/>
                <w:sz w:val="21"/>
                <w:highlight w:val="none"/>
              </w:rPr>
            </w:pPr>
          </w:p>
        </w:tc>
        <w:tc>
          <w:tcPr>
            <w:tcW w:w="1186" w:type="dxa"/>
            <w:vAlign w:val="top"/>
          </w:tcPr>
          <w:p w14:paraId="1024D43E">
            <w:pPr>
              <w:rPr>
                <w:rFonts w:ascii="Arial"/>
                <w:color w:val="auto"/>
                <w:sz w:val="21"/>
                <w:highlight w:val="none"/>
              </w:rPr>
            </w:pPr>
          </w:p>
        </w:tc>
      </w:tr>
      <w:tr w14:paraId="3196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4B32219A">
            <w:pPr>
              <w:rPr>
                <w:rFonts w:ascii="Arial"/>
                <w:color w:val="auto"/>
                <w:sz w:val="21"/>
                <w:highlight w:val="none"/>
              </w:rPr>
            </w:pPr>
          </w:p>
        </w:tc>
        <w:tc>
          <w:tcPr>
            <w:tcW w:w="1934" w:type="dxa"/>
            <w:vAlign w:val="top"/>
          </w:tcPr>
          <w:p w14:paraId="25579BC8">
            <w:pPr>
              <w:rPr>
                <w:rFonts w:ascii="Arial"/>
                <w:color w:val="auto"/>
                <w:sz w:val="21"/>
                <w:highlight w:val="none"/>
              </w:rPr>
            </w:pPr>
          </w:p>
        </w:tc>
        <w:tc>
          <w:tcPr>
            <w:tcW w:w="2376" w:type="dxa"/>
            <w:vAlign w:val="top"/>
          </w:tcPr>
          <w:p w14:paraId="1C70AE58">
            <w:pPr>
              <w:rPr>
                <w:rFonts w:ascii="Arial"/>
                <w:color w:val="auto"/>
                <w:sz w:val="21"/>
                <w:highlight w:val="none"/>
              </w:rPr>
            </w:pPr>
          </w:p>
        </w:tc>
        <w:tc>
          <w:tcPr>
            <w:tcW w:w="1219" w:type="dxa"/>
            <w:vAlign w:val="top"/>
          </w:tcPr>
          <w:p w14:paraId="2FD6F1E9">
            <w:pPr>
              <w:rPr>
                <w:rFonts w:ascii="Arial"/>
                <w:color w:val="auto"/>
                <w:sz w:val="21"/>
                <w:highlight w:val="none"/>
              </w:rPr>
            </w:pPr>
          </w:p>
        </w:tc>
        <w:tc>
          <w:tcPr>
            <w:tcW w:w="1262" w:type="dxa"/>
            <w:vAlign w:val="top"/>
          </w:tcPr>
          <w:p w14:paraId="5955D3A5">
            <w:pPr>
              <w:rPr>
                <w:rFonts w:ascii="Arial"/>
                <w:color w:val="auto"/>
                <w:sz w:val="21"/>
                <w:highlight w:val="none"/>
              </w:rPr>
            </w:pPr>
          </w:p>
        </w:tc>
        <w:tc>
          <w:tcPr>
            <w:tcW w:w="1099" w:type="dxa"/>
            <w:vAlign w:val="top"/>
          </w:tcPr>
          <w:p w14:paraId="70F31488">
            <w:pPr>
              <w:rPr>
                <w:rFonts w:ascii="Arial"/>
                <w:color w:val="auto"/>
                <w:sz w:val="21"/>
                <w:highlight w:val="none"/>
              </w:rPr>
            </w:pPr>
          </w:p>
        </w:tc>
        <w:tc>
          <w:tcPr>
            <w:tcW w:w="1186" w:type="dxa"/>
            <w:vAlign w:val="top"/>
          </w:tcPr>
          <w:p w14:paraId="57B9ED39">
            <w:pPr>
              <w:rPr>
                <w:rFonts w:ascii="Arial"/>
                <w:color w:val="auto"/>
                <w:sz w:val="21"/>
                <w:highlight w:val="none"/>
              </w:rPr>
            </w:pPr>
          </w:p>
        </w:tc>
      </w:tr>
      <w:tr w14:paraId="585AF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3BFFAF38">
            <w:pPr>
              <w:rPr>
                <w:rFonts w:ascii="Arial"/>
                <w:color w:val="auto"/>
                <w:sz w:val="21"/>
                <w:highlight w:val="none"/>
              </w:rPr>
            </w:pPr>
          </w:p>
        </w:tc>
        <w:tc>
          <w:tcPr>
            <w:tcW w:w="1934" w:type="dxa"/>
            <w:vAlign w:val="top"/>
          </w:tcPr>
          <w:p w14:paraId="4BC1B2FC">
            <w:pPr>
              <w:rPr>
                <w:rFonts w:ascii="Arial"/>
                <w:color w:val="auto"/>
                <w:sz w:val="21"/>
                <w:highlight w:val="none"/>
              </w:rPr>
            </w:pPr>
          </w:p>
        </w:tc>
        <w:tc>
          <w:tcPr>
            <w:tcW w:w="2376" w:type="dxa"/>
            <w:vAlign w:val="top"/>
          </w:tcPr>
          <w:p w14:paraId="28107A5A">
            <w:pPr>
              <w:rPr>
                <w:rFonts w:ascii="Arial"/>
                <w:color w:val="auto"/>
                <w:sz w:val="21"/>
                <w:highlight w:val="none"/>
              </w:rPr>
            </w:pPr>
          </w:p>
        </w:tc>
        <w:tc>
          <w:tcPr>
            <w:tcW w:w="1219" w:type="dxa"/>
            <w:vAlign w:val="top"/>
          </w:tcPr>
          <w:p w14:paraId="002922FE">
            <w:pPr>
              <w:rPr>
                <w:rFonts w:ascii="Arial"/>
                <w:color w:val="auto"/>
                <w:sz w:val="21"/>
                <w:highlight w:val="none"/>
              </w:rPr>
            </w:pPr>
          </w:p>
        </w:tc>
        <w:tc>
          <w:tcPr>
            <w:tcW w:w="1262" w:type="dxa"/>
            <w:vAlign w:val="top"/>
          </w:tcPr>
          <w:p w14:paraId="3423BF60">
            <w:pPr>
              <w:rPr>
                <w:rFonts w:ascii="Arial"/>
                <w:color w:val="auto"/>
                <w:sz w:val="21"/>
                <w:highlight w:val="none"/>
              </w:rPr>
            </w:pPr>
          </w:p>
        </w:tc>
        <w:tc>
          <w:tcPr>
            <w:tcW w:w="1099" w:type="dxa"/>
            <w:vAlign w:val="top"/>
          </w:tcPr>
          <w:p w14:paraId="61F80C57">
            <w:pPr>
              <w:rPr>
                <w:rFonts w:ascii="Arial"/>
                <w:color w:val="auto"/>
                <w:sz w:val="21"/>
                <w:highlight w:val="none"/>
              </w:rPr>
            </w:pPr>
          </w:p>
        </w:tc>
        <w:tc>
          <w:tcPr>
            <w:tcW w:w="1186" w:type="dxa"/>
            <w:vAlign w:val="top"/>
          </w:tcPr>
          <w:p w14:paraId="7E2C4999">
            <w:pPr>
              <w:rPr>
                <w:rFonts w:ascii="Arial"/>
                <w:color w:val="auto"/>
                <w:sz w:val="21"/>
                <w:highlight w:val="none"/>
              </w:rPr>
            </w:pPr>
          </w:p>
        </w:tc>
      </w:tr>
      <w:tr w14:paraId="3C29A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575DE7B2">
            <w:pPr>
              <w:rPr>
                <w:rFonts w:ascii="Arial"/>
                <w:color w:val="auto"/>
                <w:sz w:val="21"/>
                <w:highlight w:val="none"/>
              </w:rPr>
            </w:pPr>
          </w:p>
        </w:tc>
        <w:tc>
          <w:tcPr>
            <w:tcW w:w="1934" w:type="dxa"/>
            <w:vAlign w:val="top"/>
          </w:tcPr>
          <w:p w14:paraId="249FD9C1">
            <w:pPr>
              <w:rPr>
                <w:rFonts w:ascii="Arial"/>
                <w:color w:val="auto"/>
                <w:sz w:val="21"/>
                <w:highlight w:val="none"/>
              </w:rPr>
            </w:pPr>
          </w:p>
        </w:tc>
        <w:tc>
          <w:tcPr>
            <w:tcW w:w="2376" w:type="dxa"/>
            <w:vAlign w:val="top"/>
          </w:tcPr>
          <w:p w14:paraId="7DFFD9F8">
            <w:pPr>
              <w:rPr>
                <w:rFonts w:ascii="Arial"/>
                <w:color w:val="auto"/>
                <w:sz w:val="21"/>
                <w:highlight w:val="none"/>
              </w:rPr>
            </w:pPr>
          </w:p>
        </w:tc>
        <w:tc>
          <w:tcPr>
            <w:tcW w:w="1219" w:type="dxa"/>
            <w:vAlign w:val="top"/>
          </w:tcPr>
          <w:p w14:paraId="0491BE1C">
            <w:pPr>
              <w:rPr>
                <w:rFonts w:ascii="Arial"/>
                <w:color w:val="auto"/>
                <w:sz w:val="21"/>
                <w:highlight w:val="none"/>
              </w:rPr>
            </w:pPr>
          </w:p>
        </w:tc>
        <w:tc>
          <w:tcPr>
            <w:tcW w:w="1262" w:type="dxa"/>
            <w:vAlign w:val="top"/>
          </w:tcPr>
          <w:p w14:paraId="53F33540">
            <w:pPr>
              <w:rPr>
                <w:rFonts w:ascii="Arial"/>
                <w:color w:val="auto"/>
                <w:sz w:val="21"/>
                <w:highlight w:val="none"/>
              </w:rPr>
            </w:pPr>
          </w:p>
        </w:tc>
        <w:tc>
          <w:tcPr>
            <w:tcW w:w="1099" w:type="dxa"/>
            <w:vAlign w:val="top"/>
          </w:tcPr>
          <w:p w14:paraId="2E8DDE8E">
            <w:pPr>
              <w:rPr>
                <w:rFonts w:ascii="Arial"/>
                <w:color w:val="auto"/>
                <w:sz w:val="21"/>
                <w:highlight w:val="none"/>
              </w:rPr>
            </w:pPr>
          </w:p>
        </w:tc>
        <w:tc>
          <w:tcPr>
            <w:tcW w:w="1186" w:type="dxa"/>
            <w:vAlign w:val="top"/>
          </w:tcPr>
          <w:p w14:paraId="022CE8D5">
            <w:pPr>
              <w:rPr>
                <w:rFonts w:ascii="Arial"/>
                <w:color w:val="auto"/>
                <w:sz w:val="21"/>
                <w:highlight w:val="none"/>
              </w:rPr>
            </w:pPr>
          </w:p>
        </w:tc>
      </w:tr>
      <w:tr w14:paraId="24531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74749A4">
            <w:pPr>
              <w:rPr>
                <w:rFonts w:ascii="Arial"/>
                <w:color w:val="auto"/>
                <w:sz w:val="21"/>
                <w:highlight w:val="none"/>
              </w:rPr>
            </w:pPr>
          </w:p>
        </w:tc>
        <w:tc>
          <w:tcPr>
            <w:tcW w:w="1934" w:type="dxa"/>
            <w:vAlign w:val="top"/>
          </w:tcPr>
          <w:p w14:paraId="19C40B31">
            <w:pPr>
              <w:rPr>
                <w:rFonts w:ascii="Arial"/>
                <w:color w:val="auto"/>
                <w:sz w:val="21"/>
                <w:highlight w:val="none"/>
              </w:rPr>
            </w:pPr>
          </w:p>
        </w:tc>
        <w:tc>
          <w:tcPr>
            <w:tcW w:w="2376" w:type="dxa"/>
            <w:vAlign w:val="top"/>
          </w:tcPr>
          <w:p w14:paraId="391BAA69">
            <w:pPr>
              <w:rPr>
                <w:rFonts w:ascii="Arial"/>
                <w:color w:val="auto"/>
                <w:sz w:val="21"/>
                <w:highlight w:val="none"/>
              </w:rPr>
            </w:pPr>
          </w:p>
        </w:tc>
        <w:tc>
          <w:tcPr>
            <w:tcW w:w="1219" w:type="dxa"/>
            <w:vAlign w:val="top"/>
          </w:tcPr>
          <w:p w14:paraId="75F3FB76">
            <w:pPr>
              <w:rPr>
                <w:rFonts w:ascii="Arial"/>
                <w:color w:val="auto"/>
                <w:sz w:val="21"/>
                <w:highlight w:val="none"/>
              </w:rPr>
            </w:pPr>
          </w:p>
        </w:tc>
        <w:tc>
          <w:tcPr>
            <w:tcW w:w="1262" w:type="dxa"/>
            <w:vAlign w:val="top"/>
          </w:tcPr>
          <w:p w14:paraId="28E55507">
            <w:pPr>
              <w:rPr>
                <w:rFonts w:ascii="Arial"/>
                <w:color w:val="auto"/>
                <w:sz w:val="21"/>
                <w:highlight w:val="none"/>
              </w:rPr>
            </w:pPr>
          </w:p>
        </w:tc>
        <w:tc>
          <w:tcPr>
            <w:tcW w:w="1099" w:type="dxa"/>
            <w:vAlign w:val="top"/>
          </w:tcPr>
          <w:p w14:paraId="768A7815">
            <w:pPr>
              <w:rPr>
                <w:rFonts w:ascii="Arial"/>
                <w:color w:val="auto"/>
                <w:sz w:val="21"/>
                <w:highlight w:val="none"/>
              </w:rPr>
            </w:pPr>
          </w:p>
        </w:tc>
        <w:tc>
          <w:tcPr>
            <w:tcW w:w="1186" w:type="dxa"/>
            <w:vAlign w:val="top"/>
          </w:tcPr>
          <w:p w14:paraId="0CBC0E0D">
            <w:pPr>
              <w:rPr>
                <w:rFonts w:ascii="Arial"/>
                <w:color w:val="auto"/>
                <w:sz w:val="21"/>
                <w:highlight w:val="none"/>
              </w:rPr>
            </w:pPr>
          </w:p>
        </w:tc>
      </w:tr>
      <w:tr w14:paraId="15BF6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5C4BE23B">
            <w:pPr>
              <w:rPr>
                <w:rFonts w:ascii="Arial"/>
                <w:color w:val="auto"/>
                <w:sz w:val="21"/>
                <w:highlight w:val="none"/>
              </w:rPr>
            </w:pPr>
          </w:p>
        </w:tc>
        <w:tc>
          <w:tcPr>
            <w:tcW w:w="1934" w:type="dxa"/>
            <w:vAlign w:val="top"/>
          </w:tcPr>
          <w:p w14:paraId="67854123">
            <w:pPr>
              <w:rPr>
                <w:rFonts w:ascii="Arial"/>
                <w:color w:val="auto"/>
                <w:sz w:val="21"/>
                <w:highlight w:val="none"/>
              </w:rPr>
            </w:pPr>
          </w:p>
        </w:tc>
        <w:tc>
          <w:tcPr>
            <w:tcW w:w="2376" w:type="dxa"/>
            <w:vAlign w:val="top"/>
          </w:tcPr>
          <w:p w14:paraId="51EA73F8">
            <w:pPr>
              <w:rPr>
                <w:rFonts w:ascii="Arial"/>
                <w:color w:val="auto"/>
                <w:sz w:val="21"/>
                <w:highlight w:val="none"/>
              </w:rPr>
            </w:pPr>
          </w:p>
        </w:tc>
        <w:tc>
          <w:tcPr>
            <w:tcW w:w="1219" w:type="dxa"/>
            <w:vAlign w:val="top"/>
          </w:tcPr>
          <w:p w14:paraId="6C8DFBAE">
            <w:pPr>
              <w:rPr>
                <w:rFonts w:ascii="Arial"/>
                <w:color w:val="auto"/>
                <w:sz w:val="21"/>
                <w:highlight w:val="none"/>
              </w:rPr>
            </w:pPr>
          </w:p>
        </w:tc>
        <w:tc>
          <w:tcPr>
            <w:tcW w:w="1262" w:type="dxa"/>
            <w:vAlign w:val="top"/>
          </w:tcPr>
          <w:p w14:paraId="2F956ED4">
            <w:pPr>
              <w:rPr>
                <w:rFonts w:ascii="Arial"/>
                <w:color w:val="auto"/>
                <w:sz w:val="21"/>
                <w:highlight w:val="none"/>
              </w:rPr>
            </w:pPr>
          </w:p>
        </w:tc>
        <w:tc>
          <w:tcPr>
            <w:tcW w:w="1099" w:type="dxa"/>
            <w:vAlign w:val="top"/>
          </w:tcPr>
          <w:p w14:paraId="48D764B9">
            <w:pPr>
              <w:rPr>
                <w:rFonts w:ascii="Arial"/>
                <w:color w:val="auto"/>
                <w:sz w:val="21"/>
                <w:highlight w:val="none"/>
              </w:rPr>
            </w:pPr>
          </w:p>
        </w:tc>
        <w:tc>
          <w:tcPr>
            <w:tcW w:w="1186" w:type="dxa"/>
            <w:vAlign w:val="top"/>
          </w:tcPr>
          <w:p w14:paraId="46EC7707">
            <w:pPr>
              <w:rPr>
                <w:rFonts w:ascii="Arial"/>
                <w:color w:val="auto"/>
                <w:sz w:val="21"/>
                <w:highlight w:val="none"/>
              </w:rPr>
            </w:pPr>
          </w:p>
        </w:tc>
      </w:tr>
      <w:tr w14:paraId="2548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14:paraId="64CFB1AB">
            <w:pPr>
              <w:rPr>
                <w:rFonts w:ascii="Arial"/>
                <w:color w:val="auto"/>
                <w:sz w:val="21"/>
                <w:highlight w:val="none"/>
              </w:rPr>
            </w:pPr>
          </w:p>
        </w:tc>
        <w:tc>
          <w:tcPr>
            <w:tcW w:w="1219" w:type="dxa"/>
            <w:vAlign w:val="top"/>
          </w:tcPr>
          <w:p w14:paraId="163CA1E2">
            <w:pPr>
              <w:rPr>
                <w:rFonts w:ascii="Arial"/>
                <w:color w:val="auto"/>
                <w:sz w:val="21"/>
                <w:highlight w:val="none"/>
              </w:rPr>
            </w:pPr>
          </w:p>
        </w:tc>
        <w:tc>
          <w:tcPr>
            <w:tcW w:w="1262" w:type="dxa"/>
            <w:vAlign w:val="top"/>
          </w:tcPr>
          <w:p w14:paraId="7AEA439C">
            <w:pPr>
              <w:rPr>
                <w:rFonts w:ascii="Arial"/>
                <w:color w:val="auto"/>
                <w:sz w:val="21"/>
                <w:highlight w:val="none"/>
              </w:rPr>
            </w:pPr>
          </w:p>
        </w:tc>
        <w:tc>
          <w:tcPr>
            <w:tcW w:w="1099" w:type="dxa"/>
            <w:vAlign w:val="top"/>
          </w:tcPr>
          <w:p w14:paraId="1D30AEFF">
            <w:pPr>
              <w:rPr>
                <w:rFonts w:ascii="Arial"/>
                <w:color w:val="auto"/>
                <w:sz w:val="21"/>
                <w:highlight w:val="none"/>
              </w:rPr>
            </w:pPr>
          </w:p>
        </w:tc>
        <w:tc>
          <w:tcPr>
            <w:tcW w:w="1186" w:type="dxa"/>
            <w:vAlign w:val="top"/>
          </w:tcPr>
          <w:p w14:paraId="3AB30192">
            <w:pPr>
              <w:rPr>
                <w:rFonts w:ascii="Arial"/>
                <w:color w:val="auto"/>
                <w:sz w:val="21"/>
                <w:highlight w:val="none"/>
              </w:rPr>
            </w:pPr>
          </w:p>
        </w:tc>
      </w:tr>
    </w:tbl>
    <w:p w14:paraId="6511AF4C">
      <w:pPr>
        <w:spacing w:before="150" w:line="213" w:lineRule="auto"/>
        <w:ind w:left="1041" w:right="620" w:hanging="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注：此表“暂估金额”由招标人填写，投标人应将“暂估金额”计入投标总</w:t>
      </w:r>
      <w:r>
        <w:rPr>
          <w:rFonts w:ascii="宋体" w:hAnsi="宋体" w:eastAsia="宋体" w:cs="宋体"/>
          <w:color w:val="auto"/>
          <w:spacing w:val="2"/>
          <w:sz w:val="21"/>
          <w:szCs w:val="21"/>
          <w:highlight w:val="none"/>
        </w:rPr>
        <w:t>价中。结算时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按合同约定结算金额填写。</w:t>
      </w:r>
    </w:p>
    <w:p w14:paraId="026F45CA">
      <w:pPr>
        <w:spacing w:line="213" w:lineRule="auto"/>
        <w:rPr>
          <w:rFonts w:ascii="宋体" w:hAnsi="宋体" w:eastAsia="宋体" w:cs="宋体"/>
          <w:color w:val="auto"/>
          <w:sz w:val="21"/>
          <w:szCs w:val="21"/>
          <w:highlight w:val="none"/>
        </w:rPr>
        <w:sectPr>
          <w:type w:val="continuous"/>
          <w:pgSz w:w="11905" w:h="16839"/>
          <w:pgMar w:top="400" w:right="1176" w:bottom="1004" w:left="1186" w:header="0" w:footer="829" w:gutter="0"/>
          <w:pgNumType w:fmt="decimal"/>
          <w:cols w:equalWidth="0" w:num="1">
            <w:col w:w="9542"/>
          </w:cols>
        </w:sectPr>
      </w:pPr>
    </w:p>
    <w:p w14:paraId="5883B717">
      <w:pPr>
        <w:pStyle w:val="5"/>
        <w:spacing w:line="267" w:lineRule="auto"/>
        <w:rPr>
          <w:color w:val="auto"/>
          <w:highlight w:val="none"/>
        </w:rPr>
      </w:pPr>
    </w:p>
    <w:p w14:paraId="73597BBA">
      <w:pPr>
        <w:pStyle w:val="5"/>
        <w:spacing w:line="268" w:lineRule="auto"/>
        <w:rPr>
          <w:color w:val="auto"/>
          <w:highlight w:val="none"/>
        </w:rPr>
      </w:pPr>
    </w:p>
    <w:p w14:paraId="2FE45611">
      <w:pPr>
        <w:pStyle w:val="5"/>
        <w:spacing w:line="268" w:lineRule="auto"/>
        <w:rPr>
          <w:color w:val="auto"/>
          <w:highlight w:val="none"/>
        </w:rPr>
      </w:pPr>
    </w:p>
    <w:p w14:paraId="1FE5F45D">
      <w:pPr>
        <w:pStyle w:val="5"/>
        <w:spacing w:line="268" w:lineRule="auto"/>
        <w:rPr>
          <w:color w:val="auto"/>
          <w:highlight w:val="none"/>
        </w:rPr>
      </w:pPr>
    </w:p>
    <w:p w14:paraId="356072DE">
      <w:pPr>
        <w:spacing w:before="78" w:line="220" w:lineRule="auto"/>
        <w:ind w:left="2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4.12-4 </w:t>
      </w:r>
      <w:r>
        <w:rPr>
          <w:rFonts w:ascii="黑体" w:hAnsi="黑体" w:eastAsia="黑体" w:cs="黑体"/>
          <w:color w:val="auto"/>
          <w:spacing w:val="-1"/>
          <w:sz w:val="24"/>
          <w:szCs w:val="24"/>
          <w:highlight w:val="none"/>
        </w:rPr>
        <w:t>计日工表</w:t>
      </w:r>
    </w:p>
    <w:p w14:paraId="603352CA">
      <w:pPr>
        <w:pStyle w:val="5"/>
        <w:spacing w:line="277" w:lineRule="auto"/>
        <w:rPr>
          <w:color w:val="auto"/>
          <w:highlight w:val="none"/>
        </w:rPr>
      </w:pPr>
    </w:p>
    <w:p w14:paraId="419D12A7">
      <w:pPr>
        <w:pStyle w:val="5"/>
        <w:spacing w:line="277" w:lineRule="auto"/>
        <w:rPr>
          <w:color w:val="auto"/>
          <w:highlight w:val="none"/>
        </w:rPr>
      </w:pPr>
    </w:p>
    <w:p w14:paraId="56BAF5CF">
      <w:pPr>
        <w:spacing w:before="88" w:line="226" w:lineRule="auto"/>
        <w:ind w:left="3824"/>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计日工表</w:t>
      </w:r>
    </w:p>
    <w:p w14:paraId="4C5C83AE">
      <w:pPr>
        <w:pStyle w:val="5"/>
        <w:spacing w:line="274" w:lineRule="auto"/>
        <w:rPr>
          <w:color w:val="auto"/>
          <w:highlight w:val="none"/>
        </w:rPr>
      </w:pPr>
    </w:p>
    <w:p w14:paraId="261A69B5">
      <w:pPr>
        <w:pStyle w:val="5"/>
        <w:spacing w:line="274" w:lineRule="auto"/>
        <w:rPr>
          <w:color w:val="auto"/>
          <w:highlight w:val="none"/>
        </w:rPr>
      </w:pPr>
    </w:p>
    <w:p w14:paraId="3BE5D625">
      <w:pPr>
        <w:spacing w:before="69" w:line="214" w:lineRule="auto"/>
        <w:ind w:left="226"/>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 xml:space="preserve">工程名称：                标段名称：  </w:t>
      </w:r>
      <w:r>
        <w:rPr>
          <w:rFonts w:ascii="宋体" w:hAnsi="宋体" w:eastAsia="宋体" w:cs="宋体"/>
          <w:color w:val="auto"/>
          <w:spacing w:val="-13"/>
          <w:sz w:val="21"/>
          <w:szCs w:val="21"/>
          <w:highlight w:val="none"/>
        </w:rPr>
        <w:t xml:space="preserve">     第 页 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3"/>
          <w:sz w:val="21"/>
          <w:szCs w:val="21"/>
          <w:highlight w:val="none"/>
        </w:rPr>
        <w:t>页</w:t>
      </w:r>
    </w:p>
    <w:tbl>
      <w:tblPr>
        <w:tblStyle w:val="17"/>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14:paraId="43DB2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14:paraId="1AE5EA4C">
            <w:pPr>
              <w:spacing w:line="313" w:lineRule="auto"/>
              <w:rPr>
                <w:rFonts w:ascii="Arial"/>
                <w:color w:val="auto"/>
                <w:sz w:val="21"/>
                <w:highlight w:val="none"/>
              </w:rPr>
            </w:pPr>
          </w:p>
          <w:p w14:paraId="63408470">
            <w:pPr>
              <w:pStyle w:val="18"/>
              <w:spacing w:before="69" w:line="221" w:lineRule="auto"/>
              <w:ind w:left="187"/>
              <w:rPr>
                <w:color w:val="auto"/>
                <w:highlight w:val="none"/>
              </w:rPr>
            </w:pPr>
            <w:r>
              <w:rPr>
                <w:color w:val="auto"/>
                <w:spacing w:val="-2"/>
                <w:highlight w:val="none"/>
              </w:rPr>
              <w:t>编号</w:t>
            </w:r>
          </w:p>
        </w:tc>
        <w:tc>
          <w:tcPr>
            <w:tcW w:w="1911" w:type="dxa"/>
            <w:vMerge w:val="restart"/>
            <w:tcBorders>
              <w:top w:val="single" w:color="000000" w:sz="4" w:space="0"/>
              <w:bottom w:val="nil"/>
              <w:right w:val="single" w:color="000000" w:sz="4" w:space="0"/>
            </w:tcBorders>
            <w:vAlign w:val="top"/>
          </w:tcPr>
          <w:p w14:paraId="5A5882B0">
            <w:pPr>
              <w:spacing w:line="314" w:lineRule="auto"/>
              <w:rPr>
                <w:rFonts w:ascii="Arial"/>
                <w:color w:val="auto"/>
                <w:sz w:val="21"/>
                <w:highlight w:val="none"/>
              </w:rPr>
            </w:pPr>
          </w:p>
          <w:p w14:paraId="1CDDEADD">
            <w:pPr>
              <w:pStyle w:val="18"/>
              <w:spacing w:before="68" w:line="221" w:lineRule="auto"/>
              <w:ind w:left="537"/>
              <w:rPr>
                <w:color w:val="auto"/>
                <w:highlight w:val="none"/>
              </w:rPr>
            </w:pPr>
            <w:r>
              <w:rPr>
                <w:color w:val="auto"/>
                <w:spacing w:val="-2"/>
                <w:highlight w:val="none"/>
              </w:rPr>
              <w:t>项目名称</w:t>
            </w:r>
          </w:p>
        </w:tc>
        <w:tc>
          <w:tcPr>
            <w:tcW w:w="717" w:type="dxa"/>
            <w:vMerge w:val="restart"/>
            <w:tcBorders>
              <w:top w:val="single" w:color="000000" w:sz="4" w:space="0"/>
              <w:left w:val="single" w:color="000000" w:sz="4" w:space="0"/>
              <w:bottom w:val="nil"/>
            </w:tcBorders>
            <w:vAlign w:val="top"/>
          </w:tcPr>
          <w:p w14:paraId="0F2C55F7">
            <w:pPr>
              <w:spacing w:line="314" w:lineRule="auto"/>
              <w:rPr>
                <w:rFonts w:ascii="Arial"/>
                <w:color w:val="auto"/>
                <w:sz w:val="21"/>
                <w:highlight w:val="none"/>
              </w:rPr>
            </w:pPr>
          </w:p>
          <w:p w14:paraId="742DA1A3">
            <w:pPr>
              <w:pStyle w:val="18"/>
              <w:spacing w:before="68" w:line="221" w:lineRule="auto"/>
              <w:ind w:left="154"/>
              <w:rPr>
                <w:color w:val="auto"/>
                <w:highlight w:val="none"/>
              </w:rPr>
            </w:pPr>
            <w:r>
              <w:rPr>
                <w:color w:val="auto"/>
                <w:spacing w:val="-2"/>
                <w:highlight w:val="none"/>
              </w:rPr>
              <w:t>单位</w:t>
            </w:r>
          </w:p>
        </w:tc>
        <w:tc>
          <w:tcPr>
            <w:tcW w:w="899" w:type="dxa"/>
            <w:vMerge w:val="restart"/>
            <w:tcBorders>
              <w:top w:val="single" w:color="000000" w:sz="4" w:space="0"/>
              <w:bottom w:val="nil"/>
              <w:right w:val="single" w:color="000000" w:sz="4" w:space="0"/>
            </w:tcBorders>
            <w:vAlign w:val="top"/>
          </w:tcPr>
          <w:p w14:paraId="56EC0980">
            <w:pPr>
              <w:pStyle w:val="18"/>
              <w:spacing w:before="250" w:line="236" w:lineRule="auto"/>
              <w:ind w:left="256"/>
              <w:rPr>
                <w:color w:val="auto"/>
                <w:highlight w:val="none"/>
              </w:rPr>
            </w:pPr>
            <w:r>
              <w:rPr>
                <w:color w:val="auto"/>
                <w:spacing w:val="-4"/>
                <w:highlight w:val="none"/>
              </w:rPr>
              <w:t>暂定</w:t>
            </w:r>
          </w:p>
          <w:p w14:paraId="78792CE1">
            <w:pPr>
              <w:pStyle w:val="18"/>
              <w:spacing w:line="220" w:lineRule="auto"/>
              <w:ind w:left="251"/>
              <w:rPr>
                <w:color w:val="auto"/>
                <w:highlight w:val="none"/>
              </w:rPr>
            </w:pPr>
            <w:r>
              <w:rPr>
                <w:color w:val="auto"/>
                <w:spacing w:val="-2"/>
                <w:highlight w:val="none"/>
              </w:rPr>
              <w:t>数量</w:t>
            </w:r>
          </w:p>
        </w:tc>
        <w:tc>
          <w:tcPr>
            <w:tcW w:w="904" w:type="dxa"/>
            <w:vMerge w:val="restart"/>
            <w:tcBorders>
              <w:top w:val="single" w:color="000000" w:sz="4" w:space="0"/>
              <w:left w:val="single" w:color="000000" w:sz="4" w:space="0"/>
              <w:bottom w:val="nil"/>
            </w:tcBorders>
            <w:vAlign w:val="top"/>
          </w:tcPr>
          <w:p w14:paraId="044F1A21">
            <w:pPr>
              <w:pStyle w:val="18"/>
              <w:spacing w:before="250" w:line="236" w:lineRule="auto"/>
              <w:ind w:left="255"/>
              <w:rPr>
                <w:color w:val="auto"/>
                <w:highlight w:val="none"/>
              </w:rPr>
            </w:pPr>
            <w:r>
              <w:rPr>
                <w:color w:val="auto"/>
                <w:spacing w:val="-3"/>
                <w:highlight w:val="none"/>
              </w:rPr>
              <w:t>实际</w:t>
            </w:r>
          </w:p>
          <w:p w14:paraId="01D5205B">
            <w:pPr>
              <w:pStyle w:val="18"/>
              <w:spacing w:line="220" w:lineRule="auto"/>
              <w:ind w:left="252"/>
              <w:rPr>
                <w:color w:val="auto"/>
                <w:highlight w:val="none"/>
              </w:rPr>
            </w:pPr>
            <w:r>
              <w:rPr>
                <w:color w:val="auto"/>
                <w:spacing w:val="-2"/>
                <w:highlight w:val="none"/>
              </w:rPr>
              <w:t>数量</w:t>
            </w:r>
          </w:p>
        </w:tc>
        <w:tc>
          <w:tcPr>
            <w:tcW w:w="1218" w:type="dxa"/>
            <w:gridSpan w:val="2"/>
            <w:vMerge w:val="restart"/>
            <w:tcBorders>
              <w:top w:val="single" w:color="000000" w:sz="4" w:space="0"/>
              <w:bottom w:val="nil"/>
            </w:tcBorders>
            <w:vAlign w:val="top"/>
          </w:tcPr>
          <w:p w14:paraId="2DD346FF">
            <w:pPr>
              <w:pStyle w:val="18"/>
              <w:spacing w:before="250" w:line="236" w:lineRule="auto"/>
              <w:ind w:left="407"/>
              <w:rPr>
                <w:color w:val="auto"/>
                <w:highlight w:val="none"/>
              </w:rPr>
            </w:pPr>
            <w:r>
              <w:rPr>
                <w:color w:val="auto"/>
                <w:spacing w:val="-2"/>
                <w:highlight w:val="none"/>
              </w:rPr>
              <w:t>单价</w:t>
            </w:r>
          </w:p>
          <w:p w14:paraId="445CF3E2">
            <w:pPr>
              <w:pStyle w:val="18"/>
              <w:spacing w:line="221" w:lineRule="auto"/>
              <w:ind w:left="306"/>
              <w:rPr>
                <w:color w:val="auto"/>
                <w:highlight w:val="none"/>
              </w:rPr>
            </w:pPr>
            <w:r>
              <w:rPr>
                <w:color w:val="auto"/>
                <w:spacing w:val="-6"/>
                <w:highlight w:val="none"/>
              </w:rPr>
              <w:t>（元）</w:t>
            </w:r>
          </w:p>
        </w:tc>
        <w:tc>
          <w:tcPr>
            <w:tcW w:w="2297" w:type="dxa"/>
            <w:gridSpan w:val="2"/>
            <w:tcBorders>
              <w:top w:val="single" w:color="000000" w:sz="4" w:space="0"/>
              <w:right w:val="single" w:color="000000" w:sz="4" w:space="0"/>
            </w:tcBorders>
            <w:vAlign w:val="top"/>
          </w:tcPr>
          <w:p w14:paraId="338147B1">
            <w:pPr>
              <w:pStyle w:val="18"/>
              <w:spacing w:before="139" w:line="219" w:lineRule="auto"/>
              <w:ind w:left="629"/>
              <w:rPr>
                <w:color w:val="auto"/>
                <w:highlight w:val="none"/>
              </w:rPr>
            </w:pPr>
            <w:r>
              <w:rPr>
                <w:color w:val="auto"/>
                <w:spacing w:val="-3"/>
                <w:highlight w:val="none"/>
              </w:rPr>
              <w:t>合价（元）</w:t>
            </w:r>
          </w:p>
        </w:tc>
      </w:tr>
      <w:tr w14:paraId="74C87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14:paraId="3FC281A0">
            <w:pPr>
              <w:rPr>
                <w:rFonts w:ascii="Arial"/>
                <w:color w:val="auto"/>
                <w:sz w:val="21"/>
                <w:highlight w:val="none"/>
              </w:rPr>
            </w:pPr>
          </w:p>
        </w:tc>
        <w:tc>
          <w:tcPr>
            <w:tcW w:w="1911" w:type="dxa"/>
            <w:vMerge w:val="continue"/>
            <w:tcBorders>
              <w:top w:val="nil"/>
              <w:right w:val="single" w:color="000000" w:sz="4" w:space="0"/>
            </w:tcBorders>
            <w:vAlign w:val="top"/>
          </w:tcPr>
          <w:p w14:paraId="3BCEF5D7">
            <w:pPr>
              <w:rPr>
                <w:rFonts w:ascii="Arial"/>
                <w:color w:val="auto"/>
                <w:sz w:val="21"/>
                <w:highlight w:val="none"/>
              </w:rPr>
            </w:pPr>
          </w:p>
        </w:tc>
        <w:tc>
          <w:tcPr>
            <w:tcW w:w="717" w:type="dxa"/>
            <w:vMerge w:val="continue"/>
            <w:tcBorders>
              <w:top w:val="nil"/>
              <w:left w:val="single" w:color="000000" w:sz="4" w:space="0"/>
            </w:tcBorders>
            <w:vAlign w:val="top"/>
          </w:tcPr>
          <w:p w14:paraId="169C0888">
            <w:pPr>
              <w:rPr>
                <w:rFonts w:ascii="Arial"/>
                <w:color w:val="auto"/>
                <w:sz w:val="21"/>
                <w:highlight w:val="none"/>
              </w:rPr>
            </w:pPr>
          </w:p>
        </w:tc>
        <w:tc>
          <w:tcPr>
            <w:tcW w:w="899" w:type="dxa"/>
            <w:vMerge w:val="continue"/>
            <w:tcBorders>
              <w:top w:val="nil"/>
              <w:right w:val="single" w:color="000000" w:sz="4" w:space="0"/>
            </w:tcBorders>
            <w:vAlign w:val="top"/>
          </w:tcPr>
          <w:p w14:paraId="36B77544">
            <w:pPr>
              <w:rPr>
                <w:rFonts w:ascii="Arial"/>
                <w:color w:val="auto"/>
                <w:sz w:val="21"/>
                <w:highlight w:val="none"/>
              </w:rPr>
            </w:pPr>
          </w:p>
        </w:tc>
        <w:tc>
          <w:tcPr>
            <w:tcW w:w="904" w:type="dxa"/>
            <w:vMerge w:val="continue"/>
            <w:tcBorders>
              <w:top w:val="nil"/>
              <w:left w:val="single" w:color="000000" w:sz="4" w:space="0"/>
            </w:tcBorders>
            <w:vAlign w:val="top"/>
          </w:tcPr>
          <w:p w14:paraId="6AD7AFB0">
            <w:pPr>
              <w:rPr>
                <w:rFonts w:ascii="Arial"/>
                <w:color w:val="auto"/>
                <w:sz w:val="21"/>
                <w:highlight w:val="none"/>
              </w:rPr>
            </w:pPr>
          </w:p>
        </w:tc>
        <w:tc>
          <w:tcPr>
            <w:tcW w:w="1218" w:type="dxa"/>
            <w:gridSpan w:val="2"/>
            <w:vMerge w:val="continue"/>
            <w:tcBorders>
              <w:top w:val="nil"/>
            </w:tcBorders>
            <w:vAlign w:val="top"/>
          </w:tcPr>
          <w:p w14:paraId="292720B7">
            <w:pPr>
              <w:rPr>
                <w:rFonts w:ascii="Arial"/>
                <w:color w:val="auto"/>
                <w:sz w:val="21"/>
                <w:highlight w:val="none"/>
              </w:rPr>
            </w:pPr>
          </w:p>
        </w:tc>
        <w:tc>
          <w:tcPr>
            <w:tcW w:w="1131" w:type="dxa"/>
            <w:vAlign w:val="top"/>
          </w:tcPr>
          <w:p w14:paraId="24B2EBA2">
            <w:pPr>
              <w:pStyle w:val="18"/>
              <w:spacing w:before="131" w:line="221" w:lineRule="auto"/>
              <w:ind w:left="370"/>
              <w:rPr>
                <w:color w:val="auto"/>
                <w:highlight w:val="none"/>
              </w:rPr>
            </w:pPr>
            <w:r>
              <w:rPr>
                <w:color w:val="auto"/>
                <w:spacing w:val="-4"/>
                <w:highlight w:val="none"/>
              </w:rPr>
              <w:t>暂定</w:t>
            </w:r>
          </w:p>
        </w:tc>
        <w:tc>
          <w:tcPr>
            <w:tcW w:w="1166" w:type="dxa"/>
            <w:tcBorders>
              <w:right w:val="single" w:color="000000" w:sz="4" w:space="0"/>
            </w:tcBorders>
            <w:vAlign w:val="top"/>
          </w:tcPr>
          <w:p w14:paraId="78A7CC65">
            <w:pPr>
              <w:pStyle w:val="18"/>
              <w:spacing w:before="131" w:line="221" w:lineRule="auto"/>
              <w:ind w:left="385"/>
              <w:rPr>
                <w:color w:val="auto"/>
                <w:highlight w:val="none"/>
              </w:rPr>
            </w:pPr>
            <w:r>
              <w:rPr>
                <w:color w:val="auto"/>
                <w:spacing w:val="-3"/>
                <w:highlight w:val="none"/>
              </w:rPr>
              <w:t>实际</w:t>
            </w:r>
          </w:p>
        </w:tc>
      </w:tr>
      <w:tr w14:paraId="49FE9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C2E63FB">
            <w:pPr>
              <w:spacing w:before="226" w:line="151" w:lineRule="exact"/>
              <w:ind w:left="294"/>
              <w:rPr>
                <w:rFonts w:ascii="黑体" w:hAnsi="黑体" w:eastAsia="黑体" w:cs="黑体"/>
                <w:color w:val="auto"/>
                <w:sz w:val="21"/>
                <w:szCs w:val="21"/>
                <w:highlight w:val="none"/>
              </w:rPr>
            </w:pPr>
            <w:r>
              <w:rPr>
                <w:rFonts w:ascii="黑体" w:hAnsi="黑体" w:eastAsia="黑体" w:cs="黑体"/>
                <w:color w:val="auto"/>
                <w:position w:val="-3"/>
                <w:sz w:val="21"/>
                <w:szCs w:val="21"/>
                <w:highlight w:val="none"/>
              </w:rPr>
              <w:t>一</w:t>
            </w:r>
          </w:p>
        </w:tc>
        <w:tc>
          <w:tcPr>
            <w:tcW w:w="1911" w:type="dxa"/>
            <w:tcBorders>
              <w:right w:val="single" w:color="000000" w:sz="4" w:space="0"/>
            </w:tcBorders>
            <w:vAlign w:val="top"/>
          </w:tcPr>
          <w:p w14:paraId="4A5882B3">
            <w:pPr>
              <w:pStyle w:val="18"/>
              <w:spacing w:before="135" w:line="223" w:lineRule="auto"/>
              <w:ind w:left="747"/>
              <w:rPr>
                <w:color w:val="auto"/>
                <w:highlight w:val="none"/>
              </w:rPr>
            </w:pPr>
            <w:r>
              <w:rPr>
                <w:color w:val="auto"/>
                <w:spacing w:val="-2"/>
                <w:highlight w:val="none"/>
              </w:rPr>
              <w:t>人工</w:t>
            </w:r>
          </w:p>
        </w:tc>
        <w:tc>
          <w:tcPr>
            <w:tcW w:w="717" w:type="dxa"/>
            <w:tcBorders>
              <w:left w:val="single" w:color="000000" w:sz="4" w:space="0"/>
            </w:tcBorders>
            <w:vAlign w:val="top"/>
          </w:tcPr>
          <w:p w14:paraId="04E953E1">
            <w:pPr>
              <w:rPr>
                <w:rFonts w:ascii="Arial"/>
                <w:color w:val="auto"/>
                <w:sz w:val="21"/>
                <w:highlight w:val="none"/>
              </w:rPr>
            </w:pPr>
          </w:p>
        </w:tc>
        <w:tc>
          <w:tcPr>
            <w:tcW w:w="899" w:type="dxa"/>
            <w:tcBorders>
              <w:right w:val="single" w:color="000000" w:sz="4" w:space="0"/>
            </w:tcBorders>
            <w:vAlign w:val="top"/>
          </w:tcPr>
          <w:p w14:paraId="2B94962D">
            <w:pPr>
              <w:rPr>
                <w:rFonts w:ascii="Arial"/>
                <w:color w:val="auto"/>
                <w:sz w:val="21"/>
                <w:highlight w:val="none"/>
              </w:rPr>
            </w:pPr>
          </w:p>
        </w:tc>
        <w:tc>
          <w:tcPr>
            <w:tcW w:w="904" w:type="dxa"/>
            <w:tcBorders>
              <w:left w:val="single" w:color="000000" w:sz="4" w:space="0"/>
            </w:tcBorders>
            <w:vAlign w:val="top"/>
          </w:tcPr>
          <w:p w14:paraId="2C89C9AA">
            <w:pPr>
              <w:rPr>
                <w:rFonts w:ascii="Arial"/>
                <w:color w:val="auto"/>
                <w:sz w:val="21"/>
                <w:highlight w:val="none"/>
              </w:rPr>
            </w:pPr>
          </w:p>
        </w:tc>
        <w:tc>
          <w:tcPr>
            <w:tcW w:w="1218" w:type="dxa"/>
            <w:gridSpan w:val="2"/>
            <w:vAlign w:val="top"/>
          </w:tcPr>
          <w:p w14:paraId="54C88D96">
            <w:pPr>
              <w:rPr>
                <w:rFonts w:ascii="Arial"/>
                <w:color w:val="auto"/>
                <w:sz w:val="21"/>
                <w:highlight w:val="none"/>
              </w:rPr>
            </w:pPr>
          </w:p>
        </w:tc>
        <w:tc>
          <w:tcPr>
            <w:tcW w:w="1131" w:type="dxa"/>
            <w:vAlign w:val="top"/>
          </w:tcPr>
          <w:p w14:paraId="18B64BA2">
            <w:pPr>
              <w:rPr>
                <w:rFonts w:ascii="Arial"/>
                <w:color w:val="auto"/>
                <w:sz w:val="21"/>
                <w:highlight w:val="none"/>
              </w:rPr>
            </w:pPr>
          </w:p>
        </w:tc>
        <w:tc>
          <w:tcPr>
            <w:tcW w:w="1166" w:type="dxa"/>
            <w:tcBorders>
              <w:right w:val="single" w:color="000000" w:sz="4" w:space="0"/>
            </w:tcBorders>
            <w:vAlign w:val="top"/>
          </w:tcPr>
          <w:p w14:paraId="2256474D">
            <w:pPr>
              <w:rPr>
                <w:rFonts w:ascii="Arial"/>
                <w:color w:val="auto"/>
                <w:sz w:val="21"/>
                <w:highlight w:val="none"/>
              </w:rPr>
            </w:pPr>
          </w:p>
        </w:tc>
      </w:tr>
      <w:tr w14:paraId="34738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14:paraId="78AD995D">
            <w:pPr>
              <w:spacing w:before="165"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553D7286">
            <w:pPr>
              <w:rPr>
                <w:rFonts w:ascii="Arial"/>
                <w:color w:val="auto"/>
                <w:sz w:val="21"/>
                <w:highlight w:val="none"/>
              </w:rPr>
            </w:pPr>
          </w:p>
        </w:tc>
        <w:tc>
          <w:tcPr>
            <w:tcW w:w="717" w:type="dxa"/>
            <w:tcBorders>
              <w:left w:val="single" w:color="000000" w:sz="4" w:space="0"/>
            </w:tcBorders>
            <w:vAlign w:val="top"/>
          </w:tcPr>
          <w:p w14:paraId="3C1216C6">
            <w:pPr>
              <w:rPr>
                <w:rFonts w:ascii="Arial"/>
                <w:color w:val="auto"/>
                <w:sz w:val="21"/>
                <w:highlight w:val="none"/>
              </w:rPr>
            </w:pPr>
          </w:p>
        </w:tc>
        <w:tc>
          <w:tcPr>
            <w:tcW w:w="899" w:type="dxa"/>
            <w:tcBorders>
              <w:right w:val="single" w:color="000000" w:sz="4" w:space="0"/>
            </w:tcBorders>
            <w:vAlign w:val="top"/>
          </w:tcPr>
          <w:p w14:paraId="6B8F4A14">
            <w:pPr>
              <w:rPr>
                <w:rFonts w:ascii="Arial"/>
                <w:color w:val="auto"/>
                <w:sz w:val="21"/>
                <w:highlight w:val="none"/>
              </w:rPr>
            </w:pPr>
          </w:p>
        </w:tc>
        <w:tc>
          <w:tcPr>
            <w:tcW w:w="904" w:type="dxa"/>
            <w:tcBorders>
              <w:left w:val="single" w:color="000000" w:sz="4" w:space="0"/>
            </w:tcBorders>
            <w:vAlign w:val="top"/>
          </w:tcPr>
          <w:p w14:paraId="500C629D">
            <w:pPr>
              <w:rPr>
                <w:rFonts w:ascii="Arial"/>
                <w:color w:val="auto"/>
                <w:sz w:val="21"/>
                <w:highlight w:val="none"/>
              </w:rPr>
            </w:pPr>
          </w:p>
        </w:tc>
        <w:tc>
          <w:tcPr>
            <w:tcW w:w="1218" w:type="dxa"/>
            <w:gridSpan w:val="2"/>
            <w:vAlign w:val="top"/>
          </w:tcPr>
          <w:p w14:paraId="5B0E9750">
            <w:pPr>
              <w:rPr>
                <w:rFonts w:ascii="Arial"/>
                <w:color w:val="auto"/>
                <w:sz w:val="21"/>
                <w:highlight w:val="none"/>
              </w:rPr>
            </w:pPr>
          </w:p>
        </w:tc>
        <w:tc>
          <w:tcPr>
            <w:tcW w:w="1131" w:type="dxa"/>
            <w:vAlign w:val="top"/>
          </w:tcPr>
          <w:p w14:paraId="171C2618">
            <w:pPr>
              <w:rPr>
                <w:rFonts w:ascii="Arial"/>
                <w:color w:val="auto"/>
                <w:sz w:val="21"/>
                <w:highlight w:val="none"/>
              </w:rPr>
            </w:pPr>
          </w:p>
        </w:tc>
        <w:tc>
          <w:tcPr>
            <w:tcW w:w="1166" w:type="dxa"/>
            <w:tcBorders>
              <w:right w:val="single" w:color="000000" w:sz="4" w:space="0"/>
            </w:tcBorders>
            <w:vAlign w:val="top"/>
          </w:tcPr>
          <w:p w14:paraId="3C57B590">
            <w:pPr>
              <w:rPr>
                <w:rFonts w:ascii="Arial"/>
                <w:color w:val="auto"/>
                <w:sz w:val="21"/>
                <w:highlight w:val="none"/>
              </w:rPr>
            </w:pPr>
          </w:p>
        </w:tc>
      </w:tr>
      <w:tr w14:paraId="6122D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14:paraId="7A9F3E46">
            <w:pPr>
              <w:spacing w:before="169"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4399C8A6">
            <w:pPr>
              <w:rPr>
                <w:rFonts w:ascii="Arial"/>
                <w:color w:val="auto"/>
                <w:sz w:val="21"/>
                <w:highlight w:val="none"/>
              </w:rPr>
            </w:pPr>
          </w:p>
        </w:tc>
        <w:tc>
          <w:tcPr>
            <w:tcW w:w="717" w:type="dxa"/>
            <w:tcBorders>
              <w:left w:val="single" w:color="000000" w:sz="4" w:space="0"/>
            </w:tcBorders>
            <w:vAlign w:val="top"/>
          </w:tcPr>
          <w:p w14:paraId="25046F0E">
            <w:pPr>
              <w:rPr>
                <w:rFonts w:ascii="Arial"/>
                <w:color w:val="auto"/>
                <w:sz w:val="21"/>
                <w:highlight w:val="none"/>
              </w:rPr>
            </w:pPr>
          </w:p>
        </w:tc>
        <w:tc>
          <w:tcPr>
            <w:tcW w:w="899" w:type="dxa"/>
            <w:tcBorders>
              <w:right w:val="single" w:color="000000" w:sz="4" w:space="0"/>
            </w:tcBorders>
            <w:vAlign w:val="top"/>
          </w:tcPr>
          <w:p w14:paraId="2750AFB7">
            <w:pPr>
              <w:rPr>
                <w:rFonts w:ascii="Arial"/>
                <w:color w:val="auto"/>
                <w:sz w:val="21"/>
                <w:highlight w:val="none"/>
              </w:rPr>
            </w:pPr>
          </w:p>
        </w:tc>
        <w:tc>
          <w:tcPr>
            <w:tcW w:w="904" w:type="dxa"/>
            <w:tcBorders>
              <w:left w:val="single" w:color="000000" w:sz="4" w:space="0"/>
            </w:tcBorders>
            <w:vAlign w:val="top"/>
          </w:tcPr>
          <w:p w14:paraId="08B57B00">
            <w:pPr>
              <w:rPr>
                <w:rFonts w:ascii="Arial"/>
                <w:color w:val="auto"/>
                <w:sz w:val="21"/>
                <w:highlight w:val="none"/>
              </w:rPr>
            </w:pPr>
          </w:p>
        </w:tc>
        <w:tc>
          <w:tcPr>
            <w:tcW w:w="1218" w:type="dxa"/>
            <w:gridSpan w:val="2"/>
            <w:vAlign w:val="top"/>
          </w:tcPr>
          <w:p w14:paraId="516ED4D0">
            <w:pPr>
              <w:rPr>
                <w:rFonts w:ascii="Arial"/>
                <w:color w:val="auto"/>
                <w:sz w:val="21"/>
                <w:highlight w:val="none"/>
              </w:rPr>
            </w:pPr>
          </w:p>
        </w:tc>
        <w:tc>
          <w:tcPr>
            <w:tcW w:w="1131" w:type="dxa"/>
            <w:vAlign w:val="top"/>
          </w:tcPr>
          <w:p w14:paraId="4BBDE8BE">
            <w:pPr>
              <w:rPr>
                <w:rFonts w:ascii="Arial"/>
                <w:color w:val="auto"/>
                <w:sz w:val="21"/>
                <w:highlight w:val="none"/>
              </w:rPr>
            </w:pPr>
          </w:p>
        </w:tc>
        <w:tc>
          <w:tcPr>
            <w:tcW w:w="1166" w:type="dxa"/>
            <w:tcBorders>
              <w:right w:val="single" w:color="000000" w:sz="4" w:space="0"/>
            </w:tcBorders>
            <w:vAlign w:val="top"/>
          </w:tcPr>
          <w:p w14:paraId="12ADC82B">
            <w:pPr>
              <w:rPr>
                <w:rFonts w:ascii="Arial"/>
                <w:color w:val="auto"/>
                <w:sz w:val="21"/>
                <w:highlight w:val="none"/>
              </w:rPr>
            </w:pPr>
          </w:p>
        </w:tc>
      </w:tr>
      <w:tr w14:paraId="4C14A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1D8C4D26">
            <w:pPr>
              <w:spacing w:before="168"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1C31E786">
            <w:pPr>
              <w:rPr>
                <w:rFonts w:ascii="Arial"/>
                <w:color w:val="auto"/>
                <w:sz w:val="21"/>
                <w:highlight w:val="none"/>
              </w:rPr>
            </w:pPr>
          </w:p>
        </w:tc>
        <w:tc>
          <w:tcPr>
            <w:tcW w:w="717" w:type="dxa"/>
            <w:tcBorders>
              <w:left w:val="single" w:color="000000" w:sz="4" w:space="0"/>
            </w:tcBorders>
            <w:vAlign w:val="top"/>
          </w:tcPr>
          <w:p w14:paraId="407B83FE">
            <w:pPr>
              <w:rPr>
                <w:rFonts w:ascii="Arial"/>
                <w:color w:val="auto"/>
                <w:sz w:val="21"/>
                <w:highlight w:val="none"/>
              </w:rPr>
            </w:pPr>
          </w:p>
        </w:tc>
        <w:tc>
          <w:tcPr>
            <w:tcW w:w="899" w:type="dxa"/>
            <w:tcBorders>
              <w:right w:val="single" w:color="000000" w:sz="4" w:space="0"/>
            </w:tcBorders>
            <w:vAlign w:val="top"/>
          </w:tcPr>
          <w:p w14:paraId="620C3BFB">
            <w:pPr>
              <w:rPr>
                <w:rFonts w:ascii="Arial"/>
                <w:color w:val="auto"/>
                <w:sz w:val="21"/>
                <w:highlight w:val="none"/>
              </w:rPr>
            </w:pPr>
          </w:p>
        </w:tc>
        <w:tc>
          <w:tcPr>
            <w:tcW w:w="904" w:type="dxa"/>
            <w:tcBorders>
              <w:left w:val="single" w:color="000000" w:sz="4" w:space="0"/>
            </w:tcBorders>
            <w:vAlign w:val="top"/>
          </w:tcPr>
          <w:p w14:paraId="2CBBCCAD">
            <w:pPr>
              <w:rPr>
                <w:rFonts w:ascii="Arial"/>
                <w:color w:val="auto"/>
                <w:sz w:val="21"/>
                <w:highlight w:val="none"/>
              </w:rPr>
            </w:pPr>
          </w:p>
        </w:tc>
        <w:tc>
          <w:tcPr>
            <w:tcW w:w="1218" w:type="dxa"/>
            <w:gridSpan w:val="2"/>
            <w:vAlign w:val="top"/>
          </w:tcPr>
          <w:p w14:paraId="1F2AF190">
            <w:pPr>
              <w:rPr>
                <w:rFonts w:ascii="Arial"/>
                <w:color w:val="auto"/>
                <w:sz w:val="21"/>
                <w:highlight w:val="none"/>
              </w:rPr>
            </w:pPr>
          </w:p>
        </w:tc>
        <w:tc>
          <w:tcPr>
            <w:tcW w:w="1131" w:type="dxa"/>
            <w:vAlign w:val="top"/>
          </w:tcPr>
          <w:p w14:paraId="2D3B88AE">
            <w:pPr>
              <w:rPr>
                <w:rFonts w:ascii="Arial"/>
                <w:color w:val="auto"/>
                <w:sz w:val="21"/>
                <w:highlight w:val="none"/>
              </w:rPr>
            </w:pPr>
          </w:p>
        </w:tc>
        <w:tc>
          <w:tcPr>
            <w:tcW w:w="1166" w:type="dxa"/>
            <w:tcBorders>
              <w:right w:val="single" w:color="000000" w:sz="4" w:space="0"/>
            </w:tcBorders>
            <w:vAlign w:val="top"/>
          </w:tcPr>
          <w:p w14:paraId="3FFC6165">
            <w:pPr>
              <w:rPr>
                <w:rFonts w:ascii="Arial"/>
                <w:color w:val="auto"/>
                <w:sz w:val="21"/>
                <w:highlight w:val="none"/>
              </w:rPr>
            </w:pPr>
          </w:p>
        </w:tc>
      </w:tr>
      <w:tr w14:paraId="287C0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14:paraId="7F98C8C7">
            <w:pPr>
              <w:pStyle w:val="18"/>
              <w:spacing w:before="139" w:line="222" w:lineRule="auto"/>
              <w:ind w:left="2804"/>
              <w:rPr>
                <w:color w:val="auto"/>
                <w:highlight w:val="none"/>
              </w:rPr>
            </w:pPr>
            <w:r>
              <w:rPr>
                <w:color w:val="auto"/>
                <w:spacing w:val="-1"/>
                <w:highlight w:val="none"/>
              </w:rPr>
              <w:t>人工小计</w:t>
            </w:r>
          </w:p>
        </w:tc>
        <w:tc>
          <w:tcPr>
            <w:tcW w:w="1151" w:type="dxa"/>
            <w:gridSpan w:val="2"/>
            <w:tcBorders>
              <w:left w:val="single" w:color="000000" w:sz="4" w:space="0"/>
              <w:right w:val="single" w:color="000000" w:sz="4" w:space="0"/>
            </w:tcBorders>
            <w:vAlign w:val="top"/>
          </w:tcPr>
          <w:p w14:paraId="6C3B056C">
            <w:pPr>
              <w:rPr>
                <w:rFonts w:ascii="Arial"/>
                <w:color w:val="auto"/>
                <w:sz w:val="21"/>
                <w:highlight w:val="none"/>
              </w:rPr>
            </w:pPr>
          </w:p>
        </w:tc>
        <w:tc>
          <w:tcPr>
            <w:tcW w:w="1166" w:type="dxa"/>
            <w:tcBorders>
              <w:left w:val="single" w:color="000000" w:sz="4" w:space="0"/>
              <w:right w:val="single" w:color="000000" w:sz="4" w:space="0"/>
            </w:tcBorders>
            <w:vAlign w:val="top"/>
          </w:tcPr>
          <w:p w14:paraId="32788D7B">
            <w:pPr>
              <w:rPr>
                <w:rFonts w:ascii="Arial"/>
                <w:color w:val="auto"/>
                <w:sz w:val="21"/>
                <w:highlight w:val="none"/>
              </w:rPr>
            </w:pPr>
          </w:p>
        </w:tc>
      </w:tr>
      <w:tr w14:paraId="3A80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0DC25C82">
            <w:pPr>
              <w:pStyle w:val="18"/>
              <w:spacing w:before="174" w:line="179" w:lineRule="auto"/>
              <w:ind w:left="294"/>
              <w:rPr>
                <w:color w:val="auto"/>
                <w:highlight w:val="none"/>
              </w:rPr>
            </w:pPr>
            <w:r>
              <w:rPr>
                <w:color w:val="auto"/>
                <w:highlight w:val="none"/>
              </w:rPr>
              <w:t>二</w:t>
            </w:r>
          </w:p>
        </w:tc>
        <w:tc>
          <w:tcPr>
            <w:tcW w:w="1911" w:type="dxa"/>
            <w:tcBorders>
              <w:right w:val="single" w:color="000000" w:sz="4" w:space="0"/>
            </w:tcBorders>
            <w:vAlign w:val="top"/>
          </w:tcPr>
          <w:p w14:paraId="3F256B31">
            <w:pPr>
              <w:pStyle w:val="18"/>
              <w:spacing w:before="135" w:line="220" w:lineRule="auto"/>
              <w:ind w:left="745"/>
              <w:rPr>
                <w:color w:val="auto"/>
                <w:highlight w:val="none"/>
              </w:rPr>
            </w:pPr>
            <w:r>
              <w:rPr>
                <w:color w:val="auto"/>
                <w:spacing w:val="-2"/>
                <w:highlight w:val="none"/>
              </w:rPr>
              <w:t>材料</w:t>
            </w:r>
          </w:p>
        </w:tc>
        <w:tc>
          <w:tcPr>
            <w:tcW w:w="717" w:type="dxa"/>
            <w:tcBorders>
              <w:left w:val="single" w:color="000000" w:sz="4" w:space="0"/>
            </w:tcBorders>
            <w:vAlign w:val="top"/>
          </w:tcPr>
          <w:p w14:paraId="37075142">
            <w:pPr>
              <w:rPr>
                <w:rFonts w:ascii="Arial"/>
                <w:color w:val="auto"/>
                <w:sz w:val="21"/>
                <w:highlight w:val="none"/>
              </w:rPr>
            </w:pPr>
          </w:p>
        </w:tc>
        <w:tc>
          <w:tcPr>
            <w:tcW w:w="899" w:type="dxa"/>
            <w:tcBorders>
              <w:right w:val="single" w:color="000000" w:sz="4" w:space="0"/>
            </w:tcBorders>
            <w:vAlign w:val="top"/>
          </w:tcPr>
          <w:p w14:paraId="08CA72EB">
            <w:pPr>
              <w:rPr>
                <w:rFonts w:ascii="Arial"/>
                <w:color w:val="auto"/>
                <w:sz w:val="21"/>
                <w:highlight w:val="none"/>
              </w:rPr>
            </w:pPr>
          </w:p>
        </w:tc>
        <w:tc>
          <w:tcPr>
            <w:tcW w:w="904" w:type="dxa"/>
            <w:tcBorders>
              <w:left w:val="single" w:color="000000" w:sz="4" w:space="0"/>
            </w:tcBorders>
            <w:vAlign w:val="top"/>
          </w:tcPr>
          <w:p w14:paraId="67BD3402">
            <w:pPr>
              <w:rPr>
                <w:rFonts w:ascii="Arial"/>
                <w:color w:val="auto"/>
                <w:sz w:val="21"/>
                <w:highlight w:val="none"/>
              </w:rPr>
            </w:pPr>
          </w:p>
        </w:tc>
        <w:tc>
          <w:tcPr>
            <w:tcW w:w="1218" w:type="dxa"/>
            <w:gridSpan w:val="2"/>
            <w:vAlign w:val="top"/>
          </w:tcPr>
          <w:p w14:paraId="60581DCF">
            <w:pPr>
              <w:rPr>
                <w:rFonts w:ascii="Arial"/>
                <w:color w:val="auto"/>
                <w:sz w:val="21"/>
                <w:highlight w:val="none"/>
              </w:rPr>
            </w:pPr>
          </w:p>
        </w:tc>
        <w:tc>
          <w:tcPr>
            <w:tcW w:w="1131" w:type="dxa"/>
            <w:vAlign w:val="top"/>
          </w:tcPr>
          <w:p w14:paraId="32610AE7">
            <w:pPr>
              <w:rPr>
                <w:rFonts w:ascii="Arial"/>
                <w:color w:val="auto"/>
                <w:sz w:val="21"/>
                <w:highlight w:val="none"/>
              </w:rPr>
            </w:pPr>
          </w:p>
        </w:tc>
        <w:tc>
          <w:tcPr>
            <w:tcW w:w="1166" w:type="dxa"/>
            <w:tcBorders>
              <w:right w:val="single" w:color="000000" w:sz="4" w:space="0"/>
            </w:tcBorders>
            <w:vAlign w:val="top"/>
          </w:tcPr>
          <w:p w14:paraId="162E7378">
            <w:pPr>
              <w:rPr>
                <w:rFonts w:ascii="Arial"/>
                <w:color w:val="auto"/>
                <w:sz w:val="21"/>
                <w:highlight w:val="none"/>
              </w:rPr>
            </w:pPr>
          </w:p>
        </w:tc>
      </w:tr>
      <w:tr w14:paraId="7511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270B67C">
            <w:pPr>
              <w:spacing w:before="174"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7EDFE783">
            <w:pPr>
              <w:rPr>
                <w:rFonts w:ascii="Arial"/>
                <w:color w:val="auto"/>
                <w:sz w:val="21"/>
                <w:highlight w:val="none"/>
              </w:rPr>
            </w:pPr>
          </w:p>
        </w:tc>
        <w:tc>
          <w:tcPr>
            <w:tcW w:w="717" w:type="dxa"/>
            <w:tcBorders>
              <w:left w:val="single" w:color="000000" w:sz="4" w:space="0"/>
            </w:tcBorders>
            <w:vAlign w:val="top"/>
          </w:tcPr>
          <w:p w14:paraId="0A03C829">
            <w:pPr>
              <w:rPr>
                <w:rFonts w:ascii="Arial"/>
                <w:color w:val="auto"/>
                <w:sz w:val="21"/>
                <w:highlight w:val="none"/>
              </w:rPr>
            </w:pPr>
          </w:p>
        </w:tc>
        <w:tc>
          <w:tcPr>
            <w:tcW w:w="899" w:type="dxa"/>
            <w:tcBorders>
              <w:right w:val="single" w:color="000000" w:sz="4" w:space="0"/>
            </w:tcBorders>
            <w:vAlign w:val="top"/>
          </w:tcPr>
          <w:p w14:paraId="08844755">
            <w:pPr>
              <w:rPr>
                <w:rFonts w:ascii="Arial"/>
                <w:color w:val="auto"/>
                <w:sz w:val="21"/>
                <w:highlight w:val="none"/>
              </w:rPr>
            </w:pPr>
          </w:p>
        </w:tc>
        <w:tc>
          <w:tcPr>
            <w:tcW w:w="904" w:type="dxa"/>
            <w:tcBorders>
              <w:left w:val="single" w:color="000000" w:sz="4" w:space="0"/>
            </w:tcBorders>
            <w:vAlign w:val="top"/>
          </w:tcPr>
          <w:p w14:paraId="0A53511D">
            <w:pPr>
              <w:rPr>
                <w:rFonts w:ascii="Arial"/>
                <w:color w:val="auto"/>
                <w:sz w:val="21"/>
                <w:highlight w:val="none"/>
              </w:rPr>
            </w:pPr>
          </w:p>
        </w:tc>
        <w:tc>
          <w:tcPr>
            <w:tcW w:w="1218" w:type="dxa"/>
            <w:gridSpan w:val="2"/>
            <w:vAlign w:val="top"/>
          </w:tcPr>
          <w:p w14:paraId="4977962C">
            <w:pPr>
              <w:rPr>
                <w:rFonts w:ascii="Arial"/>
                <w:color w:val="auto"/>
                <w:sz w:val="21"/>
                <w:highlight w:val="none"/>
              </w:rPr>
            </w:pPr>
          </w:p>
        </w:tc>
        <w:tc>
          <w:tcPr>
            <w:tcW w:w="1131" w:type="dxa"/>
            <w:vAlign w:val="top"/>
          </w:tcPr>
          <w:p w14:paraId="2F9B208C">
            <w:pPr>
              <w:rPr>
                <w:rFonts w:ascii="Arial"/>
                <w:color w:val="auto"/>
                <w:sz w:val="21"/>
                <w:highlight w:val="none"/>
              </w:rPr>
            </w:pPr>
          </w:p>
        </w:tc>
        <w:tc>
          <w:tcPr>
            <w:tcW w:w="1166" w:type="dxa"/>
            <w:tcBorders>
              <w:right w:val="single" w:color="000000" w:sz="4" w:space="0"/>
            </w:tcBorders>
            <w:vAlign w:val="top"/>
          </w:tcPr>
          <w:p w14:paraId="492CFAD6">
            <w:pPr>
              <w:rPr>
                <w:rFonts w:ascii="Arial"/>
                <w:color w:val="auto"/>
                <w:sz w:val="21"/>
                <w:highlight w:val="none"/>
              </w:rPr>
            </w:pPr>
          </w:p>
        </w:tc>
      </w:tr>
      <w:tr w14:paraId="1760B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6C3E545D">
            <w:pPr>
              <w:spacing w:before="169"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71B9C117">
            <w:pPr>
              <w:rPr>
                <w:rFonts w:ascii="Arial"/>
                <w:color w:val="auto"/>
                <w:sz w:val="21"/>
                <w:highlight w:val="none"/>
              </w:rPr>
            </w:pPr>
          </w:p>
        </w:tc>
        <w:tc>
          <w:tcPr>
            <w:tcW w:w="717" w:type="dxa"/>
            <w:tcBorders>
              <w:left w:val="single" w:color="000000" w:sz="4" w:space="0"/>
            </w:tcBorders>
            <w:vAlign w:val="top"/>
          </w:tcPr>
          <w:p w14:paraId="7DBBEC4A">
            <w:pPr>
              <w:rPr>
                <w:rFonts w:ascii="Arial"/>
                <w:color w:val="auto"/>
                <w:sz w:val="21"/>
                <w:highlight w:val="none"/>
              </w:rPr>
            </w:pPr>
          </w:p>
        </w:tc>
        <w:tc>
          <w:tcPr>
            <w:tcW w:w="899" w:type="dxa"/>
            <w:tcBorders>
              <w:right w:val="single" w:color="000000" w:sz="4" w:space="0"/>
            </w:tcBorders>
            <w:vAlign w:val="top"/>
          </w:tcPr>
          <w:p w14:paraId="267EFF42">
            <w:pPr>
              <w:rPr>
                <w:rFonts w:ascii="Arial"/>
                <w:color w:val="auto"/>
                <w:sz w:val="21"/>
                <w:highlight w:val="none"/>
              </w:rPr>
            </w:pPr>
          </w:p>
        </w:tc>
        <w:tc>
          <w:tcPr>
            <w:tcW w:w="904" w:type="dxa"/>
            <w:tcBorders>
              <w:left w:val="single" w:color="000000" w:sz="4" w:space="0"/>
            </w:tcBorders>
            <w:vAlign w:val="top"/>
          </w:tcPr>
          <w:p w14:paraId="31E8FD0D">
            <w:pPr>
              <w:rPr>
                <w:rFonts w:ascii="Arial"/>
                <w:color w:val="auto"/>
                <w:sz w:val="21"/>
                <w:highlight w:val="none"/>
              </w:rPr>
            </w:pPr>
          </w:p>
        </w:tc>
        <w:tc>
          <w:tcPr>
            <w:tcW w:w="1218" w:type="dxa"/>
            <w:gridSpan w:val="2"/>
            <w:vAlign w:val="top"/>
          </w:tcPr>
          <w:p w14:paraId="74A7C50E">
            <w:pPr>
              <w:rPr>
                <w:rFonts w:ascii="Arial"/>
                <w:color w:val="auto"/>
                <w:sz w:val="21"/>
                <w:highlight w:val="none"/>
              </w:rPr>
            </w:pPr>
          </w:p>
        </w:tc>
        <w:tc>
          <w:tcPr>
            <w:tcW w:w="1131" w:type="dxa"/>
            <w:vAlign w:val="top"/>
          </w:tcPr>
          <w:p w14:paraId="2F5E7860">
            <w:pPr>
              <w:rPr>
                <w:rFonts w:ascii="Arial"/>
                <w:color w:val="auto"/>
                <w:sz w:val="21"/>
                <w:highlight w:val="none"/>
              </w:rPr>
            </w:pPr>
          </w:p>
        </w:tc>
        <w:tc>
          <w:tcPr>
            <w:tcW w:w="1166" w:type="dxa"/>
            <w:tcBorders>
              <w:right w:val="single" w:color="000000" w:sz="4" w:space="0"/>
            </w:tcBorders>
            <w:vAlign w:val="top"/>
          </w:tcPr>
          <w:p w14:paraId="0B19E80E">
            <w:pPr>
              <w:rPr>
                <w:rFonts w:ascii="Arial"/>
                <w:color w:val="auto"/>
                <w:sz w:val="21"/>
                <w:highlight w:val="none"/>
              </w:rPr>
            </w:pPr>
          </w:p>
        </w:tc>
      </w:tr>
      <w:tr w14:paraId="5DF19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FD0441A">
            <w:pPr>
              <w:spacing w:before="175"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3D169665">
            <w:pPr>
              <w:rPr>
                <w:rFonts w:ascii="Arial"/>
                <w:color w:val="auto"/>
                <w:sz w:val="21"/>
                <w:highlight w:val="none"/>
              </w:rPr>
            </w:pPr>
          </w:p>
        </w:tc>
        <w:tc>
          <w:tcPr>
            <w:tcW w:w="717" w:type="dxa"/>
            <w:tcBorders>
              <w:left w:val="single" w:color="000000" w:sz="4" w:space="0"/>
            </w:tcBorders>
            <w:vAlign w:val="top"/>
          </w:tcPr>
          <w:p w14:paraId="3289E9E1">
            <w:pPr>
              <w:rPr>
                <w:rFonts w:ascii="Arial"/>
                <w:color w:val="auto"/>
                <w:sz w:val="21"/>
                <w:highlight w:val="none"/>
              </w:rPr>
            </w:pPr>
          </w:p>
        </w:tc>
        <w:tc>
          <w:tcPr>
            <w:tcW w:w="899" w:type="dxa"/>
            <w:tcBorders>
              <w:right w:val="single" w:color="000000" w:sz="4" w:space="0"/>
            </w:tcBorders>
            <w:vAlign w:val="top"/>
          </w:tcPr>
          <w:p w14:paraId="34B17FA5">
            <w:pPr>
              <w:rPr>
                <w:rFonts w:ascii="Arial"/>
                <w:color w:val="auto"/>
                <w:sz w:val="21"/>
                <w:highlight w:val="none"/>
              </w:rPr>
            </w:pPr>
          </w:p>
        </w:tc>
        <w:tc>
          <w:tcPr>
            <w:tcW w:w="904" w:type="dxa"/>
            <w:tcBorders>
              <w:left w:val="single" w:color="000000" w:sz="4" w:space="0"/>
            </w:tcBorders>
            <w:vAlign w:val="top"/>
          </w:tcPr>
          <w:p w14:paraId="56A1D690">
            <w:pPr>
              <w:rPr>
                <w:rFonts w:ascii="Arial"/>
                <w:color w:val="auto"/>
                <w:sz w:val="21"/>
                <w:highlight w:val="none"/>
              </w:rPr>
            </w:pPr>
          </w:p>
        </w:tc>
        <w:tc>
          <w:tcPr>
            <w:tcW w:w="1218" w:type="dxa"/>
            <w:gridSpan w:val="2"/>
            <w:vAlign w:val="top"/>
          </w:tcPr>
          <w:p w14:paraId="1F0C2C0B">
            <w:pPr>
              <w:rPr>
                <w:rFonts w:ascii="Arial"/>
                <w:color w:val="auto"/>
                <w:sz w:val="21"/>
                <w:highlight w:val="none"/>
              </w:rPr>
            </w:pPr>
          </w:p>
        </w:tc>
        <w:tc>
          <w:tcPr>
            <w:tcW w:w="1131" w:type="dxa"/>
            <w:vAlign w:val="top"/>
          </w:tcPr>
          <w:p w14:paraId="707B23FB">
            <w:pPr>
              <w:rPr>
                <w:rFonts w:ascii="Arial"/>
                <w:color w:val="auto"/>
                <w:sz w:val="21"/>
                <w:highlight w:val="none"/>
              </w:rPr>
            </w:pPr>
          </w:p>
        </w:tc>
        <w:tc>
          <w:tcPr>
            <w:tcW w:w="1166" w:type="dxa"/>
            <w:tcBorders>
              <w:right w:val="single" w:color="000000" w:sz="4" w:space="0"/>
            </w:tcBorders>
            <w:vAlign w:val="top"/>
          </w:tcPr>
          <w:p w14:paraId="122F9EDB">
            <w:pPr>
              <w:rPr>
                <w:rFonts w:ascii="Arial"/>
                <w:color w:val="auto"/>
                <w:sz w:val="21"/>
                <w:highlight w:val="none"/>
              </w:rPr>
            </w:pPr>
          </w:p>
        </w:tc>
      </w:tr>
      <w:tr w14:paraId="523D3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14:paraId="69DDE9B8">
            <w:pPr>
              <w:pStyle w:val="18"/>
              <w:spacing w:before="137" w:line="220" w:lineRule="auto"/>
              <w:ind w:left="2802"/>
              <w:rPr>
                <w:color w:val="auto"/>
                <w:highlight w:val="none"/>
              </w:rPr>
            </w:pPr>
            <w:r>
              <w:rPr>
                <w:color w:val="auto"/>
                <w:spacing w:val="-1"/>
                <w:highlight w:val="none"/>
              </w:rPr>
              <w:t>材料小计</w:t>
            </w:r>
          </w:p>
        </w:tc>
        <w:tc>
          <w:tcPr>
            <w:tcW w:w="1151" w:type="dxa"/>
            <w:gridSpan w:val="2"/>
            <w:tcBorders>
              <w:left w:val="single" w:color="000000" w:sz="4" w:space="0"/>
              <w:right w:val="single" w:color="000000" w:sz="4" w:space="0"/>
            </w:tcBorders>
            <w:vAlign w:val="top"/>
          </w:tcPr>
          <w:p w14:paraId="1F33100D">
            <w:pPr>
              <w:rPr>
                <w:rFonts w:ascii="Arial"/>
                <w:color w:val="auto"/>
                <w:sz w:val="21"/>
                <w:highlight w:val="none"/>
              </w:rPr>
            </w:pPr>
          </w:p>
        </w:tc>
        <w:tc>
          <w:tcPr>
            <w:tcW w:w="1166" w:type="dxa"/>
            <w:tcBorders>
              <w:left w:val="single" w:color="000000" w:sz="4" w:space="0"/>
              <w:right w:val="single" w:color="000000" w:sz="4" w:space="0"/>
            </w:tcBorders>
            <w:vAlign w:val="top"/>
          </w:tcPr>
          <w:p w14:paraId="3782BF2A">
            <w:pPr>
              <w:rPr>
                <w:rFonts w:ascii="Arial"/>
                <w:color w:val="auto"/>
                <w:sz w:val="21"/>
                <w:highlight w:val="none"/>
              </w:rPr>
            </w:pPr>
          </w:p>
        </w:tc>
      </w:tr>
      <w:tr w14:paraId="1F4C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4D96068">
            <w:pPr>
              <w:pStyle w:val="18"/>
              <w:spacing w:before="143" w:line="238" w:lineRule="auto"/>
              <w:ind w:left="291"/>
              <w:rPr>
                <w:color w:val="auto"/>
                <w:highlight w:val="none"/>
              </w:rPr>
            </w:pPr>
            <w:r>
              <w:rPr>
                <w:color w:val="auto"/>
                <w:highlight w:val="none"/>
              </w:rPr>
              <w:t>三</w:t>
            </w:r>
          </w:p>
        </w:tc>
        <w:tc>
          <w:tcPr>
            <w:tcW w:w="1911" w:type="dxa"/>
            <w:tcBorders>
              <w:right w:val="single" w:color="000000" w:sz="4" w:space="0"/>
            </w:tcBorders>
            <w:vAlign w:val="top"/>
          </w:tcPr>
          <w:p w14:paraId="5A0F1C53">
            <w:pPr>
              <w:pStyle w:val="18"/>
              <w:spacing w:before="143" w:line="220" w:lineRule="auto"/>
              <w:ind w:left="533"/>
              <w:rPr>
                <w:color w:val="auto"/>
                <w:highlight w:val="none"/>
              </w:rPr>
            </w:pPr>
            <w:r>
              <w:rPr>
                <w:color w:val="auto"/>
                <w:spacing w:val="-1"/>
                <w:highlight w:val="none"/>
              </w:rPr>
              <w:t>施工机械</w:t>
            </w:r>
          </w:p>
        </w:tc>
        <w:tc>
          <w:tcPr>
            <w:tcW w:w="717" w:type="dxa"/>
            <w:tcBorders>
              <w:left w:val="single" w:color="000000" w:sz="4" w:space="0"/>
            </w:tcBorders>
            <w:vAlign w:val="top"/>
          </w:tcPr>
          <w:p w14:paraId="1C61E35D">
            <w:pPr>
              <w:rPr>
                <w:rFonts w:ascii="Arial"/>
                <w:color w:val="auto"/>
                <w:sz w:val="21"/>
                <w:highlight w:val="none"/>
              </w:rPr>
            </w:pPr>
          </w:p>
        </w:tc>
        <w:tc>
          <w:tcPr>
            <w:tcW w:w="899" w:type="dxa"/>
            <w:tcBorders>
              <w:right w:val="single" w:color="000000" w:sz="4" w:space="0"/>
            </w:tcBorders>
            <w:vAlign w:val="top"/>
          </w:tcPr>
          <w:p w14:paraId="7D2D386A">
            <w:pPr>
              <w:rPr>
                <w:rFonts w:ascii="Arial"/>
                <w:color w:val="auto"/>
                <w:sz w:val="21"/>
                <w:highlight w:val="none"/>
              </w:rPr>
            </w:pPr>
          </w:p>
        </w:tc>
        <w:tc>
          <w:tcPr>
            <w:tcW w:w="904" w:type="dxa"/>
            <w:tcBorders>
              <w:left w:val="single" w:color="000000" w:sz="4" w:space="0"/>
            </w:tcBorders>
            <w:vAlign w:val="top"/>
          </w:tcPr>
          <w:p w14:paraId="55B76676">
            <w:pPr>
              <w:rPr>
                <w:rFonts w:ascii="Arial"/>
                <w:color w:val="auto"/>
                <w:sz w:val="21"/>
                <w:highlight w:val="none"/>
              </w:rPr>
            </w:pPr>
          </w:p>
        </w:tc>
        <w:tc>
          <w:tcPr>
            <w:tcW w:w="1218" w:type="dxa"/>
            <w:gridSpan w:val="2"/>
            <w:vAlign w:val="top"/>
          </w:tcPr>
          <w:p w14:paraId="3B2A87D7">
            <w:pPr>
              <w:rPr>
                <w:rFonts w:ascii="Arial"/>
                <w:color w:val="auto"/>
                <w:sz w:val="21"/>
                <w:highlight w:val="none"/>
              </w:rPr>
            </w:pPr>
          </w:p>
        </w:tc>
        <w:tc>
          <w:tcPr>
            <w:tcW w:w="1131" w:type="dxa"/>
            <w:vAlign w:val="top"/>
          </w:tcPr>
          <w:p w14:paraId="6C50FF25">
            <w:pPr>
              <w:rPr>
                <w:rFonts w:ascii="Arial"/>
                <w:color w:val="auto"/>
                <w:sz w:val="21"/>
                <w:highlight w:val="none"/>
              </w:rPr>
            </w:pPr>
          </w:p>
        </w:tc>
        <w:tc>
          <w:tcPr>
            <w:tcW w:w="1166" w:type="dxa"/>
            <w:tcBorders>
              <w:right w:val="single" w:color="000000" w:sz="4" w:space="0"/>
            </w:tcBorders>
            <w:vAlign w:val="top"/>
          </w:tcPr>
          <w:p w14:paraId="7CFE0ACD">
            <w:pPr>
              <w:rPr>
                <w:rFonts w:ascii="Arial"/>
                <w:color w:val="auto"/>
                <w:sz w:val="21"/>
                <w:highlight w:val="none"/>
              </w:rPr>
            </w:pPr>
          </w:p>
        </w:tc>
      </w:tr>
      <w:tr w14:paraId="24C89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4EEF56E8">
            <w:pPr>
              <w:spacing w:before="173"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6F7E6328">
            <w:pPr>
              <w:rPr>
                <w:rFonts w:ascii="Arial"/>
                <w:color w:val="auto"/>
                <w:sz w:val="21"/>
                <w:highlight w:val="none"/>
              </w:rPr>
            </w:pPr>
          </w:p>
        </w:tc>
        <w:tc>
          <w:tcPr>
            <w:tcW w:w="717" w:type="dxa"/>
            <w:tcBorders>
              <w:left w:val="single" w:color="000000" w:sz="4" w:space="0"/>
            </w:tcBorders>
            <w:vAlign w:val="top"/>
          </w:tcPr>
          <w:p w14:paraId="502308D5">
            <w:pPr>
              <w:rPr>
                <w:rFonts w:ascii="Arial"/>
                <w:color w:val="auto"/>
                <w:sz w:val="21"/>
                <w:highlight w:val="none"/>
              </w:rPr>
            </w:pPr>
          </w:p>
        </w:tc>
        <w:tc>
          <w:tcPr>
            <w:tcW w:w="899" w:type="dxa"/>
            <w:tcBorders>
              <w:right w:val="single" w:color="000000" w:sz="4" w:space="0"/>
            </w:tcBorders>
            <w:vAlign w:val="top"/>
          </w:tcPr>
          <w:p w14:paraId="47C9AA69">
            <w:pPr>
              <w:rPr>
                <w:rFonts w:ascii="Arial"/>
                <w:color w:val="auto"/>
                <w:sz w:val="21"/>
                <w:highlight w:val="none"/>
              </w:rPr>
            </w:pPr>
          </w:p>
        </w:tc>
        <w:tc>
          <w:tcPr>
            <w:tcW w:w="904" w:type="dxa"/>
            <w:tcBorders>
              <w:left w:val="single" w:color="000000" w:sz="4" w:space="0"/>
            </w:tcBorders>
            <w:vAlign w:val="top"/>
          </w:tcPr>
          <w:p w14:paraId="36D12D65">
            <w:pPr>
              <w:rPr>
                <w:rFonts w:ascii="Arial"/>
                <w:color w:val="auto"/>
                <w:sz w:val="21"/>
                <w:highlight w:val="none"/>
              </w:rPr>
            </w:pPr>
          </w:p>
        </w:tc>
        <w:tc>
          <w:tcPr>
            <w:tcW w:w="1218" w:type="dxa"/>
            <w:gridSpan w:val="2"/>
            <w:vAlign w:val="top"/>
          </w:tcPr>
          <w:p w14:paraId="423BDA46">
            <w:pPr>
              <w:rPr>
                <w:rFonts w:ascii="Arial"/>
                <w:color w:val="auto"/>
                <w:sz w:val="21"/>
                <w:highlight w:val="none"/>
              </w:rPr>
            </w:pPr>
          </w:p>
        </w:tc>
        <w:tc>
          <w:tcPr>
            <w:tcW w:w="1131" w:type="dxa"/>
            <w:vAlign w:val="top"/>
          </w:tcPr>
          <w:p w14:paraId="0BE74779">
            <w:pPr>
              <w:rPr>
                <w:rFonts w:ascii="Arial"/>
                <w:color w:val="auto"/>
                <w:sz w:val="21"/>
                <w:highlight w:val="none"/>
              </w:rPr>
            </w:pPr>
          </w:p>
        </w:tc>
        <w:tc>
          <w:tcPr>
            <w:tcW w:w="1166" w:type="dxa"/>
            <w:tcBorders>
              <w:right w:val="single" w:color="000000" w:sz="4" w:space="0"/>
            </w:tcBorders>
            <w:vAlign w:val="top"/>
          </w:tcPr>
          <w:p w14:paraId="5C813FAC">
            <w:pPr>
              <w:rPr>
                <w:rFonts w:ascii="Arial"/>
                <w:color w:val="auto"/>
                <w:sz w:val="21"/>
                <w:highlight w:val="none"/>
              </w:rPr>
            </w:pPr>
          </w:p>
        </w:tc>
      </w:tr>
      <w:tr w14:paraId="7C243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43631178">
            <w:pPr>
              <w:spacing w:before="177"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3FA354BF">
            <w:pPr>
              <w:rPr>
                <w:rFonts w:ascii="Arial"/>
                <w:color w:val="auto"/>
                <w:sz w:val="21"/>
                <w:highlight w:val="none"/>
              </w:rPr>
            </w:pPr>
          </w:p>
        </w:tc>
        <w:tc>
          <w:tcPr>
            <w:tcW w:w="717" w:type="dxa"/>
            <w:tcBorders>
              <w:left w:val="single" w:color="000000" w:sz="4" w:space="0"/>
            </w:tcBorders>
            <w:vAlign w:val="top"/>
          </w:tcPr>
          <w:p w14:paraId="62B18060">
            <w:pPr>
              <w:rPr>
                <w:rFonts w:ascii="Arial"/>
                <w:color w:val="auto"/>
                <w:sz w:val="21"/>
                <w:highlight w:val="none"/>
              </w:rPr>
            </w:pPr>
          </w:p>
        </w:tc>
        <w:tc>
          <w:tcPr>
            <w:tcW w:w="899" w:type="dxa"/>
            <w:tcBorders>
              <w:right w:val="single" w:color="000000" w:sz="4" w:space="0"/>
            </w:tcBorders>
            <w:vAlign w:val="top"/>
          </w:tcPr>
          <w:p w14:paraId="5318962F">
            <w:pPr>
              <w:rPr>
                <w:rFonts w:ascii="Arial"/>
                <w:color w:val="auto"/>
                <w:sz w:val="21"/>
                <w:highlight w:val="none"/>
              </w:rPr>
            </w:pPr>
          </w:p>
        </w:tc>
        <w:tc>
          <w:tcPr>
            <w:tcW w:w="904" w:type="dxa"/>
            <w:tcBorders>
              <w:left w:val="single" w:color="000000" w:sz="4" w:space="0"/>
            </w:tcBorders>
            <w:vAlign w:val="top"/>
          </w:tcPr>
          <w:p w14:paraId="553F08CE">
            <w:pPr>
              <w:rPr>
                <w:rFonts w:ascii="Arial"/>
                <w:color w:val="auto"/>
                <w:sz w:val="21"/>
                <w:highlight w:val="none"/>
              </w:rPr>
            </w:pPr>
          </w:p>
        </w:tc>
        <w:tc>
          <w:tcPr>
            <w:tcW w:w="1218" w:type="dxa"/>
            <w:gridSpan w:val="2"/>
            <w:vAlign w:val="top"/>
          </w:tcPr>
          <w:p w14:paraId="7A41FBB6">
            <w:pPr>
              <w:rPr>
                <w:rFonts w:ascii="Arial"/>
                <w:color w:val="auto"/>
                <w:sz w:val="21"/>
                <w:highlight w:val="none"/>
              </w:rPr>
            </w:pPr>
          </w:p>
        </w:tc>
        <w:tc>
          <w:tcPr>
            <w:tcW w:w="1131" w:type="dxa"/>
            <w:vAlign w:val="top"/>
          </w:tcPr>
          <w:p w14:paraId="2050A795">
            <w:pPr>
              <w:rPr>
                <w:rFonts w:ascii="Arial"/>
                <w:color w:val="auto"/>
                <w:sz w:val="21"/>
                <w:highlight w:val="none"/>
              </w:rPr>
            </w:pPr>
          </w:p>
        </w:tc>
        <w:tc>
          <w:tcPr>
            <w:tcW w:w="1166" w:type="dxa"/>
            <w:tcBorders>
              <w:right w:val="single" w:color="000000" w:sz="4" w:space="0"/>
            </w:tcBorders>
            <w:vAlign w:val="top"/>
          </w:tcPr>
          <w:p w14:paraId="31D27B4B">
            <w:pPr>
              <w:rPr>
                <w:rFonts w:ascii="Arial"/>
                <w:color w:val="auto"/>
                <w:sz w:val="21"/>
                <w:highlight w:val="none"/>
              </w:rPr>
            </w:pPr>
          </w:p>
        </w:tc>
      </w:tr>
      <w:tr w14:paraId="0888F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032AA5AA">
            <w:pPr>
              <w:spacing w:before="173"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31DF57BE">
            <w:pPr>
              <w:rPr>
                <w:rFonts w:ascii="Arial"/>
                <w:color w:val="auto"/>
                <w:sz w:val="21"/>
                <w:highlight w:val="none"/>
              </w:rPr>
            </w:pPr>
          </w:p>
        </w:tc>
        <w:tc>
          <w:tcPr>
            <w:tcW w:w="717" w:type="dxa"/>
            <w:tcBorders>
              <w:left w:val="single" w:color="000000" w:sz="4" w:space="0"/>
            </w:tcBorders>
            <w:vAlign w:val="top"/>
          </w:tcPr>
          <w:p w14:paraId="1C1FE0E7">
            <w:pPr>
              <w:rPr>
                <w:rFonts w:ascii="Arial"/>
                <w:color w:val="auto"/>
                <w:sz w:val="21"/>
                <w:highlight w:val="none"/>
              </w:rPr>
            </w:pPr>
          </w:p>
        </w:tc>
        <w:tc>
          <w:tcPr>
            <w:tcW w:w="899" w:type="dxa"/>
            <w:tcBorders>
              <w:right w:val="single" w:color="000000" w:sz="4" w:space="0"/>
            </w:tcBorders>
            <w:vAlign w:val="top"/>
          </w:tcPr>
          <w:p w14:paraId="4C965CFF">
            <w:pPr>
              <w:rPr>
                <w:rFonts w:ascii="Arial"/>
                <w:color w:val="auto"/>
                <w:sz w:val="21"/>
                <w:highlight w:val="none"/>
              </w:rPr>
            </w:pPr>
          </w:p>
        </w:tc>
        <w:tc>
          <w:tcPr>
            <w:tcW w:w="904" w:type="dxa"/>
            <w:tcBorders>
              <w:left w:val="single" w:color="000000" w:sz="4" w:space="0"/>
            </w:tcBorders>
            <w:vAlign w:val="top"/>
          </w:tcPr>
          <w:p w14:paraId="3FCB68CC">
            <w:pPr>
              <w:rPr>
                <w:rFonts w:ascii="Arial"/>
                <w:color w:val="auto"/>
                <w:sz w:val="21"/>
                <w:highlight w:val="none"/>
              </w:rPr>
            </w:pPr>
          </w:p>
        </w:tc>
        <w:tc>
          <w:tcPr>
            <w:tcW w:w="1218" w:type="dxa"/>
            <w:gridSpan w:val="2"/>
            <w:vAlign w:val="top"/>
          </w:tcPr>
          <w:p w14:paraId="7737457D">
            <w:pPr>
              <w:rPr>
                <w:rFonts w:ascii="Arial"/>
                <w:color w:val="auto"/>
                <w:sz w:val="21"/>
                <w:highlight w:val="none"/>
              </w:rPr>
            </w:pPr>
          </w:p>
        </w:tc>
        <w:tc>
          <w:tcPr>
            <w:tcW w:w="1131" w:type="dxa"/>
            <w:vAlign w:val="top"/>
          </w:tcPr>
          <w:p w14:paraId="663DE40A">
            <w:pPr>
              <w:rPr>
                <w:rFonts w:ascii="Arial"/>
                <w:color w:val="auto"/>
                <w:sz w:val="21"/>
                <w:highlight w:val="none"/>
              </w:rPr>
            </w:pPr>
          </w:p>
        </w:tc>
        <w:tc>
          <w:tcPr>
            <w:tcW w:w="1166" w:type="dxa"/>
            <w:tcBorders>
              <w:right w:val="single" w:color="000000" w:sz="4" w:space="0"/>
            </w:tcBorders>
            <w:vAlign w:val="top"/>
          </w:tcPr>
          <w:p w14:paraId="539A49EE">
            <w:pPr>
              <w:rPr>
                <w:rFonts w:ascii="Arial"/>
                <w:color w:val="auto"/>
                <w:sz w:val="21"/>
                <w:highlight w:val="none"/>
              </w:rPr>
            </w:pPr>
          </w:p>
        </w:tc>
      </w:tr>
      <w:tr w14:paraId="33C6F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14:paraId="32404D34">
            <w:pPr>
              <w:pStyle w:val="18"/>
              <w:spacing w:before="144" w:line="220" w:lineRule="auto"/>
              <w:ind w:left="2595"/>
              <w:rPr>
                <w:color w:val="auto"/>
                <w:highlight w:val="none"/>
              </w:rPr>
            </w:pPr>
            <w:r>
              <w:rPr>
                <w:color w:val="auto"/>
                <w:spacing w:val="-1"/>
                <w:highlight w:val="none"/>
              </w:rPr>
              <w:t>施工机械小计</w:t>
            </w:r>
          </w:p>
        </w:tc>
        <w:tc>
          <w:tcPr>
            <w:tcW w:w="1131" w:type="dxa"/>
            <w:vAlign w:val="top"/>
          </w:tcPr>
          <w:p w14:paraId="0C7B2A4E">
            <w:pPr>
              <w:rPr>
                <w:rFonts w:ascii="Arial"/>
                <w:color w:val="auto"/>
                <w:sz w:val="21"/>
                <w:highlight w:val="none"/>
              </w:rPr>
            </w:pPr>
          </w:p>
        </w:tc>
        <w:tc>
          <w:tcPr>
            <w:tcW w:w="1166" w:type="dxa"/>
            <w:tcBorders>
              <w:right w:val="single" w:color="000000" w:sz="4" w:space="0"/>
            </w:tcBorders>
            <w:vAlign w:val="top"/>
          </w:tcPr>
          <w:p w14:paraId="2003F0C0">
            <w:pPr>
              <w:rPr>
                <w:rFonts w:ascii="Arial"/>
                <w:color w:val="auto"/>
                <w:sz w:val="21"/>
                <w:highlight w:val="none"/>
              </w:rPr>
            </w:pPr>
          </w:p>
        </w:tc>
      </w:tr>
      <w:tr w14:paraId="0762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14:paraId="7FDB4ABA">
            <w:pPr>
              <w:pStyle w:val="18"/>
              <w:spacing w:before="140" w:line="221" w:lineRule="auto"/>
              <w:ind w:left="133"/>
              <w:rPr>
                <w:color w:val="auto"/>
                <w:highlight w:val="none"/>
              </w:rPr>
            </w:pPr>
            <w:r>
              <w:rPr>
                <w:color w:val="auto"/>
                <w:spacing w:val="-2"/>
                <w:highlight w:val="none"/>
              </w:rPr>
              <w:t>四、企业管理费和利润小计</w:t>
            </w:r>
          </w:p>
        </w:tc>
        <w:tc>
          <w:tcPr>
            <w:tcW w:w="1131" w:type="dxa"/>
            <w:vAlign w:val="top"/>
          </w:tcPr>
          <w:p w14:paraId="4206FD6F">
            <w:pPr>
              <w:rPr>
                <w:rFonts w:ascii="Arial"/>
                <w:color w:val="auto"/>
                <w:sz w:val="21"/>
                <w:highlight w:val="none"/>
              </w:rPr>
            </w:pPr>
          </w:p>
        </w:tc>
        <w:tc>
          <w:tcPr>
            <w:tcW w:w="1166" w:type="dxa"/>
            <w:tcBorders>
              <w:right w:val="single" w:color="000000" w:sz="4" w:space="0"/>
            </w:tcBorders>
            <w:vAlign w:val="top"/>
          </w:tcPr>
          <w:p w14:paraId="65E9067F">
            <w:pPr>
              <w:rPr>
                <w:rFonts w:ascii="Arial"/>
                <w:color w:val="auto"/>
                <w:sz w:val="21"/>
                <w:highlight w:val="none"/>
              </w:rPr>
            </w:pPr>
          </w:p>
        </w:tc>
      </w:tr>
      <w:tr w14:paraId="0F394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14:paraId="5589BABB">
            <w:pPr>
              <w:pStyle w:val="18"/>
              <w:spacing w:before="145" w:line="222" w:lineRule="auto"/>
              <w:ind w:left="3019"/>
              <w:rPr>
                <w:color w:val="auto"/>
                <w:highlight w:val="none"/>
              </w:rPr>
            </w:pPr>
            <w:r>
              <w:rPr>
                <w:color w:val="auto"/>
                <w:spacing w:val="-3"/>
                <w:highlight w:val="none"/>
              </w:rPr>
              <w:t>总计</w:t>
            </w:r>
          </w:p>
        </w:tc>
        <w:tc>
          <w:tcPr>
            <w:tcW w:w="1131" w:type="dxa"/>
            <w:tcBorders>
              <w:bottom w:val="single" w:color="000000" w:sz="4" w:space="0"/>
            </w:tcBorders>
            <w:vAlign w:val="top"/>
          </w:tcPr>
          <w:p w14:paraId="69E62D0C">
            <w:pPr>
              <w:rPr>
                <w:rFonts w:ascii="Arial"/>
                <w:color w:val="auto"/>
                <w:sz w:val="21"/>
                <w:highlight w:val="none"/>
              </w:rPr>
            </w:pPr>
          </w:p>
        </w:tc>
        <w:tc>
          <w:tcPr>
            <w:tcW w:w="1166" w:type="dxa"/>
            <w:tcBorders>
              <w:bottom w:val="single" w:color="000000" w:sz="4" w:space="0"/>
              <w:right w:val="single" w:color="000000" w:sz="4" w:space="0"/>
            </w:tcBorders>
            <w:vAlign w:val="top"/>
          </w:tcPr>
          <w:p w14:paraId="7989A37E">
            <w:pPr>
              <w:rPr>
                <w:rFonts w:ascii="Arial"/>
                <w:color w:val="auto"/>
                <w:sz w:val="21"/>
                <w:highlight w:val="none"/>
              </w:rPr>
            </w:pPr>
          </w:p>
        </w:tc>
      </w:tr>
    </w:tbl>
    <w:p w14:paraId="51D8A9C5">
      <w:pPr>
        <w:spacing w:before="173" w:line="249" w:lineRule="auto"/>
        <w:ind w:left="647" w:right="36" w:hanging="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注：此表项目名称、暂定数量由招标人填写， 编制招标控</w:t>
      </w:r>
      <w:r>
        <w:rPr>
          <w:rFonts w:ascii="宋体" w:hAnsi="宋体" w:eastAsia="宋体" w:cs="宋体"/>
          <w:color w:val="auto"/>
          <w:spacing w:val="-3"/>
          <w:sz w:val="21"/>
          <w:szCs w:val="21"/>
          <w:highlight w:val="none"/>
        </w:rPr>
        <w:t xml:space="preserve">制价时， 单价由招标人按有关计  </w:t>
      </w:r>
      <w:r>
        <w:rPr>
          <w:rFonts w:ascii="宋体" w:hAnsi="宋体" w:eastAsia="宋体" w:cs="宋体"/>
          <w:color w:val="auto"/>
          <w:spacing w:val="-1"/>
          <w:sz w:val="21"/>
          <w:szCs w:val="21"/>
          <w:highlight w:val="none"/>
        </w:rPr>
        <w:t>价规定确定：投标时， 单价由投标人自主报价，按暂定数量计算合价计入投标总价中。</w:t>
      </w:r>
      <w:r>
        <w:rPr>
          <w:rFonts w:ascii="宋体" w:hAnsi="宋体" w:eastAsia="宋体" w:cs="宋体"/>
          <w:color w:val="auto"/>
          <w:spacing w:val="17"/>
          <w:sz w:val="21"/>
          <w:szCs w:val="21"/>
          <w:highlight w:val="none"/>
        </w:rPr>
        <w:t xml:space="preserve"> </w:t>
      </w:r>
      <w:r>
        <w:rPr>
          <w:rFonts w:ascii="宋体" w:hAnsi="宋体" w:eastAsia="宋体" w:cs="宋体"/>
          <w:color w:val="auto"/>
          <w:spacing w:val="-1"/>
          <w:sz w:val="21"/>
          <w:szCs w:val="21"/>
          <w:highlight w:val="none"/>
        </w:rPr>
        <w:t>结算时，按承发包双方确认的实际数量计算合价。</w:t>
      </w:r>
    </w:p>
    <w:p w14:paraId="4B9DAB2F">
      <w:pPr>
        <w:spacing w:line="249" w:lineRule="auto"/>
        <w:rPr>
          <w:rFonts w:ascii="宋体" w:hAnsi="宋体" w:eastAsia="宋体" w:cs="宋体"/>
          <w:color w:val="auto"/>
          <w:sz w:val="21"/>
          <w:szCs w:val="21"/>
          <w:highlight w:val="none"/>
        </w:rPr>
        <w:sectPr>
          <w:footerReference r:id="rId137" w:type="default"/>
          <w:pgSz w:w="11905" w:h="16839"/>
          <w:pgMar w:top="400" w:right="1575" w:bottom="1004" w:left="1579" w:header="0" w:footer="829" w:gutter="0"/>
          <w:pgNumType w:fmt="decimal"/>
          <w:cols w:space="720" w:num="1"/>
        </w:sectPr>
      </w:pPr>
    </w:p>
    <w:p w14:paraId="51C22E6E">
      <w:pPr>
        <w:pStyle w:val="5"/>
        <w:spacing w:line="274" w:lineRule="auto"/>
        <w:rPr>
          <w:color w:val="auto"/>
          <w:highlight w:val="none"/>
        </w:rPr>
      </w:pPr>
    </w:p>
    <w:p w14:paraId="5BDDC939">
      <w:pPr>
        <w:pStyle w:val="5"/>
        <w:spacing w:line="274" w:lineRule="auto"/>
        <w:rPr>
          <w:color w:val="auto"/>
          <w:highlight w:val="none"/>
        </w:rPr>
      </w:pPr>
    </w:p>
    <w:p w14:paraId="458EC2FA">
      <w:pPr>
        <w:pStyle w:val="5"/>
        <w:spacing w:line="274" w:lineRule="auto"/>
        <w:rPr>
          <w:color w:val="auto"/>
          <w:highlight w:val="none"/>
        </w:rPr>
      </w:pPr>
    </w:p>
    <w:p w14:paraId="71360530">
      <w:pPr>
        <w:pStyle w:val="5"/>
        <w:spacing w:line="274" w:lineRule="auto"/>
        <w:rPr>
          <w:color w:val="auto"/>
          <w:highlight w:val="none"/>
        </w:rPr>
      </w:pPr>
    </w:p>
    <w:p w14:paraId="4AE98C73">
      <w:pPr>
        <w:pStyle w:val="5"/>
        <w:spacing w:line="275" w:lineRule="auto"/>
        <w:rPr>
          <w:color w:val="auto"/>
          <w:highlight w:val="none"/>
        </w:rPr>
      </w:pPr>
    </w:p>
    <w:p w14:paraId="36800DEE">
      <w:pPr>
        <w:spacing w:before="78" w:line="218" w:lineRule="auto"/>
        <w:ind w:left="12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4.12-5 </w:t>
      </w:r>
      <w:r>
        <w:rPr>
          <w:rFonts w:ascii="黑体" w:hAnsi="黑体" w:eastAsia="黑体" w:cs="黑体"/>
          <w:color w:val="auto"/>
          <w:spacing w:val="-1"/>
          <w:sz w:val="24"/>
          <w:szCs w:val="24"/>
          <w:highlight w:val="none"/>
        </w:rPr>
        <w:t>总承包服务费计价表</w:t>
      </w:r>
    </w:p>
    <w:p w14:paraId="755AE56B">
      <w:pPr>
        <w:pStyle w:val="5"/>
        <w:spacing w:line="276" w:lineRule="auto"/>
        <w:rPr>
          <w:color w:val="auto"/>
          <w:highlight w:val="none"/>
        </w:rPr>
      </w:pPr>
    </w:p>
    <w:p w14:paraId="24CF9ADF">
      <w:pPr>
        <w:pStyle w:val="5"/>
        <w:spacing w:line="276" w:lineRule="auto"/>
        <w:rPr>
          <w:color w:val="auto"/>
          <w:highlight w:val="none"/>
        </w:rPr>
      </w:pPr>
    </w:p>
    <w:p w14:paraId="7E00F451">
      <w:pPr>
        <w:spacing w:before="88" w:line="224" w:lineRule="auto"/>
        <w:ind w:left="3032"/>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总承包服务费计价表</w:t>
      </w:r>
    </w:p>
    <w:p w14:paraId="10DD9D60">
      <w:pPr>
        <w:spacing w:before="142" w:line="221" w:lineRule="auto"/>
        <w:ind w:left="13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标段名称：</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第 页</w:t>
      </w:r>
      <w:r>
        <w:rPr>
          <w:rFonts w:ascii="宋体" w:hAnsi="宋体" w:eastAsia="宋体" w:cs="宋体"/>
          <w:color w:val="auto"/>
          <w:spacing w:val="10"/>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7"/>
          <w:sz w:val="21"/>
          <w:szCs w:val="21"/>
          <w:highlight w:val="none"/>
        </w:rPr>
        <w:t>页</w:t>
      </w:r>
    </w:p>
    <w:p w14:paraId="0AC4E603">
      <w:pPr>
        <w:spacing w:line="112" w:lineRule="exact"/>
        <w:rPr>
          <w:color w:val="auto"/>
          <w:highlight w:val="none"/>
        </w:rPr>
      </w:pPr>
    </w:p>
    <w:tbl>
      <w:tblPr>
        <w:tblStyle w:val="17"/>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14:paraId="199F9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14:paraId="7CC505E8">
            <w:pPr>
              <w:spacing w:line="281" w:lineRule="auto"/>
              <w:rPr>
                <w:rFonts w:ascii="Arial"/>
                <w:color w:val="auto"/>
                <w:sz w:val="21"/>
                <w:highlight w:val="none"/>
              </w:rPr>
            </w:pPr>
          </w:p>
          <w:p w14:paraId="63D7C943">
            <w:pPr>
              <w:pStyle w:val="18"/>
              <w:spacing w:before="68" w:line="222" w:lineRule="auto"/>
              <w:ind w:left="112"/>
              <w:rPr>
                <w:color w:val="auto"/>
                <w:highlight w:val="none"/>
              </w:rPr>
            </w:pPr>
            <w:r>
              <w:rPr>
                <w:color w:val="auto"/>
                <w:spacing w:val="-2"/>
                <w:highlight w:val="none"/>
              </w:rPr>
              <w:t>序号</w:t>
            </w:r>
          </w:p>
        </w:tc>
        <w:tc>
          <w:tcPr>
            <w:tcW w:w="2173" w:type="dxa"/>
            <w:tcBorders>
              <w:top w:val="single" w:color="000000" w:sz="4" w:space="0"/>
            </w:tcBorders>
            <w:vAlign w:val="top"/>
          </w:tcPr>
          <w:p w14:paraId="6C34AB10">
            <w:pPr>
              <w:spacing w:line="281" w:lineRule="auto"/>
              <w:rPr>
                <w:rFonts w:ascii="Arial"/>
                <w:color w:val="auto"/>
                <w:sz w:val="21"/>
                <w:highlight w:val="none"/>
              </w:rPr>
            </w:pPr>
          </w:p>
          <w:p w14:paraId="426CD53E">
            <w:pPr>
              <w:pStyle w:val="18"/>
              <w:spacing w:before="68" w:line="221" w:lineRule="auto"/>
              <w:ind w:left="666"/>
              <w:rPr>
                <w:color w:val="auto"/>
                <w:highlight w:val="none"/>
              </w:rPr>
            </w:pPr>
            <w:r>
              <w:rPr>
                <w:color w:val="auto"/>
                <w:spacing w:val="-2"/>
                <w:highlight w:val="none"/>
              </w:rPr>
              <w:t>工程名称</w:t>
            </w:r>
          </w:p>
        </w:tc>
        <w:tc>
          <w:tcPr>
            <w:tcW w:w="1076" w:type="dxa"/>
            <w:tcBorders>
              <w:top w:val="single" w:color="000000" w:sz="4" w:space="0"/>
              <w:right w:val="single" w:color="000000" w:sz="4" w:space="0"/>
            </w:tcBorders>
            <w:vAlign w:val="top"/>
          </w:tcPr>
          <w:p w14:paraId="3EFDD6C1">
            <w:pPr>
              <w:pStyle w:val="18"/>
              <w:spacing w:before="216" w:line="229" w:lineRule="auto"/>
              <w:ind w:left="235" w:right="108" w:hanging="108"/>
              <w:rPr>
                <w:color w:val="auto"/>
                <w:highlight w:val="none"/>
              </w:rPr>
            </w:pPr>
            <w:r>
              <w:rPr>
                <w:color w:val="auto"/>
                <w:spacing w:val="-2"/>
                <w:highlight w:val="none"/>
              </w:rPr>
              <w:t>项目价值</w:t>
            </w:r>
            <w:r>
              <w:rPr>
                <w:color w:val="auto"/>
                <w:highlight w:val="none"/>
              </w:rPr>
              <w:t xml:space="preserve"> </w:t>
            </w:r>
            <w:r>
              <w:rPr>
                <w:color w:val="auto"/>
                <w:spacing w:val="-6"/>
                <w:highlight w:val="none"/>
              </w:rPr>
              <w:t>（元）</w:t>
            </w:r>
          </w:p>
        </w:tc>
        <w:tc>
          <w:tcPr>
            <w:tcW w:w="1081" w:type="dxa"/>
            <w:tcBorders>
              <w:top w:val="single" w:color="000000" w:sz="4" w:space="0"/>
              <w:left w:val="single" w:color="000000" w:sz="4" w:space="0"/>
            </w:tcBorders>
            <w:vAlign w:val="top"/>
          </w:tcPr>
          <w:p w14:paraId="2F15C580">
            <w:pPr>
              <w:spacing w:line="280" w:lineRule="auto"/>
              <w:rPr>
                <w:rFonts w:ascii="Arial"/>
                <w:color w:val="auto"/>
                <w:sz w:val="21"/>
                <w:highlight w:val="none"/>
              </w:rPr>
            </w:pPr>
          </w:p>
          <w:p w14:paraId="35F27347">
            <w:pPr>
              <w:pStyle w:val="18"/>
              <w:spacing w:before="68" w:line="221" w:lineRule="auto"/>
              <w:ind w:left="125"/>
              <w:rPr>
                <w:color w:val="auto"/>
                <w:highlight w:val="none"/>
              </w:rPr>
            </w:pPr>
            <w:r>
              <w:rPr>
                <w:color w:val="auto"/>
                <w:spacing w:val="-1"/>
                <w:highlight w:val="none"/>
              </w:rPr>
              <w:t>服务内容</w:t>
            </w:r>
          </w:p>
        </w:tc>
        <w:tc>
          <w:tcPr>
            <w:tcW w:w="1165" w:type="dxa"/>
            <w:tcBorders>
              <w:top w:val="single" w:color="000000" w:sz="4" w:space="0"/>
            </w:tcBorders>
            <w:vAlign w:val="top"/>
          </w:tcPr>
          <w:p w14:paraId="5CC03C5A">
            <w:pPr>
              <w:spacing w:line="280" w:lineRule="auto"/>
              <w:rPr>
                <w:rFonts w:ascii="Arial"/>
                <w:color w:val="auto"/>
                <w:sz w:val="21"/>
                <w:highlight w:val="none"/>
              </w:rPr>
            </w:pPr>
          </w:p>
          <w:p w14:paraId="15D41A16">
            <w:pPr>
              <w:pStyle w:val="18"/>
              <w:spacing w:before="68" w:line="221" w:lineRule="auto"/>
              <w:ind w:left="170"/>
              <w:rPr>
                <w:color w:val="auto"/>
                <w:highlight w:val="none"/>
              </w:rPr>
            </w:pPr>
            <w:r>
              <w:rPr>
                <w:color w:val="auto"/>
                <w:spacing w:val="-1"/>
                <w:highlight w:val="none"/>
              </w:rPr>
              <w:t>计算基础</w:t>
            </w:r>
          </w:p>
        </w:tc>
        <w:tc>
          <w:tcPr>
            <w:tcW w:w="830" w:type="dxa"/>
            <w:tcBorders>
              <w:top w:val="single" w:color="000000" w:sz="4" w:space="0"/>
            </w:tcBorders>
            <w:vAlign w:val="top"/>
          </w:tcPr>
          <w:p w14:paraId="73E8287C">
            <w:pPr>
              <w:pStyle w:val="18"/>
              <w:spacing w:before="215" w:line="235" w:lineRule="auto"/>
              <w:ind w:left="163" w:right="161" w:firstLine="58"/>
              <w:rPr>
                <w:color w:val="auto"/>
                <w:highlight w:val="none"/>
              </w:rPr>
            </w:pPr>
            <w:r>
              <w:rPr>
                <w:color w:val="auto"/>
                <w:spacing w:val="-9"/>
                <w:highlight w:val="none"/>
              </w:rPr>
              <w:t>费率</w:t>
            </w:r>
            <w:r>
              <w:rPr>
                <w:color w:val="auto"/>
                <w:highlight w:val="none"/>
              </w:rPr>
              <w:t xml:space="preserve"> </w:t>
            </w:r>
            <w:r>
              <w:rPr>
                <w:color w:val="auto"/>
                <w:spacing w:val="-9"/>
                <w:highlight w:val="none"/>
              </w:rPr>
              <w:t>（%）</w:t>
            </w:r>
          </w:p>
        </w:tc>
        <w:tc>
          <w:tcPr>
            <w:tcW w:w="1573" w:type="dxa"/>
            <w:tcBorders>
              <w:top w:val="single" w:color="000000" w:sz="4" w:space="0"/>
              <w:right w:val="single" w:color="000000" w:sz="4" w:space="0"/>
            </w:tcBorders>
            <w:vAlign w:val="top"/>
          </w:tcPr>
          <w:p w14:paraId="1B0F1F81">
            <w:pPr>
              <w:spacing w:line="280" w:lineRule="auto"/>
              <w:rPr>
                <w:rFonts w:ascii="Arial"/>
                <w:color w:val="auto"/>
                <w:sz w:val="21"/>
                <w:highlight w:val="none"/>
              </w:rPr>
            </w:pPr>
          </w:p>
          <w:p w14:paraId="1DAB0C56">
            <w:pPr>
              <w:pStyle w:val="18"/>
              <w:spacing w:before="68" w:line="221" w:lineRule="auto"/>
              <w:ind w:left="270"/>
              <w:rPr>
                <w:color w:val="auto"/>
                <w:highlight w:val="none"/>
              </w:rPr>
            </w:pPr>
            <w:r>
              <w:rPr>
                <w:color w:val="auto"/>
                <w:spacing w:val="-3"/>
                <w:highlight w:val="none"/>
              </w:rPr>
              <w:t>金额（元）</w:t>
            </w:r>
          </w:p>
        </w:tc>
      </w:tr>
      <w:tr w14:paraId="34A2A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1D77BDF8">
            <w:pPr>
              <w:spacing w:line="316" w:lineRule="auto"/>
              <w:rPr>
                <w:rFonts w:ascii="Arial"/>
                <w:color w:val="auto"/>
                <w:sz w:val="21"/>
                <w:highlight w:val="none"/>
              </w:rPr>
            </w:pPr>
          </w:p>
          <w:p w14:paraId="2AAE2845">
            <w:pPr>
              <w:spacing w:before="68" w:line="183" w:lineRule="auto"/>
              <w:ind w:left="283"/>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2173" w:type="dxa"/>
            <w:vAlign w:val="top"/>
          </w:tcPr>
          <w:p w14:paraId="3AFFCA3E">
            <w:pPr>
              <w:spacing w:line="282" w:lineRule="auto"/>
              <w:rPr>
                <w:rFonts w:ascii="Arial"/>
                <w:color w:val="auto"/>
                <w:sz w:val="21"/>
                <w:highlight w:val="none"/>
              </w:rPr>
            </w:pPr>
          </w:p>
          <w:p w14:paraId="1415C237">
            <w:pPr>
              <w:pStyle w:val="18"/>
              <w:spacing w:before="68" w:line="221" w:lineRule="auto"/>
              <w:ind w:left="110"/>
              <w:rPr>
                <w:color w:val="auto"/>
                <w:highlight w:val="none"/>
              </w:rPr>
            </w:pPr>
            <w:r>
              <w:rPr>
                <w:color w:val="auto"/>
                <w:spacing w:val="-1"/>
                <w:highlight w:val="none"/>
              </w:rPr>
              <w:t>发包人发包专业工程</w:t>
            </w:r>
          </w:p>
        </w:tc>
        <w:tc>
          <w:tcPr>
            <w:tcW w:w="1076" w:type="dxa"/>
            <w:tcBorders>
              <w:right w:val="single" w:color="000000" w:sz="4" w:space="0"/>
            </w:tcBorders>
            <w:vAlign w:val="top"/>
          </w:tcPr>
          <w:p w14:paraId="55BB5D91">
            <w:pPr>
              <w:rPr>
                <w:rFonts w:ascii="Arial"/>
                <w:color w:val="auto"/>
                <w:sz w:val="21"/>
                <w:highlight w:val="none"/>
              </w:rPr>
            </w:pPr>
          </w:p>
        </w:tc>
        <w:tc>
          <w:tcPr>
            <w:tcW w:w="1081" w:type="dxa"/>
            <w:tcBorders>
              <w:left w:val="single" w:color="000000" w:sz="4" w:space="0"/>
            </w:tcBorders>
            <w:vAlign w:val="top"/>
          </w:tcPr>
          <w:p w14:paraId="23143A3D">
            <w:pPr>
              <w:rPr>
                <w:rFonts w:ascii="Arial"/>
                <w:color w:val="auto"/>
                <w:sz w:val="21"/>
                <w:highlight w:val="none"/>
              </w:rPr>
            </w:pPr>
          </w:p>
        </w:tc>
        <w:tc>
          <w:tcPr>
            <w:tcW w:w="1165" w:type="dxa"/>
            <w:vAlign w:val="top"/>
          </w:tcPr>
          <w:p w14:paraId="2C1568DB">
            <w:pPr>
              <w:rPr>
                <w:rFonts w:ascii="Arial"/>
                <w:color w:val="auto"/>
                <w:sz w:val="21"/>
                <w:highlight w:val="none"/>
              </w:rPr>
            </w:pPr>
          </w:p>
        </w:tc>
        <w:tc>
          <w:tcPr>
            <w:tcW w:w="830" w:type="dxa"/>
            <w:vAlign w:val="top"/>
          </w:tcPr>
          <w:p w14:paraId="3E998A57">
            <w:pPr>
              <w:rPr>
                <w:rFonts w:ascii="Arial"/>
                <w:color w:val="auto"/>
                <w:sz w:val="21"/>
                <w:highlight w:val="none"/>
              </w:rPr>
            </w:pPr>
          </w:p>
        </w:tc>
        <w:tc>
          <w:tcPr>
            <w:tcW w:w="1573" w:type="dxa"/>
            <w:tcBorders>
              <w:right w:val="single" w:color="000000" w:sz="4" w:space="0"/>
            </w:tcBorders>
            <w:vAlign w:val="top"/>
          </w:tcPr>
          <w:p w14:paraId="6CBB9F5F">
            <w:pPr>
              <w:rPr>
                <w:rFonts w:ascii="Arial"/>
                <w:color w:val="auto"/>
                <w:sz w:val="21"/>
                <w:highlight w:val="none"/>
              </w:rPr>
            </w:pPr>
          </w:p>
        </w:tc>
      </w:tr>
      <w:tr w14:paraId="1752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14:paraId="1B61D49B">
            <w:pPr>
              <w:spacing w:line="310" w:lineRule="auto"/>
              <w:rPr>
                <w:rFonts w:ascii="Arial"/>
                <w:color w:val="auto"/>
                <w:sz w:val="21"/>
                <w:highlight w:val="none"/>
              </w:rPr>
            </w:pPr>
          </w:p>
          <w:p w14:paraId="44D3E5ED">
            <w:pPr>
              <w:spacing w:before="69" w:line="184" w:lineRule="auto"/>
              <w:ind w:left="270"/>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2173" w:type="dxa"/>
            <w:vAlign w:val="top"/>
          </w:tcPr>
          <w:p w14:paraId="37B91A6C">
            <w:pPr>
              <w:spacing w:line="277" w:lineRule="auto"/>
              <w:rPr>
                <w:rFonts w:ascii="Arial"/>
                <w:color w:val="auto"/>
                <w:sz w:val="21"/>
                <w:highlight w:val="none"/>
              </w:rPr>
            </w:pPr>
          </w:p>
          <w:p w14:paraId="03667C9A">
            <w:pPr>
              <w:pStyle w:val="18"/>
              <w:spacing w:before="68" w:line="220" w:lineRule="auto"/>
              <w:ind w:left="110"/>
              <w:rPr>
                <w:color w:val="auto"/>
                <w:highlight w:val="none"/>
              </w:rPr>
            </w:pPr>
            <w:r>
              <w:rPr>
                <w:color w:val="auto"/>
                <w:spacing w:val="-1"/>
                <w:highlight w:val="none"/>
              </w:rPr>
              <w:t>发包人提供材料</w:t>
            </w:r>
          </w:p>
        </w:tc>
        <w:tc>
          <w:tcPr>
            <w:tcW w:w="1076" w:type="dxa"/>
            <w:tcBorders>
              <w:right w:val="single" w:color="000000" w:sz="4" w:space="0"/>
            </w:tcBorders>
            <w:vAlign w:val="top"/>
          </w:tcPr>
          <w:p w14:paraId="0E1DAA93">
            <w:pPr>
              <w:rPr>
                <w:rFonts w:ascii="Arial"/>
                <w:color w:val="auto"/>
                <w:sz w:val="21"/>
                <w:highlight w:val="none"/>
              </w:rPr>
            </w:pPr>
          </w:p>
        </w:tc>
        <w:tc>
          <w:tcPr>
            <w:tcW w:w="1081" w:type="dxa"/>
            <w:tcBorders>
              <w:left w:val="single" w:color="000000" w:sz="4" w:space="0"/>
            </w:tcBorders>
            <w:vAlign w:val="top"/>
          </w:tcPr>
          <w:p w14:paraId="083B6219">
            <w:pPr>
              <w:rPr>
                <w:rFonts w:ascii="Arial"/>
                <w:color w:val="auto"/>
                <w:sz w:val="21"/>
                <w:highlight w:val="none"/>
              </w:rPr>
            </w:pPr>
          </w:p>
        </w:tc>
        <w:tc>
          <w:tcPr>
            <w:tcW w:w="1165" w:type="dxa"/>
            <w:vAlign w:val="top"/>
          </w:tcPr>
          <w:p w14:paraId="12446C0D">
            <w:pPr>
              <w:rPr>
                <w:rFonts w:ascii="Arial"/>
                <w:color w:val="auto"/>
                <w:sz w:val="21"/>
                <w:highlight w:val="none"/>
              </w:rPr>
            </w:pPr>
          </w:p>
        </w:tc>
        <w:tc>
          <w:tcPr>
            <w:tcW w:w="830" w:type="dxa"/>
            <w:vAlign w:val="top"/>
          </w:tcPr>
          <w:p w14:paraId="4768CD02">
            <w:pPr>
              <w:rPr>
                <w:rFonts w:ascii="Arial"/>
                <w:color w:val="auto"/>
                <w:sz w:val="21"/>
                <w:highlight w:val="none"/>
              </w:rPr>
            </w:pPr>
          </w:p>
        </w:tc>
        <w:tc>
          <w:tcPr>
            <w:tcW w:w="1573" w:type="dxa"/>
            <w:tcBorders>
              <w:right w:val="single" w:color="000000" w:sz="4" w:space="0"/>
            </w:tcBorders>
            <w:vAlign w:val="top"/>
          </w:tcPr>
          <w:p w14:paraId="068426AA">
            <w:pPr>
              <w:rPr>
                <w:rFonts w:ascii="Arial"/>
                <w:color w:val="auto"/>
                <w:sz w:val="21"/>
                <w:highlight w:val="none"/>
              </w:rPr>
            </w:pPr>
          </w:p>
        </w:tc>
      </w:tr>
      <w:tr w14:paraId="0E3FD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14:paraId="392D7F2E">
            <w:pPr>
              <w:rPr>
                <w:rFonts w:ascii="Arial"/>
                <w:color w:val="auto"/>
                <w:sz w:val="21"/>
                <w:highlight w:val="none"/>
              </w:rPr>
            </w:pPr>
          </w:p>
        </w:tc>
        <w:tc>
          <w:tcPr>
            <w:tcW w:w="2173" w:type="dxa"/>
            <w:vAlign w:val="top"/>
          </w:tcPr>
          <w:p w14:paraId="314A9E8A">
            <w:pPr>
              <w:rPr>
                <w:rFonts w:ascii="Arial"/>
                <w:color w:val="auto"/>
                <w:sz w:val="21"/>
                <w:highlight w:val="none"/>
              </w:rPr>
            </w:pPr>
          </w:p>
        </w:tc>
        <w:tc>
          <w:tcPr>
            <w:tcW w:w="1076" w:type="dxa"/>
            <w:tcBorders>
              <w:right w:val="single" w:color="000000" w:sz="4" w:space="0"/>
            </w:tcBorders>
            <w:vAlign w:val="top"/>
          </w:tcPr>
          <w:p w14:paraId="790BD581">
            <w:pPr>
              <w:rPr>
                <w:rFonts w:ascii="Arial"/>
                <w:color w:val="auto"/>
                <w:sz w:val="21"/>
                <w:highlight w:val="none"/>
              </w:rPr>
            </w:pPr>
          </w:p>
        </w:tc>
        <w:tc>
          <w:tcPr>
            <w:tcW w:w="1081" w:type="dxa"/>
            <w:tcBorders>
              <w:left w:val="single" w:color="000000" w:sz="4" w:space="0"/>
            </w:tcBorders>
            <w:vAlign w:val="top"/>
          </w:tcPr>
          <w:p w14:paraId="7A300C66">
            <w:pPr>
              <w:rPr>
                <w:rFonts w:ascii="Arial"/>
                <w:color w:val="auto"/>
                <w:sz w:val="21"/>
                <w:highlight w:val="none"/>
              </w:rPr>
            </w:pPr>
          </w:p>
        </w:tc>
        <w:tc>
          <w:tcPr>
            <w:tcW w:w="1165" w:type="dxa"/>
            <w:vAlign w:val="top"/>
          </w:tcPr>
          <w:p w14:paraId="3509B36C">
            <w:pPr>
              <w:rPr>
                <w:rFonts w:ascii="Arial"/>
                <w:color w:val="auto"/>
                <w:sz w:val="21"/>
                <w:highlight w:val="none"/>
              </w:rPr>
            </w:pPr>
          </w:p>
        </w:tc>
        <w:tc>
          <w:tcPr>
            <w:tcW w:w="830" w:type="dxa"/>
            <w:vAlign w:val="top"/>
          </w:tcPr>
          <w:p w14:paraId="32ADEB21">
            <w:pPr>
              <w:rPr>
                <w:rFonts w:ascii="Arial"/>
                <w:color w:val="auto"/>
                <w:sz w:val="21"/>
                <w:highlight w:val="none"/>
              </w:rPr>
            </w:pPr>
          </w:p>
        </w:tc>
        <w:tc>
          <w:tcPr>
            <w:tcW w:w="1573" w:type="dxa"/>
            <w:tcBorders>
              <w:right w:val="single" w:color="000000" w:sz="4" w:space="0"/>
            </w:tcBorders>
            <w:vAlign w:val="top"/>
          </w:tcPr>
          <w:p w14:paraId="09A0F146">
            <w:pPr>
              <w:rPr>
                <w:rFonts w:ascii="Arial"/>
                <w:color w:val="auto"/>
                <w:sz w:val="21"/>
                <w:highlight w:val="none"/>
              </w:rPr>
            </w:pPr>
          </w:p>
        </w:tc>
      </w:tr>
      <w:tr w14:paraId="2C677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0EE3C843">
            <w:pPr>
              <w:rPr>
                <w:rFonts w:ascii="Arial"/>
                <w:color w:val="auto"/>
                <w:sz w:val="21"/>
                <w:highlight w:val="none"/>
              </w:rPr>
            </w:pPr>
          </w:p>
        </w:tc>
        <w:tc>
          <w:tcPr>
            <w:tcW w:w="2173" w:type="dxa"/>
            <w:vAlign w:val="top"/>
          </w:tcPr>
          <w:p w14:paraId="7F3F32C7">
            <w:pPr>
              <w:rPr>
                <w:rFonts w:ascii="Arial"/>
                <w:color w:val="auto"/>
                <w:sz w:val="21"/>
                <w:highlight w:val="none"/>
              </w:rPr>
            </w:pPr>
          </w:p>
        </w:tc>
        <w:tc>
          <w:tcPr>
            <w:tcW w:w="1076" w:type="dxa"/>
            <w:tcBorders>
              <w:right w:val="single" w:color="000000" w:sz="4" w:space="0"/>
            </w:tcBorders>
            <w:vAlign w:val="top"/>
          </w:tcPr>
          <w:p w14:paraId="09EAF235">
            <w:pPr>
              <w:rPr>
                <w:rFonts w:ascii="Arial"/>
                <w:color w:val="auto"/>
                <w:sz w:val="21"/>
                <w:highlight w:val="none"/>
              </w:rPr>
            </w:pPr>
          </w:p>
        </w:tc>
        <w:tc>
          <w:tcPr>
            <w:tcW w:w="1081" w:type="dxa"/>
            <w:tcBorders>
              <w:left w:val="single" w:color="000000" w:sz="4" w:space="0"/>
            </w:tcBorders>
            <w:vAlign w:val="top"/>
          </w:tcPr>
          <w:p w14:paraId="1AD3F243">
            <w:pPr>
              <w:rPr>
                <w:rFonts w:ascii="Arial"/>
                <w:color w:val="auto"/>
                <w:sz w:val="21"/>
                <w:highlight w:val="none"/>
              </w:rPr>
            </w:pPr>
          </w:p>
        </w:tc>
        <w:tc>
          <w:tcPr>
            <w:tcW w:w="1165" w:type="dxa"/>
            <w:vAlign w:val="top"/>
          </w:tcPr>
          <w:p w14:paraId="151ED73C">
            <w:pPr>
              <w:rPr>
                <w:rFonts w:ascii="Arial"/>
                <w:color w:val="auto"/>
                <w:sz w:val="21"/>
                <w:highlight w:val="none"/>
              </w:rPr>
            </w:pPr>
          </w:p>
        </w:tc>
        <w:tc>
          <w:tcPr>
            <w:tcW w:w="830" w:type="dxa"/>
            <w:vAlign w:val="top"/>
          </w:tcPr>
          <w:p w14:paraId="61650BAA">
            <w:pPr>
              <w:rPr>
                <w:rFonts w:ascii="Arial"/>
                <w:color w:val="auto"/>
                <w:sz w:val="21"/>
                <w:highlight w:val="none"/>
              </w:rPr>
            </w:pPr>
          </w:p>
        </w:tc>
        <w:tc>
          <w:tcPr>
            <w:tcW w:w="1573" w:type="dxa"/>
            <w:tcBorders>
              <w:right w:val="single" w:color="000000" w:sz="4" w:space="0"/>
            </w:tcBorders>
            <w:vAlign w:val="top"/>
          </w:tcPr>
          <w:p w14:paraId="1E1E07BB">
            <w:pPr>
              <w:rPr>
                <w:rFonts w:ascii="Arial"/>
                <w:color w:val="auto"/>
                <w:sz w:val="21"/>
                <w:highlight w:val="none"/>
              </w:rPr>
            </w:pPr>
          </w:p>
        </w:tc>
      </w:tr>
      <w:tr w14:paraId="7A2A5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6EBA957B">
            <w:pPr>
              <w:rPr>
                <w:rFonts w:ascii="Arial"/>
                <w:color w:val="auto"/>
                <w:sz w:val="21"/>
                <w:highlight w:val="none"/>
              </w:rPr>
            </w:pPr>
          </w:p>
        </w:tc>
        <w:tc>
          <w:tcPr>
            <w:tcW w:w="2173" w:type="dxa"/>
            <w:vAlign w:val="top"/>
          </w:tcPr>
          <w:p w14:paraId="7FD2282F">
            <w:pPr>
              <w:rPr>
                <w:rFonts w:ascii="Arial"/>
                <w:color w:val="auto"/>
                <w:sz w:val="21"/>
                <w:highlight w:val="none"/>
              </w:rPr>
            </w:pPr>
          </w:p>
        </w:tc>
        <w:tc>
          <w:tcPr>
            <w:tcW w:w="1076" w:type="dxa"/>
            <w:tcBorders>
              <w:right w:val="single" w:color="000000" w:sz="4" w:space="0"/>
            </w:tcBorders>
            <w:vAlign w:val="top"/>
          </w:tcPr>
          <w:p w14:paraId="5E19B200">
            <w:pPr>
              <w:rPr>
                <w:rFonts w:ascii="Arial"/>
                <w:color w:val="auto"/>
                <w:sz w:val="21"/>
                <w:highlight w:val="none"/>
              </w:rPr>
            </w:pPr>
          </w:p>
        </w:tc>
        <w:tc>
          <w:tcPr>
            <w:tcW w:w="1081" w:type="dxa"/>
            <w:tcBorders>
              <w:left w:val="single" w:color="000000" w:sz="4" w:space="0"/>
            </w:tcBorders>
            <w:vAlign w:val="top"/>
          </w:tcPr>
          <w:p w14:paraId="51C3578F">
            <w:pPr>
              <w:rPr>
                <w:rFonts w:ascii="Arial"/>
                <w:color w:val="auto"/>
                <w:sz w:val="21"/>
                <w:highlight w:val="none"/>
              </w:rPr>
            </w:pPr>
          </w:p>
        </w:tc>
        <w:tc>
          <w:tcPr>
            <w:tcW w:w="1165" w:type="dxa"/>
            <w:vAlign w:val="top"/>
          </w:tcPr>
          <w:p w14:paraId="31B06210">
            <w:pPr>
              <w:rPr>
                <w:rFonts w:ascii="Arial"/>
                <w:color w:val="auto"/>
                <w:sz w:val="21"/>
                <w:highlight w:val="none"/>
              </w:rPr>
            </w:pPr>
          </w:p>
        </w:tc>
        <w:tc>
          <w:tcPr>
            <w:tcW w:w="830" w:type="dxa"/>
            <w:vAlign w:val="top"/>
          </w:tcPr>
          <w:p w14:paraId="3E74957E">
            <w:pPr>
              <w:rPr>
                <w:rFonts w:ascii="Arial"/>
                <w:color w:val="auto"/>
                <w:sz w:val="21"/>
                <w:highlight w:val="none"/>
              </w:rPr>
            </w:pPr>
          </w:p>
        </w:tc>
        <w:tc>
          <w:tcPr>
            <w:tcW w:w="1573" w:type="dxa"/>
            <w:tcBorders>
              <w:right w:val="single" w:color="000000" w:sz="4" w:space="0"/>
            </w:tcBorders>
            <w:vAlign w:val="top"/>
          </w:tcPr>
          <w:p w14:paraId="7CBD0951">
            <w:pPr>
              <w:rPr>
                <w:rFonts w:ascii="Arial"/>
                <w:color w:val="auto"/>
                <w:sz w:val="21"/>
                <w:highlight w:val="none"/>
              </w:rPr>
            </w:pPr>
          </w:p>
        </w:tc>
      </w:tr>
      <w:tr w14:paraId="1254B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5154881B">
            <w:pPr>
              <w:rPr>
                <w:rFonts w:ascii="Arial"/>
                <w:color w:val="auto"/>
                <w:sz w:val="21"/>
                <w:highlight w:val="none"/>
              </w:rPr>
            </w:pPr>
          </w:p>
        </w:tc>
        <w:tc>
          <w:tcPr>
            <w:tcW w:w="2173" w:type="dxa"/>
            <w:vAlign w:val="top"/>
          </w:tcPr>
          <w:p w14:paraId="015B77E8">
            <w:pPr>
              <w:rPr>
                <w:rFonts w:ascii="Arial"/>
                <w:color w:val="auto"/>
                <w:sz w:val="21"/>
                <w:highlight w:val="none"/>
              </w:rPr>
            </w:pPr>
          </w:p>
        </w:tc>
        <w:tc>
          <w:tcPr>
            <w:tcW w:w="1076" w:type="dxa"/>
            <w:tcBorders>
              <w:right w:val="single" w:color="000000" w:sz="4" w:space="0"/>
            </w:tcBorders>
            <w:vAlign w:val="top"/>
          </w:tcPr>
          <w:p w14:paraId="0E3974DA">
            <w:pPr>
              <w:rPr>
                <w:rFonts w:ascii="Arial"/>
                <w:color w:val="auto"/>
                <w:sz w:val="21"/>
                <w:highlight w:val="none"/>
              </w:rPr>
            </w:pPr>
          </w:p>
        </w:tc>
        <w:tc>
          <w:tcPr>
            <w:tcW w:w="1081" w:type="dxa"/>
            <w:tcBorders>
              <w:left w:val="single" w:color="000000" w:sz="4" w:space="0"/>
            </w:tcBorders>
            <w:vAlign w:val="top"/>
          </w:tcPr>
          <w:p w14:paraId="2DC0E5BD">
            <w:pPr>
              <w:rPr>
                <w:rFonts w:ascii="Arial"/>
                <w:color w:val="auto"/>
                <w:sz w:val="21"/>
                <w:highlight w:val="none"/>
              </w:rPr>
            </w:pPr>
          </w:p>
        </w:tc>
        <w:tc>
          <w:tcPr>
            <w:tcW w:w="1165" w:type="dxa"/>
            <w:vAlign w:val="top"/>
          </w:tcPr>
          <w:p w14:paraId="26ABB6F4">
            <w:pPr>
              <w:rPr>
                <w:rFonts w:ascii="Arial"/>
                <w:color w:val="auto"/>
                <w:sz w:val="21"/>
                <w:highlight w:val="none"/>
              </w:rPr>
            </w:pPr>
          </w:p>
        </w:tc>
        <w:tc>
          <w:tcPr>
            <w:tcW w:w="830" w:type="dxa"/>
            <w:vAlign w:val="top"/>
          </w:tcPr>
          <w:p w14:paraId="00498E00">
            <w:pPr>
              <w:rPr>
                <w:rFonts w:ascii="Arial"/>
                <w:color w:val="auto"/>
                <w:sz w:val="21"/>
                <w:highlight w:val="none"/>
              </w:rPr>
            </w:pPr>
          </w:p>
        </w:tc>
        <w:tc>
          <w:tcPr>
            <w:tcW w:w="1573" w:type="dxa"/>
            <w:tcBorders>
              <w:right w:val="single" w:color="000000" w:sz="4" w:space="0"/>
            </w:tcBorders>
            <w:vAlign w:val="top"/>
          </w:tcPr>
          <w:p w14:paraId="512FE7AA">
            <w:pPr>
              <w:rPr>
                <w:rFonts w:ascii="Arial"/>
                <w:color w:val="auto"/>
                <w:sz w:val="21"/>
                <w:highlight w:val="none"/>
              </w:rPr>
            </w:pPr>
          </w:p>
        </w:tc>
      </w:tr>
      <w:tr w14:paraId="2B102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285EAEDB">
            <w:pPr>
              <w:rPr>
                <w:rFonts w:ascii="Arial"/>
                <w:color w:val="auto"/>
                <w:sz w:val="21"/>
                <w:highlight w:val="none"/>
              </w:rPr>
            </w:pPr>
          </w:p>
        </w:tc>
        <w:tc>
          <w:tcPr>
            <w:tcW w:w="2173" w:type="dxa"/>
            <w:vAlign w:val="top"/>
          </w:tcPr>
          <w:p w14:paraId="089B4F29">
            <w:pPr>
              <w:rPr>
                <w:rFonts w:ascii="Arial"/>
                <w:color w:val="auto"/>
                <w:sz w:val="21"/>
                <w:highlight w:val="none"/>
              </w:rPr>
            </w:pPr>
          </w:p>
        </w:tc>
        <w:tc>
          <w:tcPr>
            <w:tcW w:w="1076" w:type="dxa"/>
            <w:tcBorders>
              <w:right w:val="single" w:color="000000" w:sz="4" w:space="0"/>
            </w:tcBorders>
            <w:vAlign w:val="top"/>
          </w:tcPr>
          <w:p w14:paraId="17A5C24E">
            <w:pPr>
              <w:rPr>
                <w:rFonts w:ascii="Arial"/>
                <w:color w:val="auto"/>
                <w:sz w:val="21"/>
                <w:highlight w:val="none"/>
              </w:rPr>
            </w:pPr>
          </w:p>
        </w:tc>
        <w:tc>
          <w:tcPr>
            <w:tcW w:w="1081" w:type="dxa"/>
            <w:tcBorders>
              <w:left w:val="single" w:color="000000" w:sz="4" w:space="0"/>
            </w:tcBorders>
            <w:vAlign w:val="top"/>
          </w:tcPr>
          <w:p w14:paraId="445EBC45">
            <w:pPr>
              <w:rPr>
                <w:rFonts w:ascii="Arial"/>
                <w:color w:val="auto"/>
                <w:sz w:val="21"/>
                <w:highlight w:val="none"/>
              </w:rPr>
            </w:pPr>
          </w:p>
        </w:tc>
        <w:tc>
          <w:tcPr>
            <w:tcW w:w="1165" w:type="dxa"/>
            <w:vAlign w:val="top"/>
          </w:tcPr>
          <w:p w14:paraId="08052725">
            <w:pPr>
              <w:rPr>
                <w:rFonts w:ascii="Arial"/>
                <w:color w:val="auto"/>
                <w:sz w:val="21"/>
                <w:highlight w:val="none"/>
              </w:rPr>
            </w:pPr>
          </w:p>
        </w:tc>
        <w:tc>
          <w:tcPr>
            <w:tcW w:w="830" w:type="dxa"/>
            <w:vAlign w:val="top"/>
          </w:tcPr>
          <w:p w14:paraId="42918792">
            <w:pPr>
              <w:rPr>
                <w:rFonts w:ascii="Arial"/>
                <w:color w:val="auto"/>
                <w:sz w:val="21"/>
                <w:highlight w:val="none"/>
              </w:rPr>
            </w:pPr>
          </w:p>
        </w:tc>
        <w:tc>
          <w:tcPr>
            <w:tcW w:w="1573" w:type="dxa"/>
            <w:tcBorders>
              <w:right w:val="single" w:color="000000" w:sz="4" w:space="0"/>
            </w:tcBorders>
            <w:vAlign w:val="top"/>
          </w:tcPr>
          <w:p w14:paraId="3A0F8800">
            <w:pPr>
              <w:rPr>
                <w:rFonts w:ascii="Arial"/>
                <w:color w:val="auto"/>
                <w:sz w:val="21"/>
                <w:highlight w:val="none"/>
              </w:rPr>
            </w:pPr>
          </w:p>
        </w:tc>
      </w:tr>
      <w:tr w14:paraId="48DB5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167D1DF1">
            <w:pPr>
              <w:rPr>
                <w:rFonts w:ascii="Arial"/>
                <w:color w:val="auto"/>
                <w:sz w:val="21"/>
                <w:highlight w:val="none"/>
              </w:rPr>
            </w:pPr>
          </w:p>
        </w:tc>
        <w:tc>
          <w:tcPr>
            <w:tcW w:w="2173" w:type="dxa"/>
            <w:vAlign w:val="top"/>
          </w:tcPr>
          <w:p w14:paraId="388118C2">
            <w:pPr>
              <w:rPr>
                <w:rFonts w:ascii="Arial"/>
                <w:color w:val="auto"/>
                <w:sz w:val="21"/>
                <w:highlight w:val="none"/>
              </w:rPr>
            </w:pPr>
          </w:p>
        </w:tc>
        <w:tc>
          <w:tcPr>
            <w:tcW w:w="1076" w:type="dxa"/>
            <w:tcBorders>
              <w:right w:val="single" w:color="000000" w:sz="4" w:space="0"/>
            </w:tcBorders>
            <w:vAlign w:val="top"/>
          </w:tcPr>
          <w:p w14:paraId="6D42F636">
            <w:pPr>
              <w:rPr>
                <w:rFonts w:ascii="Arial"/>
                <w:color w:val="auto"/>
                <w:sz w:val="21"/>
                <w:highlight w:val="none"/>
              </w:rPr>
            </w:pPr>
          </w:p>
        </w:tc>
        <w:tc>
          <w:tcPr>
            <w:tcW w:w="1081" w:type="dxa"/>
            <w:tcBorders>
              <w:left w:val="single" w:color="000000" w:sz="4" w:space="0"/>
            </w:tcBorders>
            <w:vAlign w:val="top"/>
          </w:tcPr>
          <w:p w14:paraId="7065DAFE">
            <w:pPr>
              <w:rPr>
                <w:rFonts w:ascii="Arial"/>
                <w:color w:val="auto"/>
                <w:sz w:val="21"/>
                <w:highlight w:val="none"/>
              </w:rPr>
            </w:pPr>
          </w:p>
        </w:tc>
        <w:tc>
          <w:tcPr>
            <w:tcW w:w="1165" w:type="dxa"/>
            <w:vAlign w:val="top"/>
          </w:tcPr>
          <w:p w14:paraId="146F503B">
            <w:pPr>
              <w:rPr>
                <w:rFonts w:ascii="Arial"/>
                <w:color w:val="auto"/>
                <w:sz w:val="21"/>
                <w:highlight w:val="none"/>
              </w:rPr>
            </w:pPr>
          </w:p>
        </w:tc>
        <w:tc>
          <w:tcPr>
            <w:tcW w:w="830" w:type="dxa"/>
            <w:vAlign w:val="top"/>
          </w:tcPr>
          <w:p w14:paraId="1CB96A33">
            <w:pPr>
              <w:rPr>
                <w:rFonts w:ascii="Arial"/>
                <w:color w:val="auto"/>
                <w:sz w:val="21"/>
                <w:highlight w:val="none"/>
              </w:rPr>
            </w:pPr>
          </w:p>
        </w:tc>
        <w:tc>
          <w:tcPr>
            <w:tcW w:w="1573" w:type="dxa"/>
            <w:tcBorders>
              <w:right w:val="single" w:color="000000" w:sz="4" w:space="0"/>
            </w:tcBorders>
            <w:vAlign w:val="top"/>
          </w:tcPr>
          <w:p w14:paraId="2051C286">
            <w:pPr>
              <w:rPr>
                <w:rFonts w:ascii="Arial"/>
                <w:color w:val="auto"/>
                <w:sz w:val="21"/>
                <w:highlight w:val="none"/>
              </w:rPr>
            </w:pPr>
          </w:p>
        </w:tc>
      </w:tr>
      <w:tr w14:paraId="66188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02538FFC">
            <w:pPr>
              <w:rPr>
                <w:rFonts w:ascii="Arial"/>
                <w:color w:val="auto"/>
                <w:sz w:val="21"/>
                <w:highlight w:val="none"/>
              </w:rPr>
            </w:pPr>
          </w:p>
        </w:tc>
        <w:tc>
          <w:tcPr>
            <w:tcW w:w="2173" w:type="dxa"/>
            <w:vAlign w:val="top"/>
          </w:tcPr>
          <w:p w14:paraId="7880B7EA">
            <w:pPr>
              <w:rPr>
                <w:rFonts w:ascii="Arial"/>
                <w:color w:val="auto"/>
                <w:sz w:val="21"/>
                <w:highlight w:val="none"/>
              </w:rPr>
            </w:pPr>
          </w:p>
        </w:tc>
        <w:tc>
          <w:tcPr>
            <w:tcW w:w="1076" w:type="dxa"/>
            <w:tcBorders>
              <w:right w:val="single" w:color="000000" w:sz="4" w:space="0"/>
            </w:tcBorders>
            <w:vAlign w:val="top"/>
          </w:tcPr>
          <w:p w14:paraId="50750F41">
            <w:pPr>
              <w:rPr>
                <w:rFonts w:ascii="Arial"/>
                <w:color w:val="auto"/>
                <w:sz w:val="21"/>
                <w:highlight w:val="none"/>
              </w:rPr>
            </w:pPr>
          </w:p>
        </w:tc>
        <w:tc>
          <w:tcPr>
            <w:tcW w:w="1081" w:type="dxa"/>
            <w:tcBorders>
              <w:left w:val="single" w:color="000000" w:sz="4" w:space="0"/>
            </w:tcBorders>
            <w:vAlign w:val="top"/>
          </w:tcPr>
          <w:p w14:paraId="3E5F8260">
            <w:pPr>
              <w:rPr>
                <w:rFonts w:ascii="Arial"/>
                <w:color w:val="auto"/>
                <w:sz w:val="21"/>
                <w:highlight w:val="none"/>
              </w:rPr>
            </w:pPr>
          </w:p>
        </w:tc>
        <w:tc>
          <w:tcPr>
            <w:tcW w:w="1165" w:type="dxa"/>
            <w:vAlign w:val="top"/>
          </w:tcPr>
          <w:p w14:paraId="5BAF96E7">
            <w:pPr>
              <w:rPr>
                <w:rFonts w:ascii="Arial"/>
                <w:color w:val="auto"/>
                <w:sz w:val="21"/>
                <w:highlight w:val="none"/>
              </w:rPr>
            </w:pPr>
          </w:p>
        </w:tc>
        <w:tc>
          <w:tcPr>
            <w:tcW w:w="830" w:type="dxa"/>
            <w:vAlign w:val="top"/>
          </w:tcPr>
          <w:p w14:paraId="37CECE1E">
            <w:pPr>
              <w:rPr>
                <w:rFonts w:ascii="Arial"/>
                <w:color w:val="auto"/>
                <w:sz w:val="21"/>
                <w:highlight w:val="none"/>
              </w:rPr>
            </w:pPr>
          </w:p>
        </w:tc>
        <w:tc>
          <w:tcPr>
            <w:tcW w:w="1573" w:type="dxa"/>
            <w:tcBorders>
              <w:right w:val="single" w:color="000000" w:sz="4" w:space="0"/>
            </w:tcBorders>
            <w:vAlign w:val="top"/>
          </w:tcPr>
          <w:p w14:paraId="4F92DBAC">
            <w:pPr>
              <w:rPr>
                <w:rFonts w:ascii="Arial"/>
                <w:color w:val="auto"/>
                <w:sz w:val="21"/>
                <w:highlight w:val="none"/>
              </w:rPr>
            </w:pPr>
          </w:p>
        </w:tc>
      </w:tr>
      <w:tr w14:paraId="7436E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14:paraId="2031242F">
            <w:pPr>
              <w:rPr>
                <w:rFonts w:ascii="Arial"/>
                <w:color w:val="auto"/>
                <w:sz w:val="21"/>
                <w:highlight w:val="none"/>
              </w:rPr>
            </w:pPr>
          </w:p>
        </w:tc>
        <w:tc>
          <w:tcPr>
            <w:tcW w:w="2173" w:type="dxa"/>
            <w:tcBorders>
              <w:bottom w:val="single" w:color="000000" w:sz="4" w:space="0"/>
            </w:tcBorders>
            <w:vAlign w:val="top"/>
          </w:tcPr>
          <w:p w14:paraId="0F0562F8">
            <w:pPr>
              <w:spacing w:line="286" w:lineRule="auto"/>
              <w:rPr>
                <w:rFonts w:ascii="Arial"/>
                <w:color w:val="auto"/>
                <w:sz w:val="21"/>
                <w:highlight w:val="none"/>
              </w:rPr>
            </w:pPr>
          </w:p>
          <w:p w14:paraId="742876E0">
            <w:pPr>
              <w:pStyle w:val="18"/>
              <w:spacing w:before="68" w:line="222" w:lineRule="auto"/>
              <w:ind w:left="876"/>
              <w:rPr>
                <w:color w:val="auto"/>
                <w:highlight w:val="none"/>
              </w:rPr>
            </w:pPr>
            <w:r>
              <w:rPr>
                <w:color w:val="auto"/>
                <w:spacing w:val="-2"/>
                <w:highlight w:val="none"/>
              </w:rPr>
              <w:t>合计</w:t>
            </w:r>
          </w:p>
        </w:tc>
        <w:tc>
          <w:tcPr>
            <w:tcW w:w="1076" w:type="dxa"/>
            <w:tcBorders>
              <w:bottom w:val="single" w:color="000000" w:sz="4" w:space="0"/>
              <w:right w:val="single" w:color="000000" w:sz="4" w:space="0"/>
            </w:tcBorders>
            <w:vAlign w:val="top"/>
          </w:tcPr>
          <w:p w14:paraId="0AC88F24">
            <w:pPr>
              <w:spacing w:line="385" w:lineRule="auto"/>
              <w:rPr>
                <w:rFonts w:ascii="Arial"/>
                <w:color w:val="auto"/>
                <w:sz w:val="21"/>
                <w:highlight w:val="none"/>
              </w:rPr>
            </w:pPr>
          </w:p>
          <w:p w14:paraId="4898ABD2">
            <w:pPr>
              <w:pStyle w:val="18"/>
              <w:spacing w:before="68" w:line="142" w:lineRule="exact"/>
              <w:ind w:left="438"/>
              <w:rPr>
                <w:color w:val="auto"/>
                <w:highlight w:val="none"/>
              </w:rPr>
            </w:pPr>
            <w:r>
              <w:rPr>
                <w:color w:val="auto"/>
                <w:position w:val="-3"/>
                <w:highlight w:val="none"/>
              </w:rPr>
              <w:t>—</w:t>
            </w:r>
          </w:p>
        </w:tc>
        <w:tc>
          <w:tcPr>
            <w:tcW w:w="1081" w:type="dxa"/>
            <w:tcBorders>
              <w:left w:val="single" w:color="000000" w:sz="4" w:space="0"/>
              <w:bottom w:val="single" w:color="000000" w:sz="4" w:space="0"/>
            </w:tcBorders>
            <w:vAlign w:val="top"/>
          </w:tcPr>
          <w:p w14:paraId="09863C50">
            <w:pPr>
              <w:spacing w:line="385" w:lineRule="auto"/>
              <w:rPr>
                <w:rFonts w:ascii="Arial"/>
                <w:color w:val="auto"/>
                <w:sz w:val="21"/>
                <w:highlight w:val="none"/>
              </w:rPr>
            </w:pPr>
          </w:p>
          <w:p w14:paraId="2715E779">
            <w:pPr>
              <w:pStyle w:val="18"/>
              <w:spacing w:before="68" w:line="142" w:lineRule="exact"/>
              <w:ind w:left="440"/>
              <w:rPr>
                <w:color w:val="auto"/>
                <w:highlight w:val="none"/>
              </w:rPr>
            </w:pPr>
            <w:r>
              <w:rPr>
                <w:color w:val="auto"/>
                <w:position w:val="-3"/>
                <w:highlight w:val="none"/>
              </w:rPr>
              <w:t>—</w:t>
            </w:r>
          </w:p>
        </w:tc>
        <w:tc>
          <w:tcPr>
            <w:tcW w:w="1165" w:type="dxa"/>
            <w:tcBorders>
              <w:bottom w:val="single" w:color="000000" w:sz="4" w:space="0"/>
            </w:tcBorders>
            <w:vAlign w:val="top"/>
          </w:tcPr>
          <w:p w14:paraId="398AAD90">
            <w:pPr>
              <w:rPr>
                <w:rFonts w:ascii="Arial"/>
                <w:color w:val="auto"/>
                <w:sz w:val="21"/>
                <w:highlight w:val="none"/>
              </w:rPr>
            </w:pPr>
          </w:p>
        </w:tc>
        <w:tc>
          <w:tcPr>
            <w:tcW w:w="830" w:type="dxa"/>
            <w:tcBorders>
              <w:bottom w:val="single" w:color="000000" w:sz="4" w:space="0"/>
            </w:tcBorders>
            <w:vAlign w:val="top"/>
          </w:tcPr>
          <w:p w14:paraId="5F644603">
            <w:pPr>
              <w:spacing w:line="385" w:lineRule="auto"/>
              <w:rPr>
                <w:rFonts w:ascii="Arial"/>
                <w:color w:val="auto"/>
                <w:sz w:val="21"/>
                <w:highlight w:val="none"/>
              </w:rPr>
            </w:pPr>
          </w:p>
          <w:p w14:paraId="5B80D182">
            <w:pPr>
              <w:pStyle w:val="18"/>
              <w:spacing w:before="68" w:line="142" w:lineRule="exact"/>
              <w:ind w:left="314"/>
              <w:rPr>
                <w:color w:val="auto"/>
                <w:highlight w:val="none"/>
              </w:rPr>
            </w:pPr>
            <w:r>
              <w:rPr>
                <w:color w:val="auto"/>
                <w:position w:val="-3"/>
                <w:highlight w:val="none"/>
              </w:rPr>
              <w:t>—</w:t>
            </w:r>
          </w:p>
        </w:tc>
        <w:tc>
          <w:tcPr>
            <w:tcW w:w="1573" w:type="dxa"/>
            <w:tcBorders>
              <w:bottom w:val="single" w:color="000000" w:sz="4" w:space="0"/>
              <w:right w:val="single" w:color="000000" w:sz="4" w:space="0"/>
            </w:tcBorders>
            <w:vAlign w:val="top"/>
          </w:tcPr>
          <w:p w14:paraId="30D53902">
            <w:pPr>
              <w:rPr>
                <w:rFonts w:ascii="Arial"/>
                <w:color w:val="auto"/>
                <w:sz w:val="21"/>
                <w:highlight w:val="none"/>
              </w:rPr>
            </w:pPr>
          </w:p>
        </w:tc>
      </w:tr>
    </w:tbl>
    <w:p w14:paraId="0F63C18A">
      <w:pPr>
        <w:spacing w:before="150" w:line="228" w:lineRule="auto"/>
        <w:ind w:left="551" w:right="125" w:hanging="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注：此表项目名称、服务内容由招标人填写， 编制招</w:t>
      </w:r>
      <w:r>
        <w:rPr>
          <w:rFonts w:ascii="宋体" w:hAnsi="宋体" w:eastAsia="宋体" w:cs="宋体"/>
          <w:color w:val="auto"/>
          <w:spacing w:val="-3"/>
          <w:sz w:val="21"/>
          <w:szCs w:val="21"/>
          <w:highlight w:val="none"/>
        </w:rPr>
        <w:t>标控制价时， 费率及金额由招标人按</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有关计价规定确定： 投标时，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rPr>
        <w:t>费率及金额由投标人自主报价</w:t>
      </w:r>
      <w:r>
        <w:rPr>
          <w:rFonts w:ascii="宋体" w:hAnsi="宋体" w:eastAsia="宋体" w:cs="宋体"/>
          <w:color w:val="auto"/>
          <w:spacing w:val="-8"/>
          <w:sz w:val="21"/>
          <w:szCs w:val="21"/>
          <w:highlight w:val="none"/>
        </w:rPr>
        <w:t>，计入投标总价中。</w:t>
      </w:r>
    </w:p>
    <w:p w14:paraId="5229DB34">
      <w:pPr>
        <w:spacing w:line="228" w:lineRule="auto"/>
        <w:rPr>
          <w:rFonts w:ascii="宋体" w:hAnsi="宋体" w:eastAsia="宋体" w:cs="宋体"/>
          <w:color w:val="auto"/>
          <w:sz w:val="21"/>
          <w:szCs w:val="21"/>
          <w:highlight w:val="none"/>
        </w:rPr>
        <w:sectPr>
          <w:footerReference r:id="rId138" w:type="default"/>
          <w:pgSz w:w="11905" w:h="16839"/>
          <w:pgMar w:top="400" w:right="1671" w:bottom="1004" w:left="1675" w:header="0" w:footer="828" w:gutter="0"/>
          <w:pgNumType w:fmt="decimal"/>
          <w:cols w:space="720" w:num="1"/>
        </w:sectPr>
      </w:pPr>
    </w:p>
    <w:p w14:paraId="193CA39E">
      <w:pPr>
        <w:pStyle w:val="5"/>
        <w:spacing w:line="267" w:lineRule="auto"/>
        <w:rPr>
          <w:color w:val="auto"/>
          <w:highlight w:val="none"/>
        </w:rPr>
      </w:pPr>
    </w:p>
    <w:p w14:paraId="2A8E5C12">
      <w:pPr>
        <w:pStyle w:val="5"/>
        <w:spacing w:line="268" w:lineRule="auto"/>
        <w:rPr>
          <w:color w:val="auto"/>
          <w:highlight w:val="none"/>
        </w:rPr>
      </w:pPr>
    </w:p>
    <w:p w14:paraId="53BF57F1">
      <w:pPr>
        <w:pStyle w:val="5"/>
        <w:spacing w:line="268" w:lineRule="auto"/>
        <w:rPr>
          <w:color w:val="auto"/>
          <w:highlight w:val="none"/>
        </w:rPr>
      </w:pPr>
    </w:p>
    <w:p w14:paraId="10FC9868">
      <w:pPr>
        <w:pStyle w:val="5"/>
        <w:spacing w:line="268" w:lineRule="auto"/>
        <w:rPr>
          <w:color w:val="auto"/>
          <w:highlight w:val="none"/>
        </w:rPr>
      </w:pPr>
    </w:p>
    <w:p w14:paraId="075D432D">
      <w:pPr>
        <w:spacing w:before="78" w:line="218" w:lineRule="auto"/>
        <w:ind w:left="1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4.13 </w:t>
      </w:r>
      <w:r>
        <w:rPr>
          <w:rFonts w:ascii="黑体" w:hAnsi="黑体" w:eastAsia="黑体" w:cs="黑体"/>
          <w:color w:val="auto"/>
          <w:spacing w:val="-1"/>
          <w:sz w:val="24"/>
          <w:szCs w:val="24"/>
          <w:highlight w:val="none"/>
        </w:rPr>
        <w:t>规费、税金项目计价表</w:t>
      </w:r>
    </w:p>
    <w:p w14:paraId="4541AF17">
      <w:pPr>
        <w:pStyle w:val="5"/>
        <w:spacing w:line="385" w:lineRule="auto"/>
        <w:rPr>
          <w:color w:val="auto"/>
          <w:highlight w:val="none"/>
        </w:rPr>
      </w:pPr>
    </w:p>
    <w:p w14:paraId="49010067">
      <w:pPr>
        <w:spacing w:before="87" w:line="224" w:lineRule="auto"/>
        <w:ind w:left="2880"/>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规费、税金项目计价表</w:t>
      </w:r>
    </w:p>
    <w:p w14:paraId="5D64FBBB">
      <w:pPr>
        <w:spacing w:before="49"/>
        <w:rPr>
          <w:color w:val="auto"/>
          <w:highlight w:val="none"/>
        </w:rPr>
      </w:pPr>
    </w:p>
    <w:p w14:paraId="23A8FCC7">
      <w:pPr>
        <w:spacing w:before="49"/>
        <w:rPr>
          <w:color w:val="auto"/>
          <w:highlight w:val="none"/>
        </w:rPr>
      </w:pPr>
    </w:p>
    <w:p w14:paraId="75319A5F">
      <w:pPr>
        <w:rPr>
          <w:color w:val="auto"/>
          <w:highlight w:val="none"/>
        </w:rPr>
        <w:sectPr>
          <w:footerReference r:id="rId139" w:type="default"/>
          <w:pgSz w:w="11905" w:h="16839"/>
          <w:pgMar w:top="400" w:right="1681" w:bottom="1004" w:left="1680" w:header="0" w:footer="829" w:gutter="0"/>
          <w:pgNumType w:fmt="decimal"/>
          <w:cols w:equalWidth="0" w:num="1">
            <w:col w:w="8543"/>
          </w:cols>
        </w:sectPr>
      </w:pPr>
    </w:p>
    <w:p w14:paraId="54D09F07">
      <w:pPr>
        <w:spacing w:before="41" w:line="186" w:lineRule="auto"/>
        <w:ind w:left="12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06400C15">
      <w:pPr>
        <w:pStyle w:val="5"/>
        <w:spacing w:line="14" w:lineRule="auto"/>
        <w:rPr>
          <w:color w:val="auto"/>
          <w:sz w:val="2"/>
          <w:highlight w:val="none"/>
        </w:rPr>
      </w:pPr>
      <w:r>
        <w:rPr>
          <w:color w:val="auto"/>
          <w:sz w:val="2"/>
          <w:szCs w:val="2"/>
          <w:highlight w:val="none"/>
        </w:rPr>
        <w:br w:type="column"/>
      </w:r>
    </w:p>
    <w:p w14:paraId="57A13FB9">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p w14:paraId="0AF6E8F3">
      <w:pPr>
        <w:spacing w:line="186" w:lineRule="auto"/>
        <w:rPr>
          <w:rFonts w:ascii="宋体" w:hAnsi="宋体" w:eastAsia="宋体" w:cs="宋体"/>
          <w:color w:val="auto"/>
          <w:sz w:val="21"/>
          <w:szCs w:val="21"/>
          <w:highlight w:val="none"/>
        </w:rPr>
        <w:sectPr>
          <w:type w:val="continuous"/>
          <w:pgSz w:w="11905" w:h="16839"/>
          <w:pgMar w:top="400" w:right="1681" w:bottom="1004" w:left="1680" w:header="0" w:footer="829" w:gutter="0"/>
          <w:pgNumType w:fmt="decimal"/>
          <w:cols w:equalWidth="0" w:num="2">
            <w:col w:w="2339" w:space="100"/>
            <w:col w:w="6104"/>
          </w:cols>
        </w:sectPr>
      </w:pPr>
    </w:p>
    <w:p w14:paraId="4ADA7D68">
      <w:pPr>
        <w:spacing w:line="32" w:lineRule="exact"/>
        <w:rPr>
          <w:color w:val="auto"/>
          <w:highlight w:val="none"/>
        </w:rPr>
      </w:pPr>
    </w:p>
    <w:tbl>
      <w:tblPr>
        <w:tblStyle w:val="17"/>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14:paraId="25DF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14:paraId="42EA2783">
            <w:pPr>
              <w:pStyle w:val="18"/>
              <w:spacing w:before="283" w:line="222" w:lineRule="auto"/>
              <w:ind w:left="285"/>
              <w:rPr>
                <w:color w:val="auto"/>
                <w:highlight w:val="none"/>
              </w:rPr>
            </w:pPr>
            <w:r>
              <w:rPr>
                <w:color w:val="auto"/>
                <w:spacing w:val="-2"/>
                <w:highlight w:val="none"/>
              </w:rPr>
              <w:t>序号</w:t>
            </w:r>
          </w:p>
        </w:tc>
        <w:tc>
          <w:tcPr>
            <w:tcW w:w="1789" w:type="dxa"/>
            <w:tcBorders>
              <w:top w:val="single" w:color="000000" w:sz="4" w:space="0"/>
            </w:tcBorders>
            <w:vAlign w:val="top"/>
          </w:tcPr>
          <w:p w14:paraId="28B19E66">
            <w:pPr>
              <w:pStyle w:val="18"/>
              <w:spacing w:before="284" w:line="221" w:lineRule="auto"/>
              <w:ind w:left="476"/>
              <w:rPr>
                <w:color w:val="auto"/>
                <w:highlight w:val="none"/>
              </w:rPr>
            </w:pPr>
            <w:r>
              <w:rPr>
                <w:color w:val="auto"/>
                <w:spacing w:val="-2"/>
                <w:highlight w:val="none"/>
              </w:rPr>
              <w:t>项目名称</w:t>
            </w:r>
          </w:p>
        </w:tc>
        <w:tc>
          <w:tcPr>
            <w:tcW w:w="1789" w:type="dxa"/>
            <w:tcBorders>
              <w:top w:val="single" w:color="000000" w:sz="4" w:space="0"/>
            </w:tcBorders>
            <w:vAlign w:val="top"/>
          </w:tcPr>
          <w:p w14:paraId="7B4AB927">
            <w:pPr>
              <w:pStyle w:val="18"/>
              <w:spacing w:before="283" w:line="221" w:lineRule="auto"/>
              <w:ind w:left="474"/>
              <w:rPr>
                <w:color w:val="auto"/>
                <w:highlight w:val="none"/>
              </w:rPr>
            </w:pPr>
            <w:r>
              <w:rPr>
                <w:color w:val="auto"/>
                <w:spacing w:val="-1"/>
                <w:highlight w:val="none"/>
              </w:rPr>
              <w:t>计算基础</w:t>
            </w:r>
          </w:p>
        </w:tc>
        <w:tc>
          <w:tcPr>
            <w:tcW w:w="1223" w:type="dxa"/>
            <w:tcBorders>
              <w:top w:val="single" w:color="000000" w:sz="4" w:space="0"/>
            </w:tcBorders>
            <w:vAlign w:val="top"/>
          </w:tcPr>
          <w:p w14:paraId="13BAF6BA">
            <w:pPr>
              <w:pStyle w:val="18"/>
              <w:spacing w:before="283" w:line="221" w:lineRule="auto"/>
              <w:ind w:left="193"/>
              <w:rPr>
                <w:color w:val="auto"/>
                <w:highlight w:val="none"/>
              </w:rPr>
            </w:pPr>
            <w:r>
              <w:rPr>
                <w:color w:val="auto"/>
                <w:spacing w:val="-1"/>
                <w:highlight w:val="none"/>
              </w:rPr>
              <w:t>计算基数</w:t>
            </w:r>
          </w:p>
        </w:tc>
        <w:tc>
          <w:tcPr>
            <w:tcW w:w="1362" w:type="dxa"/>
            <w:tcBorders>
              <w:top w:val="single" w:color="000000" w:sz="4" w:space="0"/>
            </w:tcBorders>
            <w:vAlign w:val="top"/>
          </w:tcPr>
          <w:p w14:paraId="5CCFADBE">
            <w:pPr>
              <w:pStyle w:val="18"/>
              <w:spacing w:before="284" w:line="234" w:lineRule="auto"/>
              <w:ind w:left="196"/>
              <w:rPr>
                <w:color w:val="auto"/>
                <w:highlight w:val="none"/>
              </w:rPr>
            </w:pPr>
            <w:r>
              <w:rPr>
                <w:color w:val="auto"/>
                <w:spacing w:val="-3"/>
                <w:highlight w:val="none"/>
              </w:rPr>
              <w:t>费率（</w:t>
            </w:r>
            <w:r>
              <w:rPr>
                <w:rFonts w:ascii="Times New Roman" w:hAnsi="Times New Roman" w:eastAsia="Times New Roman" w:cs="Times New Roman"/>
                <w:color w:val="auto"/>
                <w:spacing w:val="-3"/>
                <w:highlight w:val="none"/>
              </w:rPr>
              <w:t>%</w:t>
            </w:r>
            <w:r>
              <w:rPr>
                <w:color w:val="auto"/>
                <w:spacing w:val="-3"/>
                <w:highlight w:val="none"/>
              </w:rPr>
              <w:t>）</w:t>
            </w:r>
          </w:p>
        </w:tc>
        <w:tc>
          <w:tcPr>
            <w:tcW w:w="1376" w:type="dxa"/>
            <w:tcBorders>
              <w:top w:val="single" w:color="000000" w:sz="4" w:space="0"/>
              <w:right w:val="single" w:color="000000" w:sz="4" w:space="0"/>
            </w:tcBorders>
            <w:vAlign w:val="top"/>
          </w:tcPr>
          <w:p w14:paraId="478A163A">
            <w:pPr>
              <w:pStyle w:val="18"/>
              <w:spacing w:before="283" w:line="221" w:lineRule="auto"/>
              <w:ind w:left="174"/>
              <w:rPr>
                <w:color w:val="auto"/>
                <w:highlight w:val="none"/>
              </w:rPr>
            </w:pPr>
            <w:r>
              <w:rPr>
                <w:color w:val="auto"/>
                <w:spacing w:val="-3"/>
                <w:highlight w:val="none"/>
              </w:rPr>
              <w:t>金额（元）</w:t>
            </w:r>
          </w:p>
        </w:tc>
      </w:tr>
      <w:tr w14:paraId="7B5FC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14:paraId="74931910">
            <w:pPr>
              <w:spacing w:line="249" w:lineRule="auto"/>
              <w:rPr>
                <w:rFonts w:ascii="Arial"/>
                <w:color w:val="auto"/>
                <w:sz w:val="21"/>
                <w:highlight w:val="none"/>
              </w:rPr>
            </w:pPr>
          </w:p>
          <w:p w14:paraId="174E2943">
            <w:pPr>
              <w:spacing w:before="69" w:line="183" w:lineRule="auto"/>
              <w:ind w:left="4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789" w:type="dxa"/>
            <w:vAlign w:val="top"/>
          </w:tcPr>
          <w:p w14:paraId="2E096FA5">
            <w:pPr>
              <w:pStyle w:val="18"/>
              <w:spacing w:before="285" w:line="221" w:lineRule="auto"/>
              <w:ind w:left="684"/>
              <w:rPr>
                <w:color w:val="auto"/>
                <w:highlight w:val="none"/>
              </w:rPr>
            </w:pPr>
            <w:r>
              <w:rPr>
                <w:color w:val="auto"/>
                <w:spacing w:val="-2"/>
                <w:highlight w:val="none"/>
              </w:rPr>
              <w:t>规费</w:t>
            </w:r>
          </w:p>
        </w:tc>
        <w:tc>
          <w:tcPr>
            <w:tcW w:w="1789" w:type="dxa"/>
            <w:vAlign w:val="top"/>
          </w:tcPr>
          <w:p w14:paraId="4348001C">
            <w:pPr>
              <w:rPr>
                <w:rFonts w:ascii="Arial"/>
                <w:color w:val="auto"/>
                <w:sz w:val="21"/>
                <w:highlight w:val="none"/>
              </w:rPr>
            </w:pPr>
          </w:p>
        </w:tc>
        <w:tc>
          <w:tcPr>
            <w:tcW w:w="1223" w:type="dxa"/>
            <w:vAlign w:val="top"/>
          </w:tcPr>
          <w:p w14:paraId="04DAAD28">
            <w:pPr>
              <w:rPr>
                <w:rFonts w:ascii="Arial"/>
                <w:color w:val="auto"/>
                <w:sz w:val="21"/>
                <w:highlight w:val="none"/>
              </w:rPr>
            </w:pPr>
          </w:p>
        </w:tc>
        <w:tc>
          <w:tcPr>
            <w:tcW w:w="1362" w:type="dxa"/>
            <w:vAlign w:val="top"/>
          </w:tcPr>
          <w:p w14:paraId="1A25121B">
            <w:pPr>
              <w:rPr>
                <w:rFonts w:ascii="Arial"/>
                <w:color w:val="auto"/>
                <w:sz w:val="21"/>
                <w:highlight w:val="none"/>
              </w:rPr>
            </w:pPr>
          </w:p>
        </w:tc>
        <w:tc>
          <w:tcPr>
            <w:tcW w:w="1376" w:type="dxa"/>
            <w:tcBorders>
              <w:right w:val="single" w:color="000000" w:sz="4" w:space="0"/>
            </w:tcBorders>
            <w:vAlign w:val="top"/>
          </w:tcPr>
          <w:p w14:paraId="60600018">
            <w:pPr>
              <w:rPr>
                <w:rFonts w:ascii="Arial"/>
                <w:color w:val="auto"/>
                <w:sz w:val="21"/>
                <w:highlight w:val="none"/>
              </w:rPr>
            </w:pPr>
          </w:p>
        </w:tc>
      </w:tr>
      <w:tr w14:paraId="7E592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93" w:type="dxa"/>
            <w:tcBorders>
              <w:left w:val="single" w:color="000000" w:sz="4" w:space="0"/>
              <w:bottom w:val="single" w:color="000000" w:sz="4" w:space="0"/>
            </w:tcBorders>
            <w:vAlign w:val="top"/>
          </w:tcPr>
          <w:p w14:paraId="4672EE3A">
            <w:pPr>
              <w:rPr>
                <w:rFonts w:ascii="Arial"/>
                <w:color w:val="auto"/>
                <w:sz w:val="21"/>
                <w:highlight w:val="none"/>
              </w:rPr>
            </w:pPr>
          </w:p>
          <w:p w14:paraId="4A9F7615">
            <w:pPr>
              <w:spacing w:before="68" w:line="183"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1.1</w:t>
            </w:r>
          </w:p>
        </w:tc>
        <w:tc>
          <w:tcPr>
            <w:tcW w:w="1789" w:type="dxa"/>
            <w:vAlign w:val="top"/>
          </w:tcPr>
          <w:p w14:paraId="7FFF5945">
            <w:pPr>
              <w:pStyle w:val="18"/>
              <w:spacing w:before="275" w:line="220" w:lineRule="auto"/>
              <w:ind w:left="368"/>
              <w:rPr>
                <w:color w:val="auto"/>
                <w:highlight w:val="none"/>
              </w:rPr>
            </w:pPr>
            <w:r>
              <w:rPr>
                <w:color w:val="auto"/>
                <w:spacing w:val="-1"/>
                <w:highlight w:val="none"/>
              </w:rPr>
              <w:t>社会保险费</w:t>
            </w:r>
          </w:p>
        </w:tc>
        <w:tc>
          <w:tcPr>
            <w:tcW w:w="1789" w:type="dxa"/>
            <w:vAlign w:val="top"/>
          </w:tcPr>
          <w:p w14:paraId="64D5BFF0">
            <w:pPr>
              <w:rPr>
                <w:rFonts w:ascii="Arial"/>
                <w:color w:val="auto"/>
                <w:sz w:val="21"/>
                <w:highlight w:val="none"/>
              </w:rPr>
            </w:pPr>
          </w:p>
        </w:tc>
        <w:tc>
          <w:tcPr>
            <w:tcW w:w="1223" w:type="dxa"/>
            <w:vAlign w:val="top"/>
          </w:tcPr>
          <w:p w14:paraId="27837878">
            <w:pPr>
              <w:rPr>
                <w:rFonts w:ascii="Arial"/>
                <w:color w:val="auto"/>
                <w:sz w:val="21"/>
                <w:highlight w:val="none"/>
              </w:rPr>
            </w:pPr>
          </w:p>
        </w:tc>
        <w:tc>
          <w:tcPr>
            <w:tcW w:w="1362" w:type="dxa"/>
            <w:vAlign w:val="top"/>
          </w:tcPr>
          <w:p w14:paraId="252A03D9">
            <w:pPr>
              <w:rPr>
                <w:rFonts w:ascii="Arial"/>
                <w:color w:val="auto"/>
                <w:sz w:val="21"/>
                <w:highlight w:val="none"/>
              </w:rPr>
            </w:pPr>
          </w:p>
        </w:tc>
        <w:tc>
          <w:tcPr>
            <w:tcW w:w="1376" w:type="dxa"/>
            <w:tcBorders>
              <w:right w:val="single" w:color="000000" w:sz="4" w:space="0"/>
            </w:tcBorders>
            <w:vAlign w:val="top"/>
          </w:tcPr>
          <w:p w14:paraId="4C78037C">
            <w:pPr>
              <w:rPr>
                <w:rFonts w:ascii="Arial"/>
                <w:color w:val="auto"/>
                <w:sz w:val="21"/>
                <w:highlight w:val="none"/>
              </w:rPr>
            </w:pPr>
          </w:p>
        </w:tc>
      </w:tr>
      <w:tr w14:paraId="53EF6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14:paraId="06195C79">
            <w:pPr>
              <w:spacing w:before="277"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（1）</w:t>
            </w:r>
          </w:p>
        </w:tc>
        <w:tc>
          <w:tcPr>
            <w:tcW w:w="1789" w:type="dxa"/>
            <w:vAlign w:val="top"/>
          </w:tcPr>
          <w:p w14:paraId="1088AD3B">
            <w:pPr>
              <w:pStyle w:val="18"/>
              <w:spacing w:before="276" w:line="221" w:lineRule="auto"/>
              <w:ind w:left="367"/>
              <w:rPr>
                <w:color w:val="auto"/>
                <w:highlight w:val="none"/>
              </w:rPr>
            </w:pPr>
            <w:r>
              <w:rPr>
                <w:color w:val="auto"/>
                <w:spacing w:val="-1"/>
                <w:highlight w:val="none"/>
              </w:rPr>
              <w:t>养老保险费</w:t>
            </w:r>
          </w:p>
        </w:tc>
        <w:tc>
          <w:tcPr>
            <w:tcW w:w="1789" w:type="dxa"/>
            <w:vAlign w:val="top"/>
          </w:tcPr>
          <w:p w14:paraId="370127C8">
            <w:pPr>
              <w:rPr>
                <w:rFonts w:ascii="Arial"/>
                <w:color w:val="auto"/>
                <w:sz w:val="21"/>
                <w:highlight w:val="none"/>
              </w:rPr>
            </w:pPr>
          </w:p>
        </w:tc>
        <w:tc>
          <w:tcPr>
            <w:tcW w:w="1223" w:type="dxa"/>
            <w:vAlign w:val="top"/>
          </w:tcPr>
          <w:p w14:paraId="1EC5844E">
            <w:pPr>
              <w:rPr>
                <w:rFonts w:ascii="Arial"/>
                <w:color w:val="auto"/>
                <w:sz w:val="21"/>
                <w:highlight w:val="none"/>
              </w:rPr>
            </w:pPr>
          </w:p>
        </w:tc>
        <w:tc>
          <w:tcPr>
            <w:tcW w:w="1362" w:type="dxa"/>
            <w:vAlign w:val="top"/>
          </w:tcPr>
          <w:p w14:paraId="016F801F">
            <w:pPr>
              <w:rPr>
                <w:rFonts w:ascii="Arial"/>
                <w:color w:val="auto"/>
                <w:sz w:val="21"/>
                <w:highlight w:val="none"/>
              </w:rPr>
            </w:pPr>
          </w:p>
        </w:tc>
        <w:tc>
          <w:tcPr>
            <w:tcW w:w="1376" w:type="dxa"/>
            <w:tcBorders>
              <w:right w:val="single" w:color="000000" w:sz="4" w:space="0"/>
            </w:tcBorders>
            <w:vAlign w:val="top"/>
          </w:tcPr>
          <w:p w14:paraId="40AFEF1B">
            <w:pPr>
              <w:rPr>
                <w:rFonts w:ascii="Arial"/>
                <w:color w:val="auto"/>
                <w:sz w:val="21"/>
                <w:highlight w:val="none"/>
              </w:rPr>
            </w:pPr>
          </w:p>
        </w:tc>
      </w:tr>
      <w:tr w14:paraId="26471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14:paraId="0E5AC652">
            <w:pPr>
              <w:spacing w:before="207"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（2）</w:t>
            </w:r>
          </w:p>
        </w:tc>
        <w:tc>
          <w:tcPr>
            <w:tcW w:w="1789" w:type="dxa"/>
            <w:vAlign w:val="top"/>
          </w:tcPr>
          <w:p w14:paraId="2172797E">
            <w:pPr>
              <w:pStyle w:val="18"/>
              <w:spacing w:before="207" w:line="221" w:lineRule="auto"/>
              <w:ind w:left="371"/>
              <w:rPr>
                <w:color w:val="auto"/>
                <w:highlight w:val="none"/>
              </w:rPr>
            </w:pPr>
            <w:r>
              <w:rPr>
                <w:color w:val="auto"/>
                <w:spacing w:val="-2"/>
                <w:highlight w:val="none"/>
              </w:rPr>
              <w:t>失业保险费</w:t>
            </w:r>
          </w:p>
        </w:tc>
        <w:tc>
          <w:tcPr>
            <w:tcW w:w="1789" w:type="dxa"/>
            <w:vAlign w:val="top"/>
          </w:tcPr>
          <w:p w14:paraId="38DBCAB6">
            <w:pPr>
              <w:rPr>
                <w:rFonts w:ascii="Arial"/>
                <w:color w:val="auto"/>
                <w:sz w:val="21"/>
                <w:highlight w:val="none"/>
              </w:rPr>
            </w:pPr>
          </w:p>
        </w:tc>
        <w:tc>
          <w:tcPr>
            <w:tcW w:w="1223" w:type="dxa"/>
            <w:vAlign w:val="top"/>
          </w:tcPr>
          <w:p w14:paraId="4A8C86C7">
            <w:pPr>
              <w:rPr>
                <w:rFonts w:ascii="Arial"/>
                <w:color w:val="auto"/>
                <w:sz w:val="21"/>
                <w:highlight w:val="none"/>
              </w:rPr>
            </w:pPr>
          </w:p>
        </w:tc>
        <w:tc>
          <w:tcPr>
            <w:tcW w:w="1362" w:type="dxa"/>
            <w:vAlign w:val="top"/>
          </w:tcPr>
          <w:p w14:paraId="2EB7EFA9">
            <w:pPr>
              <w:rPr>
                <w:rFonts w:ascii="Arial"/>
                <w:color w:val="auto"/>
                <w:sz w:val="21"/>
                <w:highlight w:val="none"/>
              </w:rPr>
            </w:pPr>
          </w:p>
        </w:tc>
        <w:tc>
          <w:tcPr>
            <w:tcW w:w="1376" w:type="dxa"/>
            <w:tcBorders>
              <w:right w:val="single" w:color="000000" w:sz="4" w:space="0"/>
            </w:tcBorders>
            <w:vAlign w:val="top"/>
          </w:tcPr>
          <w:p w14:paraId="545B03F6">
            <w:pPr>
              <w:rPr>
                <w:rFonts w:ascii="Arial"/>
                <w:color w:val="auto"/>
                <w:sz w:val="21"/>
                <w:highlight w:val="none"/>
              </w:rPr>
            </w:pPr>
          </w:p>
        </w:tc>
      </w:tr>
      <w:tr w14:paraId="75725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14:paraId="4FD92B26">
            <w:pPr>
              <w:spacing w:before="204"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（3）</w:t>
            </w:r>
          </w:p>
        </w:tc>
        <w:tc>
          <w:tcPr>
            <w:tcW w:w="1789" w:type="dxa"/>
            <w:vAlign w:val="top"/>
          </w:tcPr>
          <w:p w14:paraId="64AE0CC4">
            <w:pPr>
              <w:pStyle w:val="18"/>
              <w:spacing w:before="203" w:line="221" w:lineRule="auto"/>
              <w:ind w:left="376"/>
              <w:rPr>
                <w:color w:val="auto"/>
                <w:highlight w:val="none"/>
              </w:rPr>
            </w:pPr>
            <w:r>
              <w:rPr>
                <w:color w:val="auto"/>
                <w:spacing w:val="-2"/>
                <w:highlight w:val="none"/>
              </w:rPr>
              <w:t>医疗保险费</w:t>
            </w:r>
          </w:p>
        </w:tc>
        <w:tc>
          <w:tcPr>
            <w:tcW w:w="1789" w:type="dxa"/>
            <w:vAlign w:val="top"/>
          </w:tcPr>
          <w:p w14:paraId="6F438E73">
            <w:pPr>
              <w:rPr>
                <w:rFonts w:ascii="Arial"/>
                <w:color w:val="auto"/>
                <w:sz w:val="21"/>
                <w:highlight w:val="none"/>
              </w:rPr>
            </w:pPr>
          </w:p>
        </w:tc>
        <w:tc>
          <w:tcPr>
            <w:tcW w:w="1223" w:type="dxa"/>
            <w:vAlign w:val="top"/>
          </w:tcPr>
          <w:p w14:paraId="4A549B07">
            <w:pPr>
              <w:rPr>
                <w:rFonts w:ascii="Arial"/>
                <w:color w:val="auto"/>
                <w:sz w:val="21"/>
                <w:highlight w:val="none"/>
              </w:rPr>
            </w:pPr>
          </w:p>
        </w:tc>
        <w:tc>
          <w:tcPr>
            <w:tcW w:w="1362" w:type="dxa"/>
            <w:vAlign w:val="top"/>
          </w:tcPr>
          <w:p w14:paraId="2D735C3E">
            <w:pPr>
              <w:rPr>
                <w:rFonts w:ascii="Arial"/>
                <w:color w:val="auto"/>
                <w:sz w:val="21"/>
                <w:highlight w:val="none"/>
              </w:rPr>
            </w:pPr>
          </w:p>
        </w:tc>
        <w:tc>
          <w:tcPr>
            <w:tcW w:w="1376" w:type="dxa"/>
            <w:tcBorders>
              <w:right w:val="single" w:color="000000" w:sz="4" w:space="0"/>
            </w:tcBorders>
            <w:vAlign w:val="top"/>
          </w:tcPr>
          <w:p w14:paraId="046A69CA">
            <w:pPr>
              <w:rPr>
                <w:rFonts w:ascii="Arial"/>
                <w:color w:val="auto"/>
                <w:sz w:val="21"/>
                <w:highlight w:val="none"/>
              </w:rPr>
            </w:pPr>
          </w:p>
        </w:tc>
      </w:tr>
      <w:tr w14:paraId="33183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33B80518">
            <w:pPr>
              <w:spacing w:before="209"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（4）</w:t>
            </w:r>
          </w:p>
        </w:tc>
        <w:tc>
          <w:tcPr>
            <w:tcW w:w="1789" w:type="dxa"/>
            <w:vAlign w:val="top"/>
          </w:tcPr>
          <w:p w14:paraId="3DB3CC4D">
            <w:pPr>
              <w:pStyle w:val="18"/>
              <w:spacing w:before="208" w:line="221" w:lineRule="auto"/>
              <w:ind w:left="369"/>
              <w:rPr>
                <w:color w:val="auto"/>
                <w:highlight w:val="none"/>
              </w:rPr>
            </w:pPr>
            <w:r>
              <w:rPr>
                <w:color w:val="auto"/>
                <w:spacing w:val="-1"/>
                <w:highlight w:val="none"/>
              </w:rPr>
              <w:t>工伤保险费</w:t>
            </w:r>
          </w:p>
        </w:tc>
        <w:tc>
          <w:tcPr>
            <w:tcW w:w="1789" w:type="dxa"/>
            <w:vAlign w:val="top"/>
          </w:tcPr>
          <w:p w14:paraId="36866753">
            <w:pPr>
              <w:rPr>
                <w:rFonts w:ascii="Arial"/>
                <w:color w:val="auto"/>
                <w:sz w:val="21"/>
                <w:highlight w:val="none"/>
              </w:rPr>
            </w:pPr>
          </w:p>
        </w:tc>
        <w:tc>
          <w:tcPr>
            <w:tcW w:w="1223" w:type="dxa"/>
            <w:vAlign w:val="top"/>
          </w:tcPr>
          <w:p w14:paraId="4FBFD1FC">
            <w:pPr>
              <w:rPr>
                <w:rFonts w:ascii="Arial"/>
                <w:color w:val="auto"/>
                <w:sz w:val="21"/>
                <w:highlight w:val="none"/>
              </w:rPr>
            </w:pPr>
          </w:p>
        </w:tc>
        <w:tc>
          <w:tcPr>
            <w:tcW w:w="1362" w:type="dxa"/>
            <w:vAlign w:val="top"/>
          </w:tcPr>
          <w:p w14:paraId="4CCC18A5">
            <w:pPr>
              <w:rPr>
                <w:rFonts w:ascii="Arial"/>
                <w:color w:val="auto"/>
                <w:sz w:val="21"/>
                <w:highlight w:val="none"/>
              </w:rPr>
            </w:pPr>
          </w:p>
        </w:tc>
        <w:tc>
          <w:tcPr>
            <w:tcW w:w="1376" w:type="dxa"/>
            <w:tcBorders>
              <w:right w:val="single" w:color="000000" w:sz="4" w:space="0"/>
            </w:tcBorders>
            <w:vAlign w:val="top"/>
          </w:tcPr>
          <w:p w14:paraId="3C7C2B4C">
            <w:pPr>
              <w:rPr>
                <w:rFonts w:ascii="Arial"/>
                <w:color w:val="auto"/>
                <w:sz w:val="21"/>
                <w:highlight w:val="none"/>
              </w:rPr>
            </w:pPr>
          </w:p>
        </w:tc>
      </w:tr>
      <w:tr w14:paraId="43D59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573A3D5A">
            <w:pPr>
              <w:spacing w:before="204"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（5）</w:t>
            </w:r>
          </w:p>
        </w:tc>
        <w:tc>
          <w:tcPr>
            <w:tcW w:w="1789" w:type="dxa"/>
            <w:vAlign w:val="top"/>
          </w:tcPr>
          <w:p w14:paraId="035AAB1B">
            <w:pPr>
              <w:pStyle w:val="18"/>
              <w:spacing w:before="203" w:line="221" w:lineRule="auto"/>
              <w:ind w:left="368"/>
              <w:rPr>
                <w:color w:val="auto"/>
                <w:highlight w:val="none"/>
              </w:rPr>
            </w:pPr>
            <w:r>
              <w:rPr>
                <w:color w:val="auto"/>
                <w:spacing w:val="-1"/>
                <w:highlight w:val="none"/>
              </w:rPr>
              <w:t>生育保险费</w:t>
            </w:r>
          </w:p>
        </w:tc>
        <w:tc>
          <w:tcPr>
            <w:tcW w:w="1789" w:type="dxa"/>
            <w:vAlign w:val="top"/>
          </w:tcPr>
          <w:p w14:paraId="06AF8E3C">
            <w:pPr>
              <w:rPr>
                <w:rFonts w:ascii="Arial"/>
                <w:color w:val="auto"/>
                <w:sz w:val="21"/>
                <w:highlight w:val="none"/>
              </w:rPr>
            </w:pPr>
          </w:p>
        </w:tc>
        <w:tc>
          <w:tcPr>
            <w:tcW w:w="1223" w:type="dxa"/>
            <w:vAlign w:val="top"/>
          </w:tcPr>
          <w:p w14:paraId="6F08F7DF">
            <w:pPr>
              <w:rPr>
                <w:rFonts w:ascii="Arial"/>
                <w:color w:val="auto"/>
                <w:sz w:val="21"/>
                <w:highlight w:val="none"/>
              </w:rPr>
            </w:pPr>
          </w:p>
        </w:tc>
        <w:tc>
          <w:tcPr>
            <w:tcW w:w="1362" w:type="dxa"/>
            <w:vAlign w:val="top"/>
          </w:tcPr>
          <w:p w14:paraId="0934B436">
            <w:pPr>
              <w:rPr>
                <w:rFonts w:ascii="Arial"/>
                <w:color w:val="auto"/>
                <w:sz w:val="21"/>
                <w:highlight w:val="none"/>
              </w:rPr>
            </w:pPr>
          </w:p>
        </w:tc>
        <w:tc>
          <w:tcPr>
            <w:tcW w:w="1376" w:type="dxa"/>
            <w:tcBorders>
              <w:right w:val="single" w:color="000000" w:sz="4" w:space="0"/>
            </w:tcBorders>
            <w:vAlign w:val="top"/>
          </w:tcPr>
          <w:p w14:paraId="6B690403">
            <w:pPr>
              <w:rPr>
                <w:rFonts w:ascii="Arial"/>
                <w:color w:val="auto"/>
                <w:sz w:val="21"/>
                <w:highlight w:val="none"/>
              </w:rPr>
            </w:pPr>
          </w:p>
        </w:tc>
      </w:tr>
      <w:tr w14:paraId="3D786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14:paraId="08211B75">
            <w:pPr>
              <w:spacing w:before="232" w:line="184"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1.2</w:t>
            </w:r>
          </w:p>
        </w:tc>
        <w:tc>
          <w:tcPr>
            <w:tcW w:w="1789" w:type="dxa"/>
            <w:vAlign w:val="top"/>
          </w:tcPr>
          <w:p w14:paraId="084B9C92">
            <w:pPr>
              <w:pStyle w:val="18"/>
              <w:spacing w:before="199" w:line="221" w:lineRule="auto"/>
              <w:ind w:left="365"/>
              <w:rPr>
                <w:color w:val="auto"/>
                <w:highlight w:val="none"/>
              </w:rPr>
            </w:pPr>
            <w:r>
              <w:rPr>
                <w:color w:val="auto"/>
                <w:spacing w:val="-1"/>
                <w:highlight w:val="none"/>
              </w:rPr>
              <w:t>住房公积金</w:t>
            </w:r>
          </w:p>
        </w:tc>
        <w:tc>
          <w:tcPr>
            <w:tcW w:w="1789" w:type="dxa"/>
            <w:vAlign w:val="top"/>
          </w:tcPr>
          <w:p w14:paraId="31D185DC">
            <w:pPr>
              <w:rPr>
                <w:rFonts w:ascii="Arial"/>
                <w:color w:val="auto"/>
                <w:sz w:val="21"/>
                <w:highlight w:val="none"/>
              </w:rPr>
            </w:pPr>
          </w:p>
        </w:tc>
        <w:tc>
          <w:tcPr>
            <w:tcW w:w="1223" w:type="dxa"/>
            <w:vAlign w:val="top"/>
          </w:tcPr>
          <w:p w14:paraId="0D6239D1">
            <w:pPr>
              <w:rPr>
                <w:rFonts w:ascii="Arial"/>
                <w:color w:val="auto"/>
                <w:sz w:val="21"/>
                <w:highlight w:val="none"/>
              </w:rPr>
            </w:pPr>
          </w:p>
        </w:tc>
        <w:tc>
          <w:tcPr>
            <w:tcW w:w="1362" w:type="dxa"/>
            <w:vAlign w:val="top"/>
          </w:tcPr>
          <w:p w14:paraId="426EB451">
            <w:pPr>
              <w:rPr>
                <w:rFonts w:ascii="Arial"/>
                <w:color w:val="auto"/>
                <w:sz w:val="21"/>
                <w:highlight w:val="none"/>
              </w:rPr>
            </w:pPr>
          </w:p>
        </w:tc>
        <w:tc>
          <w:tcPr>
            <w:tcW w:w="1376" w:type="dxa"/>
            <w:tcBorders>
              <w:right w:val="single" w:color="000000" w:sz="4" w:space="0"/>
            </w:tcBorders>
            <w:vAlign w:val="top"/>
          </w:tcPr>
          <w:p w14:paraId="1854951E">
            <w:pPr>
              <w:rPr>
                <w:rFonts w:ascii="Arial"/>
                <w:color w:val="auto"/>
                <w:sz w:val="21"/>
                <w:highlight w:val="none"/>
              </w:rPr>
            </w:pPr>
          </w:p>
        </w:tc>
      </w:tr>
      <w:tr w14:paraId="1E5E0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14:paraId="12783D92">
            <w:pPr>
              <w:spacing w:line="302" w:lineRule="auto"/>
              <w:rPr>
                <w:rFonts w:ascii="Arial"/>
                <w:color w:val="auto"/>
                <w:sz w:val="21"/>
                <w:highlight w:val="none"/>
              </w:rPr>
            </w:pPr>
          </w:p>
          <w:p w14:paraId="2E6C27B5">
            <w:pPr>
              <w:spacing w:before="68" w:line="184"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1.3</w:t>
            </w:r>
          </w:p>
        </w:tc>
        <w:tc>
          <w:tcPr>
            <w:tcW w:w="1789" w:type="dxa"/>
            <w:vAlign w:val="top"/>
          </w:tcPr>
          <w:p w14:paraId="45A7F5D2">
            <w:pPr>
              <w:spacing w:line="269" w:lineRule="auto"/>
              <w:rPr>
                <w:rFonts w:ascii="Arial"/>
                <w:color w:val="auto"/>
                <w:sz w:val="21"/>
                <w:highlight w:val="none"/>
              </w:rPr>
            </w:pPr>
          </w:p>
          <w:p w14:paraId="78F52C93">
            <w:pPr>
              <w:pStyle w:val="18"/>
              <w:spacing w:before="69" w:line="221" w:lineRule="auto"/>
              <w:ind w:left="369"/>
              <w:rPr>
                <w:color w:val="auto"/>
                <w:highlight w:val="none"/>
              </w:rPr>
            </w:pPr>
            <w:r>
              <w:rPr>
                <w:color w:val="auto"/>
                <w:spacing w:val="-1"/>
                <w:highlight w:val="none"/>
              </w:rPr>
              <w:t>工程排污费</w:t>
            </w:r>
          </w:p>
        </w:tc>
        <w:tc>
          <w:tcPr>
            <w:tcW w:w="1789" w:type="dxa"/>
            <w:vAlign w:val="top"/>
          </w:tcPr>
          <w:p w14:paraId="776B1041">
            <w:pPr>
              <w:rPr>
                <w:rFonts w:ascii="Arial"/>
                <w:color w:val="auto"/>
                <w:sz w:val="21"/>
                <w:highlight w:val="none"/>
              </w:rPr>
            </w:pPr>
          </w:p>
        </w:tc>
        <w:tc>
          <w:tcPr>
            <w:tcW w:w="1223" w:type="dxa"/>
            <w:vAlign w:val="top"/>
          </w:tcPr>
          <w:p w14:paraId="38B52897">
            <w:pPr>
              <w:rPr>
                <w:rFonts w:ascii="Arial"/>
                <w:color w:val="auto"/>
                <w:sz w:val="21"/>
                <w:highlight w:val="none"/>
              </w:rPr>
            </w:pPr>
          </w:p>
        </w:tc>
        <w:tc>
          <w:tcPr>
            <w:tcW w:w="1362" w:type="dxa"/>
            <w:vAlign w:val="top"/>
          </w:tcPr>
          <w:p w14:paraId="70B9642C">
            <w:pPr>
              <w:rPr>
                <w:rFonts w:ascii="Arial"/>
                <w:color w:val="auto"/>
                <w:sz w:val="21"/>
                <w:highlight w:val="none"/>
              </w:rPr>
            </w:pPr>
          </w:p>
        </w:tc>
        <w:tc>
          <w:tcPr>
            <w:tcW w:w="1376" w:type="dxa"/>
            <w:tcBorders>
              <w:right w:val="single" w:color="000000" w:sz="4" w:space="0"/>
            </w:tcBorders>
            <w:vAlign w:val="top"/>
          </w:tcPr>
          <w:p w14:paraId="443BA6A1">
            <w:pPr>
              <w:rPr>
                <w:rFonts w:ascii="Arial"/>
                <w:color w:val="auto"/>
                <w:sz w:val="21"/>
                <w:highlight w:val="none"/>
              </w:rPr>
            </w:pPr>
          </w:p>
        </w:tc>
      </w:tr>
      <w:tr w14:paraId="4380D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14:paraId="615F3BE9">
            <w:pPr>
              <w:rPr>
                <w:rFonts w:ascii="Arial"/>
                <w:color w:val="auto"/>
                <w:sz w:val="21"/>
                <w:highlight w:val="none"/>
              </w:rPr>
            </w:pPr>
          </w:p>
        </w:tc>
        <w:tc>
          <w:tcPr>
            <w:tcW w:w="1789" w:type="dxa"/>
            <w:vAlign w:val="top"/>
          </w:tcPr>
          <w:p w14:paraId="030AF35C">
            <w:pPr>
              <w:rPr>
                <w:rFonts w:ascii="Arial"/>
                <w:color w:val="auto"/>
                <w:sz w:val="21"/>
                <w:highlight w:val="none"/>
              </w:rPr>
            </w:pPr>
          </w:p>
        </w:tc>
        <w:tc>
          <w:tcPr>
            <w:tcW w:w="1789" w:type="dxa"/>
            <w:vAlign w:val="top"/>
          </w:tcPr>
          <w:p w14:paraId="32BE90F9">
            <w:pPr>
              <w:rPr>
                <w:rFonts w:ascii="Arial"/>
                <w:color w:val="auto"/>
                <w:sz w:val="21"/>
                <w:highlight w:val="none"/>
              </w:rPr>
            </w:pPr>
          </w:p>
        </w:tc>
        <w:tc>
          <w:tcPr>
            <w:tcW w:w="1223" w:type="dxa"/>
            <w:vAlign w:val="top"/>
          </w:tcPr>
          <w:p w14:paraId="5871E255">
            <w:pPr>
              <w:rPr>
                <w:rFonts w:ascii="Arial"/>
                <w:color w:val="auto"/>
                <w:sz w:val="21"/>
                <w:highlight w:val="none"/>
              </w:rPr>
            </w:pPr>
          </w:p>
        </w:tc>
        <w:tc>
          <w:tcPr>
            <w:tcW w:w="1362" w:type="dxa"/>
            <w:vAlign w:val="top"/>
          </w:tcPr>
          <w:p w14:paraId="0A7EE03F">
            <w:pPr>
              <w:rPr>
                <w:rFonts w:ascii="Arial"/>
                <w:color w:val="auto"/>
                <w:sz w:val="21"/>
                <w:highlight w:val="none"/>
              </w:rPr>
            </w:pPr>
          </w:p>
        </w:tc>
        <w:tc>
          <w:tcPr>
            <w:tcW w:w="1376" w:type="dxa"/>
            <w:tcBorders>
              <w:right w:val="single" w:color="000000" w:sz="4" w:space="0"/>
            </w:tcBorders>
            <w:vAlign w:val="top"/>
          </w:tcPr>
          <w:p w14:paraId="71DED3DF">
            <w:pPr>
              <w:rPr>
                <w:rFonts w:ascii="Arial"/>
                <w:color w:val="auto"/>
                <w:sz w:val="21"/>
                <w:highlight w:val="none"/>
              </w:rPr>
            </w:pPr>
          </w:p>
        </w:tc>
      </w:tr>
      <w:tr w14:paraId="62828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14:paraId="23D60982">
            <w:pPr>
              <w:spacing w:line="315" w:lineRule="auto"/>
              <w:rPr>
                <w:rFonts w:ascii="Arial"/>
                <w:color w:val="auto"/>
                <w:sz w:val="21"/>
                <w:highlight w:val="none"/>
              </w:rPr>
            </w:pPr>
          </w:p>
          <w:p w14:paraId="18B80E76">
            <w:pPr>
              <w:spacing w:before="61" w:line="189" w:lineRule="auto"/>
              <w:ind w:left="44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789" w:type="dxa"/>
            <w:vAlign w:val="top"/>
          </w:tcPr>
          <w:p w14:paraId="65865548">
            <w:pPr>
              <w:spacing w:line="271" w:lineRule="auto"/>
              <w:rPr>
                <w:rFonts w:ascii="Arial"/>
                <w:color w:val="auto"/>
                <w:sz w:val="21"/>
                <w:highlight w:val="none"/>
              </w:rPr>
            </w:pPr>
          </w:p>
          <w:p w14:paraId="7259E7CE">
            <w:pPr>
              <w:pStyle w:val="18"/>
              <w:spacing w:before="69" w:line="221" w:lineRule="auto"/>
              <w:ind w:left="683"/>
              <w:rPr>
                <w:color w:val="auto"/>
                <w:highlight w:val="none"/>
              </w:rPr>
            </w:pPr>
            <w:r>
              <w:rPr>
                <w:color w:val="auto"/>
                <w:spacing w:val="-2"/>
                <w:highlight w:val="none"/>
              </w:rPr>
              <w:t>税金</w:t>
            </w:r>
          </w:p>
        </w:tc>
        <w:tc>
          <w:tcPr>
            <w:tcW w:w="1789" w:type="dxa"/>
            <w:vAlign w:val="top"/>
          </w:tcPr>
          <w:p w14:paraId="4B18018C">
            <w:pPr>
              <w:rPr>
                <w:rFonts w:ascii="Arial"/>
                <w:color w:val="auto"/>
                <w:sz w:val="21"/>
                <w:highlight w:val="none"/>
              </w:rPr>
            </w:pPr>
          </w:p>
        </w:tc>
        <w:tc>
          <w:tcPr>
            <w:tcW w:w="1223" w:type="dxa"/>
            <w:vAlign w:val="top"/>
          </w:tcPr>
          <w:p w14:paraId="1519B95A">
            <w:pPr>
              <w:rPr>
                <w:rFonts w:ascii="Arial"/>
                <w:color w:val="auto"/>
                <w:sz w:val="21"/>
                <w:highlight w:val="none"/>
              </w:rPr>
            </w:pPr>
          </w:p>
        </w:tc>
        <w:tc>
          <w:tcPr>
            <w:tcW w:w="1362" w:type="dxa"/>
            <w:vAlign w:val="top"/>
          </w:tcPr>
          <w:p w14:paraId="10D2FC50">
            <w:pPr>
              <w:rPr>
                <w:rFonts w:ascii="Arial"/>
                <w:color w:val="auto"/>
                <w:sz w:val="21"/>
                <w:highlight w:val="none"/>
              </w:rPr>
            </w:pPr>
          </w:p>
        </w:tc>
        <w:tc>
          <w:tcPr>
            <w:tcW w:w="1376" w:type="dxa"/>
            <w:tcBorders>
              <w:right w:val="single" w:color="000000" w:sz="4" w:space="0"/>
            </w:tcBorders>
            <w:vAlign w:val="top"/>
          </w:tcPr>
          <w:p w14:paraId="4D2692A4">
            <w:pPr>
              <w:rPr>
                <w:rFonts w:ascii="Arial"/>
                <w:color w:val="auto"/>
                <w:sz w:val="21"/>
                <w:highlight w:val="none"/>
              </w:rPr>
            </w:pPr>
          </w:p>
        </w:tc>
      </w:tr>
      <w:tr w14:paraId="5EA4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14:paraId="4E5DD517">
            <w:pPr>
              <w:spacing w:line="271" w:lineRule="auto"/>
              <w:rPr>
                <w:rFonts w:ascii="Arial"/>
                <w:color w:val="auto"/>
                <w:sz w:val="21"/>
                <w:highlight w:val="none"/>
              </w:rPr>
            </w:pPr>
          </w:p>
          <w:p w14:paraId="6958E44A">
            <w:pPr>
              <w:pStyle w:val="18"/>
              <w:spacing w:before="68" w:line="222" w:lineRule="auto"/>
              <w:ind w:left="2693"/>
              <w:rPr>
                <w:color w:val="auto"/>
                <w:highlight w:val="none"/>
              </w:rPr>
            </w:pPr>
            <w:r>
              <w:rPr>
                <w:color w:val="auto"/>
                <w:spacing w:val="-2"/>
                <w:highlight w:val="none"/>
              </w:rPr>
              <w:t>合计</w:t>
            </w:r>
          </w:p>
        </w:tc>
        <w:tc>
          <w:tcPr>
            <w:tcW w:w="1362" w:type="dxa"/>
            <w:tcBorders>
              <w:bottom w:val="single" w:color="000000" w:sz="4" w:space="0"/>
            </w:tcBorders>
            <w:vAlign w:val="top"/>
          </w:tcPr>
          <w:p w14:paraId="6C0B1955">
            <w:pPr>
              <w:rPr>
                <w:rFonts w:ascii="Arial"/>
                <w:color w:val="auto"/>
                <w:sz w:val="21"/>
                <w:highlight w:val="none"/>
              </w:rPr>
            </w:pPr>
          </w:p>
        </w:tc>
        <w:tc>
          <w:tcPr>
            <w:tcW w:w="1376" w:type="dxa"/>
            <w:tcBorders>
              <w:bottom w:val="single" w:color="000000" w:sz="4" w:space="0"/>
              <w:right w:val="single" w:color="000000" w:sz="4" w:space="0"/>
            </w:tcBorders>
            <w:vAlign w:val="top"/>
          </w:tcPr>
          <w:p w14:paraId="3442B093">
            <w:pPr>
              <w:rPr>
                <w:rFonts w:ascii="Arial"/>
                <w:color w:val="auto"/>
                <w:sz w:val="21"/>
                <w:highlight w:val="none"/>
              </w:rPr>
            </w:pPr>
          </w:p>
        </w:tc>
      </w:tr>
    </w:tbl>
    <w:p w14:paraId="0793455D">
      <w:pPr>
        <w:pStyle w:val="5"/>
        <w:spacing w:line="438" w:lineRule="auto"/>
        <w:rPr>
          <w:color w:val="auto"/>
          <w:highlight w:val="none"/>
        </w:rPr>
      </w:pPr>
    </w:p>
    <w:p w14:paraId="2CCB25F0">
      <w:pPr>
        <w:spacing w:before="70" w:line="186" w:lineRule="auto"/>
        <w:ind w:left="12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编制人（造价人员</w:t>
      </w:r>
      <w:r>
        <w:rPr>
          <w:rFonts w:ascii="宋体" w:hAnsi="宋体" w:eastAsia="宋体" w:cs="宋体"/>
          <w:color w:val="auto"/>
          <w:spacing w:val="-15"/>
          <w:sz w:val="21"/>
          <w:szCs w:val="21"/>
          <w:highlight w:val="none"/>
        </w:rPr>
        <w:t>）：</w:t>
      </w:r>
      <w:r>
        <w:rPr>
          <w:rFonts w:ascii="宋体" w:hAnsi="宋体" w:eastAsia="宋体" w:cs="宋体"/>
          <w:color w:val="auto"/>
          <w:spacing w:val="6"/>
          <w:sz w:val="21"/>
          <w:szCs w:val="21"/>
          <w:highlight w:val="none"/>
        </w:rPr>
        <w:t xml:space="preserve">             </w:t>
      </w:r>
      <w:r>
        <w:rPr>
          <w:rFonts w:ascii="宋体" w:hAnsi="宋体" w:eastAsia="宋体" w:cs="宋体"/>
          <w:color w:val="auto"/>
          <w:spacing w:val="-12"/>
          <w:sz w:val="21"/>
          <w:szCs w:val="21"/>
          <w:highlight w:val="none"/>
        </w:rPr>
        <w:t>复核人（造价工程师</w:t>
      </w:r>
      <w:r>
        <w:rPr>
          <w:rFonts w:ascii="宋体" w:hAnsi="宋体" w:eastAsia="宋体" w:cs="宋体"/>
          <w:color w:val="auto"/>
          <w:spacing w:val="-15"/>
          <w:sz w:val="21"/>
          <w:szCs w:val="21"/>
          <w:highlight w:val="none"/>
        </w:rPr>
        <w:t>）：</w:t>
      </w:r>
    </w:p>
    <w:p w14:paraId="2CDF45BF">
      <w:pPr>
        <w:spacing w:line="186" w:lineRule="auto"/>
        <w:rPr>
          <w:rFonts w:ascii="宋体" w:hAnsi="宋体" w:eastAsia="宋体" w:cs="宋体"/>
          <w:color w:val="auto"/>
          <w:sz w:val="21"/>
          <w:szCs w:val="21"/>
          <w:highlight w:val="none"/>
        </w:rPr>
        <w:sectPr>
          <w:type w:val="continuous"/>
          <w:pgSz w:w="11905" w:h="16839"/>
          <w:pgMar w:top="400" w:right="1681" w:bottom="1004" w:left="1680" w:header="0" w:footer="829" w:gutter="0"/>
          <w:pgNumType w:fmt="decimal"/>
          <w:cols w:equalWidth="0" w:num="1">
            <w:col w:w="8543"/>
          </w:cols>
        </w:sectPr>
      </w:pPr>
    </w:p>
    <w:p w14:paraId="664FCB9B">
      <w:pPr>
        <w:pStyle w:val="5"/>
        <w:spacing w:line="267" w:lineRule="auto"/>
        <w:rPr>
          <w:color w:val="auto"/>
          <w:highlight w:val="none"/>
        </w:rPr>
      </w:pPr>
    </w:p>
    <w:p w14:paraId="2396D115">
      <w:pPr>
        <w:pStyle w:val="5"/>
        <w:spacing w:line="268" w:lineRule="auto"/>
        <w:rPr>
          <w:color w:val="auto"/>
          <w:highlight w:val="none"/>
        </w:rPr>
      </w:pPr>
    </w:p>
    <w:p w14:paraId="4D6F9E6A">
      <w:pPr>
        <w:pStyle w:val="5"/>
        <w:spacing w:line="268" w:lineRule="auto"/>
        <w:rPr>
          <w:color w:val="auto"/>
          <w:highlight w:val="none"/>
        </w:rPr>
      </w:pPr>
    </w:p>
    <w:p w14:paraId="558BF614">
      <w:pPr>
        <w:pStyle w:val="5"/>
        <w:spacing w:line="268" w:lineRule="auto"/>
        <w:rPr>
          <w:color w:val="auto"/>
          <w:highlight w:val="none"/>
        </w:rPr>
      </w:pPr>
    </w:p>
    <w:p w14:paraId="020249E3">
      <w:pPr>
        <w:spacing w:before="78"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4.14 </w:t>
      </w:r>
      <w:r>
        <w:rPr>
          <w:rFonts w:ascii="黑体" w:hAnsi="黑体" w:eastAsia="黑体" w:cs="黑体"/>
          <w:color w:val="auto"/>
          <w:spacing w:val="-1"/>
          <w:sz w:val="24"/>
          <w:szCs w:val="24"/>
          <w:highlight w:val="none"/>
        </w:rPr>
        <w:t>发包人提供材料和工程设备一览表</w:t>
      </w:r>
    </w:p>
    <w:p w14:paraId="38046D22">
      <w:pPr>
        <w:pStyle w:val="5"/>
        <w:spacing w:line="437" w:lineRule="auto"/>
        <w:rPr>
          <w:color w:val="auto"/>
          <w:highlight w:val="none"/>
        </w:rPr>
      </w:pPr>
    </w:p>
    <w:p w14:paraId="7AE32192">
      <w:pPr>
        <w:spacing w:before="88" w:line="224" w:lineRule="auto"/>
        <w:ind w:left="2078"/>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发包人提供材料和工程设备一览表</w:t>
      </w:r>
    </w:p>
    <w:p w14:paraId="35EF51BF">
      <w:pPr>
        <w:spacing w:line="221" w:lineRule="exact"/>
        <w:rPr>
          <w:color w:val="auto"/>
          <w:highlight w:val="none"/>
        </w:rPr>
      </w:pPr>
    </w:p>
    <w:p w14:paraId="7079417B">
      <w:pPr>
        <w:spacing w:line="221" w:lineRule="exact"/>
        <w:rPr>
          <w:color w:val="auto"/>
          <w:highlight w:val="none"/>
        </w:rPr>
        <w:sectPr>
          <w:footerReference r:id="rId140" w:type="default"/>
          <w:pgSz w:w="11905" w:h="16839"/>
          <w:pgMar w:top="400" w:right="1785" w:bottom="1004" w:left="1785" w:header="0" w:footer="828" w:gutter="0"/>
          <w:pgNumType w:fmt="decimal"/>
          <w:cols w:equalWidth="0" w:num="1">
            <w:col w:w="8333"/>
          </w:cols>
        </w:sectPr>
      </w:pPr>
    </w:p>
    <w:p w14:paraId="2CF8D65C">
      <w:pPr>
        <w:spacing w:before="41"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09D8DE4E">
      <w:pPr>
        <w:pStyle w:val="5"/>
        <w:spacing w:line="14" w:lineRule="auto"/>
        <w:rPr>
          <w:color w:val="auto"/>
          <w:sz w:val="2"/>
          <w:highlight w:val="none"/>
        </w:rPr>
      </w:pPr>
      <w:r>
        <w:rPr>
          <w:color w:val="auto"/>
          <w:sz w:val="2"/>
          <w:szCs w:val="2"/>
          <w:highlight w:val="none"/>
        </w:rPr>
        <w:br w:type="column"/>
      </w:r>
    </w:p>
    <w:p w14:paraId="7FECF53F">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4"/>
          <w:sz w:val="21"/>
          <w:szCs w:val="21"/>
          <w:highlight w:val="none"/>
        </w:rPr>
        <w:t>第</w:t>
      </w:r>
      <w:r>
        <w:rPr>
          <w:rFonts w:ascii="宋体" w:hAnsi="宋体" w:eastAsia="宋体" w:cs="宋体"/>
          <w:color w:val="auto"/>
          <w:spacing w:val="16"/>
          <w:sz w:val="21"/>
          <w:szCs w:val="21"/>
          <w:highlight w:val="none"/>
        </w:rPr>
        <w:t xml:space="preserve"> </w:t>
      </w:r>
      <w:r>
        <w:rPr>
          <w:rFonts w:ascii="宋体" w:hAnsi="宋体" w:eastAsia="宋体" w:cs="宋体"/>
          <w:color w:val="auto"/>
          <w:spacing w:val="-14"/>
          <w:sz w:val="21"/>
          <w:szCs w:val="21"/>
          <w:highlight w:val="none"/>
        </w:rPr>
        <w:t>页 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4"/>
          <w:sz w:val="21"/>
          <w:szCs w:val="21"/>
          <w:highlight w:val="none"/>
        </w:rPr>
        <w:t>页</w:t>
      </w:r>
    </w:p>
    <w:p w14:paraId="1FE3763D">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14:paraId="56364D11">
      <w:pPr>
        <w:spacing w:line="32" w:lineRule="exact"/>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14:paraId="3694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14:paraId="6F6A29DF">
            <w:pPr>
              <w:pStyle w:val="18"/>
              <w:spacing w:before="200" w:line="211" w:lineRule="auto"/>
              <w:ind w:left="20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761" w:type="dxa"/>
            <w:vAlign w:val="top"/>
          </w:tcPr>
          <w:p w14:paraId="643A46CC">
            <w:pPr>
              <w:pStyle w:val="18"/>
              <w:spacing w:before="67" w:line="220" w:lineRule="auto"/>
              <w:ind w:left="253"/>
              <w:rPr>
                <w:color w:val="auto"/>
                <w:highlight w:val="none"/>
              </w:rPr>
            </w:pPr>
            <w:r>
              <w:rPr>
                <w:color w:val="auto"/>
                <w:spacing w:val="-1"/>
                <w:highlight w:val="none"/>
              </w:rPr>
              <w:t>材料（工程设</w:t>
            </w:r>
          </w:p>
          <w:p w14:paraId="265B111A">
            <w:pPr>
              <w:pStyle w:val="18"/>
              <w:spacing w:before="18" w:line="222" w:lineRule="auto"/>
              <w:ind w:left="256"/>
              <w:rPr>
                <w:color w:val="auto"/>
                <w:highlight w:val="none"/>
              </w:rPr>
            </w:pPr>
            <w:r>
              <w:rPr>
                <w:color w:val="auto"/>
                <w:spacing w:val="-2"/>
                <w:highlight w:val="none"/>
              </w:rPr>
              <w:t>备）名称、规</w:t>
            </w:r>
          </w:p>
          <w:p w14:paraId="58282C4D">
            <w:pPr>
              <w:pStyle w:val="18"/>
              <w:spacing w:before="20" w:line="221" w:lineRule="auto"/>
              <w:ind w:left="464"/>
              <w:rPr>
                <w:color w:val="auto"/>
                <w:highlight w:val="none"/>
              </w:rPr>
            </w:pPr>
            <w:r>
              <w:rPr>
                <w:color w:val="auto"/>
                <w:spacing w:val="-1"/>
                <w:highlight w:val="none"/>
              </w:rPr>
              <w:t>格、型号</w:t>
            </w:r>
          </w:p>
        </w:tc>
        <w:tc>
          <w:tcPr>
            <w:tcW w:w="826" w:type="dxa"/>
            <w:vAlign w:val="top"/>
          </w:tcPr>
          <w:p w14:paraId="5F78FEEE">
            <w:pPr>
              <w:spacing w:line="267" w:lineRule="auto"/>
              <w:rPr>
                <w:rFonts w:ascii="Arial"/>
                <w:color w:val="auto"/>
                <w:sz w:val="21"/>
                <w:highlight w:val="none"/>
              </w:rPr>
            </w:pPr>
          </w:p>
          <w:p w14:paraId="20580373">
            <w:pPr>
              <w:pStyle w:val="18"/>
              <w:spacing w:before="68" w:line="221" w:lineRule="auto"/>
              <w:ind w:left="213"/>
              <w:rPr>
                <w:color w:val="auto"/>
                <w:highlight w:val="none"/>
              </w:rPr>
            </w:pPr>
            <w:r>
              <w:rPr>
                <w:color w:val="auto"/>
                <w:spacing w:val="-2"/>
                <w:highlight w:val="none"/>
              </w:rPr>
              <w:t>单位</w:t>
            </w:r>
          </w:p>
        </w:tc>
        <w:tc>
          <w:tcPr>
            <w:tcW w:w="825" w:type="dxa"/>
            <w:vAlign w:val="top"/>
          </w:tcPr>
          <w:p w14:paraId="6C6056F2">
            <w:pPr>
              <w:spacing w:line="266" w:lineRule="auto"/>
              <w:rPr>
                <w:rFonts w:ascii="Arial"/>
                <w:color w:val="auto"/>
                <w:sz w:val="21"/>
                <w:highlight w:val="none"/>
              </w:rPr>
            </w:pPr>
          </w:p>
          <w:p w14:paraId="7B8AAC76">
            <w:pPr>
              <w:pStyle w:val="18"/>
              <w:spacing w:before="68" w:line="221" w:lineRule="auto"/>
              <w:ind w:left="213"/>
              <w:rPr>
                <w:color w:val="auto"/>
                <w:highlight w:val="none"/>
              </w:rPr>
            </w:pPr>
            <w:r>
              <w:rPr>
                <w:color w:val="auto"/>
                <w:spacing w:val="-2"/>
                <w:highlight w:val="none"/>
              </w:rPr>
              <w:t>数量</w:t>
            </w:r>
          </w:p>
        </w:tc>
        <w:tc>
          <w:tcPr>
            <w:tcW w:w="844" w:type="dxa"/>
            <w:vAlign w:val="top"/>
          </w:tcPr>
          <w:p w14:paraId="1FFFEB3B">
            <w:pPr>
              <w:pStyle w:val="18"/>
              <w:spacing w:before="202" w:line="231" w:lineRule="auto"/>
              <w:ind w:left="122" w:right="111" w:firstLine="100"/>
              <w:rPr>
                <w:color w:val="auto"/>
                <w:highlight w:val="none"/>
              </w:rPr>
            </w:pPr>
            <w:r>
              <w:rPr>
                <w:color w:val="auto"/>
                <w:spacing w:val="-4"/>
                <w:highlight w:val="none"/>
              </w:rPr>
              <w:t>单价</w:t>
            </w:r>
            <w:r>
              <w:rPr>
                <w:color w:val="auto"/>
                <w:highlight w:val="none"/>
              </w:rPr>
              <w:t xml:space="preserve">  </w:t>
            </w:r>
            <w:r>
              <w:rPr>
                <w:color w:val="auto"/>
                <w:spacing w:val="-9"/>
                <w:highlight w:val="none"/>
              </w:rPr>
              <w:t>（元）</w:t>
            </w:r>
          </w:p>
        </w:tc>
        <w:tc>
          <w:tcPr>
            <w:tcW w:w="1209" w:type="dxa"/>
            <w:vAlign w:val="top"/>
          </w:tcPr>
          <w:p w14:paraId="204AEF8D">
            <w:pPr>
              <w:pStyle w:val="18"/>
              <w:spacing w:before="201" w:line="241" w:lineRule="auto"/>
              <w:ind w:left="405"/>
              <w:rPr>
                <w:color w:val="auto"/>
                <w:highlight w:val="none"/>
              </w:rPr>
            </w:pPr>
            <w:r>
              <w:rPr>
                <w:color w:val="auto"/>
                <w:spacing w:val="-3"/>
                <w:highlight w:val="none"/>
              </w:rPr>
              <w:t>交货</w:t>
            </w:r>
          </w:p>
          <w:p w14:paraId="5538C753">
            <w:pPr>
              <w:pStyle w:val="18"/>
              <w:spacing w:line="222" w:lineRule="auto"/>
              <w:ind w:left="401"/>
              <w:rPr>
                <w:color w:val="auto"/>
                <w:highlight w:val="none"/>
              </w:rPr>
            </w:pPr>
            <w:r>
              <w:rPr>
                <w:color w:val="auto"/>
                <w:spacing w:val="-2"/>
                <w:highlight w:val="none"/>
              </w:rPr>
              <w:t>方式</w:t>
            </w:r>
          </w:p>
        </w:tc>
        <w:tc>
          <w:tcPr>
            <w:tcW w:w="1397" w:type="dxa"/>
            <w:vAlign w:val="top"/>
          </w:tcPr>
          <w:p w14:paraId="05AA64DA">
            <w:pPr>
              <w:pStyle w:val="18"/>
              <w:spacing w:before="201" w:line="241" w:lineRule="auto"/>
              <w:ind w:left="496"/>
              <w:rPr>
                <w:color w:val="auto"/>
                <w:highlight w:val="none"/>
              </w:rPr>
            </w:pPr>
            <w:r>
              <w:rPr>
                <w:color w:val="auto"/>
                <w:spacing w:val="-2"/>
                <w:highlight w:val="none"/>
              </w:rPr>
              <w:t>送达</w:t>
            </w:r>
          </w:p>
          <w:p w14:paraId="7E44B4A5">
            <w:pPr>
              <w:pStyle w:val="18"/>
              <w:spacing w:before="1" w:line="224" w:lineRule="auto"/>
              <w:ind w:left="498"/>
              <w:rPr>
                <w:color w:val="auto"/>
                <w:highlight w:val="none"/>
              </w:rPr>
            </w:pPr>
            <w:r>
              <w:rPr>
                <w:color w:val="auto"/>
                <w:spacing w:val="-2"/>
                <w:highlight w:val="none"/>
              </w:rPr>
              <w:t>地点</w:t>
            </w:r>
          </w:p>
        </w:tc>
        <w:tc>
          <w:tcPr>
            <w:tcW w:w="830" w:type="dxa"/>
            <w:vAlign w:val="top"/>
          </w:tcPr>
          <w:p w14:paraId="3E6915DC">
            <w:pPr>
              <w:spacing w:line="266" w:lineRule="auto"/>
              <w:rPr>
                <w:rFonts w:ascii="Arial"/>
                <w:color w:val="auto"/>
                <w:sz w:val="21"/>
                <w:highlight w:val="none"/>
              </w:rPr>
            </w:pPr>
          </w:p>
          <w:p w14:paraId="245FA1E6">
            <w:pPr>
              <w:pStyle w:val="18"/>
              <w:spacing w:before="69" w:line="222" w:lineRule="auto"/>
              <w:ind w:left="217"/>
              <w:rPr>
                <w:color w:val="auto"/>
                <w:highlight w:val="none"/>
              </w:rPr>
            </w:pPr>
            <w:r>
              <w:rPr>
                <w:color w:val="auto"/>
                <w:spacing w:val="-3"/>
                <w:highlight w:val="none"/>
              </w:rPr>
              <w:t>备注</w:t>
            </w:r>
          </w:p>
        </w:tc>
      </w:tr>
      <w:tr w14:paraId="1EE4C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34786146">
            <w:pPr>
              <w:rPr>
                <w:rFonts w:ascii="Arial"/>
                <w:color w:val="auto"/>
                <w:sz w:val="21"/>
                <w:highlight w:val="none"/>
              </w:rPr>
            </w:pPr>
          </w:p>
        </w:tc>
        <w:tc>
          <w:tcPr>
            <w:tcW w:w="1761" w:type="dxa"/>
            <w:vAlign w:val="top"/>
          </w:tcPr>
          <w:p w14:paraId="3708FCEE">
            <w:pPr>
              <w:rPr>
                <w:rFonts w:ascii="Arial"/>
                <w:color w:val="auto"/>
                <w:sz w:val="21"/>
                <w:highlight w:val="none"/>
              </w:rPr>
            </w:pPr>
          </w:p>
        </w:tc>
        <w:tc>
          <w:tcPr>
            <w:tcW w:w="826" w:type="dxa"/>
            <w:vAlign w:val="top"/>
          </w:tcPr>
          <w:p w14:paraId="3D3497CE">
            <w:pPr>
              <w:rPr>
                <w:rFonts w:ascii="Arial"/>
                <w:color w:val="auto"/>
                <w:sz w:val="21"/>
                <w:highlight w:val="none"/>
              </w:rPr>
            </w:pPr>
          </w:p>
        </w:tc>
        <w:tc>
          <w:tcPr>
            <w:tcW w:w="825" w:type="dxa"/>
            <w:vAlign w:val="top"/>
          </w:tcPr>
          <w:p w14:paraId="57A391E1">
            <w:pPr>
              <w:rPr>
                <w:rFonts w:ascii="Arial"/>
                <w:color w:val="auto"/>
                <w:sz w:val="21"/>
                <w:highlight w:val="none"/>
              </w:rPr>
            </w:pPr>
          </w:p>
        </w:tc>
        <w:tc>
          <w:tcPr>
            <w:tcW w:w="844" w:type="dxa"/>
            <w:vAlign w:val="top"/>
          </w:tcPr>
          <w:p w14:paraId="2DE84A38">
            <w:pPr>
              <w:rPr>
                <w:rFonts w:ascii="Arial"/>
                <w:color w:val="auto"/>
                <w:sz w:val="21"/>
                <w:highlight w:val="none"/>
              </w:rPr>
            </w:pPr>
          </w:p>
        </w:tc>
        <w:tc>
          <w:tcPr>
            <w:tcW w:w="1209" w:type="dxa"/>
            <w:vAlign w:val="top"/>
          </w:tcPr>
          <w:p w14:paraId="2CABE68D">
            <w:pPr>
              <w:rPr>
                <w:rFonts w:ascii="Arial"/>
                <w:color w:val="auto"/>
                <w:sz w:val="21"/>
                <w:highlight w:val="none"/>
              </w:rPr>
            </w:pPr>
          </w:p>
        </w:tc>
        <w:tc>
          <w:tcPr>
            <w:tcW w:w="1397" w:type="dxa"/>
            <w:vAlign w:val="top"/>
          </w:tcPr>
          <w:p w14:paraId="68C99AF9">
            <w:pPr>
              <w:rPr>
                <w:rFonts w:ascii="Arial"/>
                <w:color w:val="auto"/>
                <w:sz w:val="21"/>
                <w:highlight w:val="none"/>
              </w:rPr>
            </w:pPr>
          </w:p>
        </w:tc>
        <w:tc>
          <w:tcPr>
            <w:tcW w:w="830" w:type="dxa"/>
            <w:vAlign w:val="top"/>
          </w:tcPr>
          <w:p w14:paraId="233E2666">
            <w:pPr>
              <w:rPr>
                <w:rFonts w:ascii="Arial"/>
                <w:color w:val="auto"/>
                <w:sz w:val="21"/>
                <w:highlight w:val="none"/>
              </w:rPr>
            </w:pPr>
          </w:p>
        </w:tc>
      </w:tr>
      <w:tr w14:paraId="35B9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0FD330D">
            <w:pPr>
              <w:rPr>
                <w:rFonts w:ascii="Arial"/>
                <w:color w:val="auto"/>
                <w:sz w:val="21"/>
                <w:highlight w:val="none"/>
              </w:rPr>
            </w:pPr>
          </w:p>
        </w:tc>
        <w:tc>
          <w:tcPr>
            <w:tcW w:w="1761" w:type="dxa"/>
            <w:vAlign w:val="top"/>
          </w:tcPr>
          <w:p w14:paraId="671AB9DC">
            <w:pPr>
              <w:rPr>
                <w:rFonts w:ascii="Arial"/>
                <w:color w:val="auto"/>
                <w:sz w:val="21"/>
                <w:highlight w:val="none"/>
              </w:rPr>
            </w:pPr>
          </w:p>
        </w:tc>
        <w:tc>
          <w:tcPr>
            <w:tcW w:w="826" w:type="dxa"/>
            <w:vAlign w:val="top"/>
          </w:tcPr>
          <w:p w14:paraId="263537D5">
            <w:pPr>
              <w:rPr>
                <w:rFonts w:ascii="Arial"/>
                <w:color w:val="auto"/>
                <w:sz w:val="21"/>
                <w:highlight w:val="none"/>
              </w:rPr>
            </w:pPr>
          </w:p>
        </w:tc>
        <w:tc>
          <w:tcPr>
            <w:tcW w:w="825" w:type="dxa"/>
            <w:vAlign w:val="top"/>
          </w:tcPr>
          <w:p w14:paraId="61AB9601">
            <w:pPr>
              <w:rPr>
                <w:rFonts w:ascii="Arial"/>
                <w:color w:val="auto"/>
                <w:sz w:val="21"/>
                <w:highlight w:val="none"/>
              </w:rPr>
            </w:pPr>
          </w:p>
        </w:tc>
        <w:tc>
          <w:tcPr>
            <w:tcW w:w="844" w:type="dxa"/>
            <w:vAlign w:val="top"/>
          </w:tcPr>
          <w:p w14:paraId="6F364F3F">
            <w:pPr>
              <w:rPr>
                <w:rFonts w:ascii="Arial"/>
                <w:color w:val="auto"/>
                <w:sz w:val="21"/>
                <w:highlight w:val="none"/>
              </w:rPr>
            </w:pPr>
          </w:p>
        </w:tc>
        <w:tc>
          <w:tcPr>
            <w:tcW w:w="1209" w:type="dxa"/>
            <w:vAlign w:val="top"/>
          </w:tcPr>
          <w:p w14:paraId="6ABE46DD">
            <w:pPr>
              <w:rPr>
                <w:rFonts w:ascii="Arial"/>
                <w:color w:val="auto"/>
                <w:sz w:val="21"/>
                <w:highlight w:val="none"/>
              </w:rPr>
            </w:pPr>
          </w:p>
        </w:tc>
        <w:tc>
          <w:tcPr>
            <w:tcW w:w="1397" w:type="dxa"/>
            <w:vAlign w:val="top"/>
          </w:tcPr>
          <w:p w14:paraId="7EB5FFFA">
            <w:pPr>
              <w:rPr>
                <w:rFonts w:ascii="Arial"/>
                <w:color w:val="auto"/>
                <w:sz w:val="21"/>
                <w:highlight w:val="none"/>
              </w:rPr>
            </w:pPr>
          </w:p>
        </w:tc>
        <w:tc>
          <w:tcPr>
            <w:tcW w:w="830" w:type="dxa"/>
            <w:vAlign w:val="top"/>
          </w:tcPr>
          <w:p w14:paraId="28610E18">
            <w:pPr>
              <w:rPr>
                <w:rFonts w:ascii="Arial"/>
                <w:color w:val="auto"/>
                <w:sz w:val="21"/>
                <w:highlight w:val="none"/>
              </w:rPr>
            </w:pPr>
          </w:p>
        </w:tc>
      </w:tr>
      <w:tr w14:paraId="09A74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14:paraId="4478D1A3">
            <w:pPr>
              <w:rPr>
                <w:rFonts w:ascii="Arial"/>
                <w:color w:val="auto"/>
                <w:sz w:val="21"/>
                <w:highlight w:val="none"/>
              </w:rPr>
            </w:pPr>
          </w:p>
        </w:tc>
        <w:tc>
          <w:tcPr>
            <w:tcW w:w="1761" w:type="dxa"/>
            <w:vAlign w:val="top"/>
          </w:tcPr>
          <w:p w14:paraId="783B7944">
            <w:pPr>
              <w:rPr>
                <w:rFonts w:ascii="Arial"/>
                <w:color w:val="auto"/>
                <w:sz w:val="21"/>
                <w:highlight w:val="none"/>
              </w:rPr>
            </w:pPr>
          </w:p>
        </w:tc>
        <w:tc>
          <w:tcPr>
            <w:tcW w:w="826" w:type="dxa"/>
            <w:vAlign w:val="top"/>
          </w:tcPr>
          <w:p w14:paraId="22D07D3A">
            <w:pPr>
              <w:rPr>
                <w:rFonts w:ascii="Arial"/>
                <w:color w:val="auto"/>
                <w:sz w:val="21"/>
                <w:highlight w:val="none"/>
              </w:rPr>
            </w:pPr>
          </w:p>
        </w:tc>
        <w:tc>
          <w:tcPr>
            <w:tcW w:w="825" w:type="dxa"/>
            <w:vAlign w:val="top"/>
          </w:tcPr>
          <w:p w14:paraId="6D0F1928">
            <w:pPr>
              <w:rPr>
                <w:rFonts w:ascii="Arial"/>
                <w:color w:val="auto"/>
                <w:sz w:val="21"/>
                <w:highlight w:val="none"/>
              </w:rPr>
            </w:pPr>
          </w:p>
        </w:tc>
        <w:tc>
          <w:tcPr>
            <w:tcW w:w="844" w:type="dxa"/>
            <w:vAlign w:val="top"/>
          </w:tcPr>
          <w:p w14:paraId="081A69B4">
            <w:pPr>
              <w:rPr>
                <w:rFonts w:ascii="Arial"/>
                <w:color w:val="auto"/>
                <w:sz w:val="21"/>
                <w:highlight w:val="none"/>
              </w:rPr>
            </w:pPr>
          </w:p>
        </w:tc>
        <w:tc>
          <w:tcPr>
            <w:tcW w:w="1209" w:type="dxa"/>
            <w:vAlign w:val="top"/>
          </w:tcPr>
          <w:p w14:paraId="57DC7FB6">
            <w:pPr>
              <w:rPr>
                <w:rFonts w:ascii="Arial"/>
                <w:color w:val="auto"/>
                <w:sz w:val="21"/>
                <w:highlight w:val="none"/>
              </w:rPr>
            </w:pPr>
          </w:p>
        </w:tc>
        <w:tc>
          <w:tcPr>
            <w:tcW w:w="1397" w:type="dxa"/>
            <w:vAlign w:val="top"/>
          </w:tcPr>
          <w:p w14:paraId="734CDB3A">
            <w:pPr>
              <w:rPr>
                <w:rFonts w:ascii="Arial"/>
                <w:color w:val="auto"/>
                <w:sz w:val="21"/>
                <w:highlight w:val="none"/>
              </w:rPr>
            </w:pPr>
          </w:p>
        </w:tc>
        <w:tc>
          <w:tcPr>
            <w:tcW w:w="830" w:type="dxa"/>
            <w:vAlign w:val="top"/>
          </w:tcPr>
          <w:p w14:paraId="23521CF0">
            <w:pPr>
              <w:rPr>
                <w:rFonts w:ascii="Arial"/>
                <w:color w:val="auto"/>
                <w:sz w:val="21"/>
                <w:highlight w:val="none"/>
              </w:rPr>
            </w:pPr>
          </w:p>
        </w:tc>
      </w:tr>
      <w:tr w14:paraId="3B9FB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0929F457">
            <w:pPr>
              <w:rPr>
                <w:rFonts w:ascii="Arial"/>
                <w:color w:val="auto"/>
                <w:sz w:val="21"/>
                <w:highlight w:val="none"/>
              </w:rPr>
            </w:pPr>
          </w:p>
        </w:tc>
        <w:tc>
          <w:tcPr>
            <w:tcW w:w="1761" w:type="dxa"/>
            <w:vAlign w:val="top"/>
          </w:tcPr>
          <w:p w14:paraId="4C3437E5">
            <w:pPr>
              <w:rPr>
                <w:rFonts w:ascii="Arial"/>
                <w:color w:val="auto"/>
                <w:sz w:val="21"/>
                <w:highlight w:val="none"/>
              </w:rPr>
            </w:pPr>
          </w:p>
        </w:tc>
        <w:tc>
          <w:tcPr>
            <w:tcW w:w="826" w:type="dxa"/>
            <w:vAlign w:val="top"/>
          </w:tcPr>
          <w:p w14:paraId="6A119881">
            <w:pPr>
              <w:rPr>
                <w:rFonts w:ascii="Arial"/>
                <w:color w:val="auto"/>
                <w:sz w:val="21"/>
                <w:highlight w:val="none"/>
              </w:rPr>
            </w:pPr>
          </w:p>
        </w:tc>
        <w:tc>
          <w:tcPr>
            <w:tcW w:w="825" w:type="dxa"/>
            <w:vAlign w:val="top"/>
          </w:tcPr>
          <w:p w14:paraId="02418578">
            <w:pPr>
              <w:rPr>
                <w:rFonts w:ascii="Arial"/>
                <w:color w:val="auto"/>
                <w:sz w:val="21"/>
                <w:highlight w:val="none"/>
              </w:rPr>
            </w:pPr>
          </w:p>
        </w:tc>
        <w:tc>
          <w:tcPr>
            <w:tcW w:w="844" w:type="dxa"/>
            <w:vAlign w:val="top"/>
          </w:tcPr>
          <w:p w14:paraId="6B9BF0E3">
            <w:pPr>
              <w:rPr>
                <w:rFonts w:ascii="Arial"/>
                <w:color w:val="auto"/>
                <w:sz w:val="21"/>
                <w:highlight w:val="none"/>
              </w:rPr>
            </w:pPr>
          </w:p>
        </w:tc>
        <w:tc>
          <w:tcPr>
            <w:tcW w:w="1209" w:type="dxa"/>
            <w:vAlign w:val="top"/>
          </w:tcPr>
          <w:p w14:paraId="424F4EB6">
            <w:pPr>
              <w:rPr>
                <w:rFonts w:ascii="Arial"/>
                <w:color w:val="auto"/>
                <w:sz w:val="21"/>
                <w:highlight w:val="none"/>
              </w:rPr>
            </w:pPr>
          </w:p>
        </w:tc>
        <w:tc>
          <w:tcPr>
            <w:tcW w:w="1397" w:type="dxa"/>
            <w:vAlign w:val="top"/>
          </w:tcPr>
          <w:p w14:paraId="2B4FEAC6">
            <w:pPr>
              <w:rPr>
                <w:rFonts w:ascii="Arial"/>
                <w:color w:val="auto"/>
                <w:sz w:val="21"/>
                <w:highlight w:val="none"/>
              </w:rPr>
            </w:pPr>
          </w:p>
        </w:tc>
        <w:tc>
          <w:tcPr>
            <w:tcW w:w="830" w:type="dxa"/>
            <w:vAlign w:val="top"/>
          </w:tcPr>
          <w:p w14:paraId="3C855458">
            <w:pPr>
              <w:rPr>
                <w:rFonts w:ascii="Arial"/>
                <w:color w:val="auto"/>
                <w:sz w:val="21"/>
                <w:highlight w:val="none"/>
              </w:rPr>
            </w:pPr>
          </w:p>
        </w:tc>
      </w:tr>
      <w:tr w14:paraId="7D88E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0601834B">
            <w:pPr>
              <w:rPr>
                <w:rFonts w:ascii="Arial"/>
                <w:color w:val="auto"/>
                <w:sz w:val="21"/>
                <w:highlight w:val="none"/>
              </w:rPr>
            </w:pPr>
          </w:p>
        </w:tc>
        <w:tc>
          <w:tcPr>
            <w:tcW w:w="1761" w:type="dxa"/>
            <w:vAlign w:val="top"/>
          </w:tcPr>
          <w:p w14:paraId="50A9F623">
            <w:pPr>
              <w:rPr>
                <w:rFonts w:ascii="Arial"/>
                <w:color w:val="auto"/>
                <w:sz w:val="21"/>
                <w:highlight w:val="none"/>
              </w:rPr>
            </w:pPr>
          </w:p>
        </w:tc>
        <w:tc>
          <w:tcPr>
            <w:tcW w:w="826" w:type="dxa"/>
            <w:vAlign w:val="top"/>
          </w:tcPr>
          <w:p w14:paraId="756C459D">
            <w:pPr>
              <w:rPr>
                <w:rFonts w:ascii="Arial"/>
                <w:color w:val="auto"/>
                <w:sz w:val="21"/>
                <w:highlight w:val="none"/>
              </w:rPr>
            </w:pPr>
          </w:p>
        </w:tc>
        <w:tc>
          <w:tcPr>
            <w:tcW w:w="825" w:type="dxa"/>
            <w:vAlign w:val="top"/>
          </w:tcPr>
          <w:p w14:paraId="2905B899">
            <w:pPr>
              <w:rPr>
                <w:rFonts w:ascii="Arial"/>
                <w:color w:val="auto"/>
                <w:sz w:val="21"/>
                <w:highlight w:val="none"/>
              </w:rPr>
            </w:pPr>
          </w:p>
        </w:tc>
        <w:tc>
          <w:tcPr>
            <w:tcW w:w="844" w:type="dxa"/>
            <w:vAlign w:val="top"/>
          </w:tcPr>
          <w:p w14:paraId="3EC6AE2B">
            <w:pPr>
              <w:rPr>
                <w:rFonts w:ascii="Arial"/>
                <w:color w:val="auto"/>
                <w:sz w:val="21"/>
                <w:highlight w:val="none"/>
              </w:rPr>
            </w:pPr>
          </w:p>
        </w:tc>
        <w:tc>
          <w:tcPr>
            <w:tcW w:w="1209" w:type="dxa"/>
            <w:vAlign w:val="top"/>
          </w:tcPr>
          <w:p w14:paraId="42DAAA84">
            <w:pPr>
              <w:rPr>
                <w:rFonts w:ascii="Arial"/>
                <w:color w:val="auto"/>
                <w:sz w:val="21"/>
                <w:highlight w:val="none"/>
              </w:rPr>
            </w:pPr>
          </w:p>
        </w:tc>
        <w:tc>
          <w:tcPr>
            <w:tcW w:w="1397" w:type="dxa"/>
            <w:vAlign w:val="top"/>
          </w:tcPr>
          <w:p w14:paraId="1A55E738">
            <w:pPr>
              <w:rPr>
                <w:rFonts w:ascii="Arial"/>
                <w:color w:val="auto"/>
                <w:sz w:val="21"/>
                <w:highlight w:val="none"/>
              </w:rPr>
            </w:pPr>
          </w:p>
        </w:tc>
        <w:tc>
          <w:tcPr>
            <w:tcW w:w="830" w:type="dxa"/>
            <w:vAlign w:val="top"/>
          </w:tcPr>
          <w:p w14:paraId="5C020931">
            <w:pPr>
              <w:rPr>
                <w:rFonts w:ascii="Arial"/>
                <w:color w:val="auto"/>
                <w:sz w:val="21"/>
                <w:highlight w:val="none"/>
              </w:rPr>
            </w:pPr>
          </w:p>
        </w:tc>
      </w:tr>
      <w:tr w14:paraId="0EEE8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1FD26E7">
            <w:pPr>
              <w:rPr>
                <w:rFonts w:ascii="Arial"/>
                <w:color w:val="auto"/>
                <w:sz w:val="21"/>
                <w:highlight w:val="none"/>
              </w:rPr>
            </w:pPr>
          </w:p>
        </w:tc>
        <w:tc>
          <w:tcPr>
            <w:tcW w:w="1761" w:type="dxa"/>
            <w:vAlign w:val="top"/>
          </w:tcPr>
          <w:p w14:paraId="12620D4C">
            <w:pPr>
              <w:rPr>
                <w:rFonts w:ascii="Arial"/>
                <w:color w:val="auto"/>
                <w:sz w:val="21"/>
                <w:highlight w:val="none"/>
              </w:rPr>
            </w:pPr>
          </w:p>
        </w:tc>
        <w:tc>
          <w:tcPr>
            <w:tcW w:w="826" w:type="dxa"/>
            <w:vAlign w:val="top"/>
          </w:tcPr>
          <w:p w14:paraId="359512CF">
            <w:pPr>
              <w:rPr>
                <w:rFonts w:ascii="Arial"/>
                <w:color w:val="auto"/>
                <w:sz w:val="21"/>
                <w:highlight w:val="none"/>
              </w:rPr>
            </w:pPr>
          </w:p>
        </w:tc>
        <w:tc>
          <w:tcPr>
            <w:tcW w:w="825" w:type="dxa"/>
            <w:vAlign w:val="top"/>
          </w:tcPr>
          <w:p w14:paraId="112E70D1">
            <w:pPr>
              <w:rPr>
                <w:rFonts w:ascii="Arial"/>
                <w:color w:val="auto"/>
                <w:sz w:val="21"/>
                <w:highlight w:val="none"/>
              </w:rPr>
            </w:pPr>
          </w:p>
        </w:tc>
        <w:tc>
          <w:tcPr>
            <w:tcW w:w="844" w:type="dxa"/>
            <w:vAlign w:val="top"/>
          </w:tcPr>
          <w:p w14:paraId="69589347">
            <w:pPr>
              <w:rPr>
                <w:rFonts w:ascii="Arial"/>
                <w:color w:val="auto"/>
                <w:sz w:val="21"/>
                <w:highlight w:val="none"/>
              </w:rPr>
            </w:pPr>
          </w:p>
        </w:tc>
        <w:tc>
          <w:tcPr>
            <w:tcW w:w="1209" w:type="dxa"/>
            <w:vAlign w:val="top"/>
          </w:tcPr>
          <w:p w14:paraId="736003CD">
            <w:pPr>
              <w:rPr>
                <w:rFonts w:ascii="Arial"/>
                <w:color w:val="auto"/>
                <w:sz w:val="21"/>
                <w:highlight w:val="none"/>
              </w:rPr>
            </w:pPr>
          </w:p>
        </w:tc>
        <w:tc>
          <w:tcPr>
            <w:tcW w:w="1397" w:type="dxa"/>
            <w:vAlign w:val="top"/>
          </w:tcPr>
          <w:p w14:paraId="3BAB0A05">
            <w:pPr>
              <w:rPr>
                <w:rFonts w:ascii="Arial"/>
                <w:color w:val="auto"/>
                <w:sz w:val="21"/>
                <w:highlight w:val="none"/>
              </w:rPr>
            </w:pPr>
          </w:p>
        </w:tc>
        <w:tc>
          <w:tcPr>
            <w:tcW w:w="830" w:type="dxa"/>
            <w:vAlign w:val="top"/>
          </w:tcPr>
          <w:p w14:paraId="62343905">
            <w:pPr>
              <w:rPr>
                <w:rFonts w:ascii="Arial"/>
                <w:color w:val="auto"/>
                <w:sz w:val="21"/>
                <w:highlight w:val="none"/>
              </w:rPr>
            </w:pPr>
          </w:p>
        </w:tc>
      </w:tr>
      <w:tr w14:paraId="033BA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64085258">
            <w:pPr>
              <w:rPr>
                <w:rFonts w:ascii="Arial"/>
                <w:color w:val="auto"/>
                <w:sz w:val="21"/>
                <w:highlight w:val="none"/>
              </w:rPr>
            </w:pPr>
          </w:p>
        </w:tc>
        <w:tc>
          <w:tcPr>
            <w:tcW w:w="1761" w:type="dxa"/>
            <w:vAlign w:val="top"/>
          </w:tcPr>
          <w:p w14:paraId="61744B53">
            <w:pPr>
              <w:rPr>
                <w:rFonts w:ascii="Arial"/>
                <w:color w:val="auto"/>
                <w:sz w:val="21"/>
                <w:highlight w:val="none"/>
              </w:rPr>
            </w:pPr>
          </w:p>
        </w:tc>
        <w:tc>
          <w:tcPr>
            <w:tcW w:w="826" w:type="dxa"/>
            <w:vAlign w:val="top"/>
          </w:tcPr>
          <w:p w14:paraId="618DB8B5">
            <w:pPr>
              <w:rPr>
                <w:rFonts w:ascii="Arial"/>
                <w:color w:val="auto"/>
                <w:sz w:val="21"/>
                <w:highlight w:val="none"/>
              </w:rPr>
            </w:pPr>
          </w:p>
        </w:tc>
        <w:tc>
          <w:tcPr>
            <w:tcW w:w="825" w:type="dxa"/>
            <w:vAlign w:val="top"/>
          </w:tcPr>
          <w:p w14:paraId="6188044D">
            <w:pPr>
              <w:rPr>
                <w:rFonts w:ascii="Arial"/>
                <w:color w:val="auto"/>
                <w:sz w:val="21"/>
                <w:highlight w:val="none"/>
              </w:rPr>
            </w:pPr>
          </w:p>
        </w:tc>
        <w:tc>
          <w:tcPr>
            <w:tcW w:w="844" w:type="dxa"/>
            <w:vAlign w:val="top"/>
          </w:tcPr>
          <w:p w14:paraId="4E3FD923">
            <w:pPr>
              <w:rPr>
                <w:rFonts w:ascii="Arial"/>
                <w:color w:val="auto"/>
                <w:sz w:val="21"/>
                <w:highlight w:val="none"/>
              </w:rPr>
            </w:pPr>
          </w:p>
        </w:tc>
        <w:tc>
          <w:tcPr>
            <w:tcW w:w="1209" w:type="dxa"/>
            <w:vAlign w:val="top"/>
          </w:tcPr>
          <w:p w14:paraId="33FC91C2">
            <w:pPr>
              <w:rPr>
                <w:rFonts w:ascii="Arial"/>
                <w:color w:val="auto"/>
                <w:sz w:val="21"/>
                <w:highlight w:val="none"/>
              </w:rPr>
            </w:pPr>
          </w:p>
        </w:tc>
        <w:tc>
          <w:tcPr>
            <w:tcW w:w="1397" w:type="dxa"/>
            <w:vAlign w:val="top"/>
          </w:tcPr>
          <w:p w14:paraId="1FB84F06">
            <w:pPr>
              <w:rPr>
                <w:rFonts w:ascii="Arial"/>
                <w:color w:val="auto"/>
                <w:sz w:val="21"/>
                <w:highlight w:val="none"/>
              </w:rPr>
            </w:pPr>
          </w:p>
        </w:tc>
        <w:tc>
          <w:tcPr>
            <w:tcW w:w="830" w:type="dxa"/>
            <w:vAlign w:val="top"/>
          </w:tcPr>
          <w:p w14:paraId="1A224E04">
            <w:pPr>
              <w:rPr>
                <w:rFonts w:ascii="Arial"/>
                <w:color w:val="auto"/>
                <w:sz w:val="21"/>
                <w:highlight w:val="none"/>
              </w:rPr>
            </w:pPr>
          </w:p>
        </w:tc>
      </w:tr>
      <w:tr w14:paraId="213CE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293B67F5">
            <w:pPr>
              <w:rPr>
                <w:rFonts w:ascii="Arial"/>
                <w:color w:val="auto"/>
                <w:sz w:val="21"/>
                <w:highlight w:val="none"/>
              </w:rPr>
            </w:pPr>
          </w:p>
        </w:tc>
        <w:tc>
          <w:tcPr>
            <w:tcW w:w="1761" w:type="dxa"/>
            <w:vAlign w:val="top"/>
          </w:tcPr>
          <w:p w14:paraId="0581ADEF">
            <w:pPr>
              <w:rPr>
                <w:rFonts w:ascii="Arial"/>
                <w:color w:val="auto"/>
                <w:sz w:val="21"/>
                <w:highlight w:val="none"/>
              </w:rPr>
            </w:pPr>
          </w:p>
        </w:tc>
        <w:tc>
          <w:tcPr>
            <w:tcW w:w="826" w:type="dxa"/>
            <w:vAlign w:val="top"/>
          </w:tcPr>
          <w:p w14:paraId="2F2DC953">
            <w:pPr>
              <w:rPr>
                <w:rFonts w:ascii="Arial"/>
                <w:color w:val="auto"/>
                <w:sz w:val="21"/>
                <w:highlight w:val="none"/>
              </w:rPr>
            </w:pPr>
          </w:p>
        </w:tc>
        <w:tc>
          <w:tcPr>
            <w:tcW w:w="825" w:type="dxa"/>
            <w:vAlign w:val="top"/>
          </w:tcPr>
          <w:p w14:paraId="21020B8F">
            <w:pPr>
              <w:rPr>
                <w:rFonts w:ascii="Arial"/>
                <w:color w:val="auto"/>
                <w:sz w:val="21"/>
                <w:highlight w:val="none"/>
              </w:rPr>
            </w:pPr>
          </w:p>
        </w:tc>
        <w:tc>
          <w:tcPr>
            <w:tcW w:w="844" w:type="dxa"/>
            <w:vAlign w:val="top"/>
          </w:tcPr>
          <w:p w14:paraId="3E17B5A4">
            <w:pPr>
              <w:rPr>
                <w:rFonts w:ascii="Arial"/>
                <w:color w:val="auto"/>
                <w:sz w:val="21"/>
                <w:highlight w:val="none"/>
              </w:rPr>
            </w:pPr>
          </w:p>
        </w:tc>
        <w:tc>
          <w:tcPr>
            <w:tcW w:w="1209" w:type="dxa"/>
            <w:vAlign w:val="top"/>
          </w:tcPr>
          <w:p w14:paraId="5129F92F">
            <w:pPr>
              <w:rPr>
                <w:rFonts w:ascii="Arial"/>
                <w:color w:val="auto"/>
                <w:sz w:val="21"/>
                <w:highlight w:val="none"/>
              </w:rPr>
            </w:pPr>
          </w:p>
        </w:tc>
        <w:tc>
          <w:tcPr>
            <w:tcW w:w="1397" w:type="dxa"/>
            <w:vAlign w:val="top"/>
          </w:tcPr>
          <w:p w14:paraId="6A20C821">
            <w:pPr>
              <w:rPr>
                <w:rFonts w:ascii="Arial"/>
                <w:color w:val="auto"/>
                <w:sz w:val="21"/>
                <w:highlight w:val="none"/>
              </w:rPr>
            </w:pPr>
          </w:p>
        </w:tc>
        <w:tc>
          <w:tcPr>
            <w:tcW w:w="830" w:type="dxa"/>
            <w:vAlign w:val="top"/>
          </w:tcPr>
          <w:p w14:paraId="57E80220">
            <w:pPr>
              <w:rPr>
                <w:rFonts w:ascii="Arial"/>
                <w:color w:val="auto"/>
                <w:sz w:val="21"/>
                <w:highlight w:val="none"/>
              </w:rPr>
            </w:pPr>
          </w:p>
        </w:tc>
      </w:tr>
      <w:tr w14:paraId="452E4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6CBB363">
            <w:pPr>
              <w:rPr>
                <w:rFonts w:ascii="Arial"/>
                <w:color w:val="auto"/>
                <w:sz w:val="21"/>
                <w:highlight w:val="none"/>
              </w:rPr>
            </w:pPr>
          </w:p>
        </w:tc>
        <w:tc>
          <w:tcPr>
            <w:tcW w:w="1761" w:type="dxa"/>
            <w:vAlign w:val="top"/>
          </w:tcPr>
          <w:p w14:paraId="3BD80ED6">
            <w:pPr>
              <w:rPr>
                <w:rFonts w:ascii="Arial"/>
                <w:color w:val="auto"/>
                <w:sz w:val="21"/>
                <w:highlight w:val="none"/>
              </w:rPr>
            </w:pPr>
          </w:p>
        </w:tc>
        <w:tc>
          <w:tcPr>
            <w:tcW w:w="826" w:type="dxa"/>
            <w:vAlign w:val="top"/>
          </w:tcPr>
          <w:p w14:paraId="374D4B5D">
            <w:pPr>
              <w:rPr>
                <w:rFonts w:ascii="Arial"/>
                <w:color w:val="auto"/>
                <w:sz w:val="21"/>
                <w:highlight w:val="none"/>
              </w:rPr>
            </w:pPr>
          </w:p>
        </w:tc>
        <w:tc>
          <w:tcPr>
            <w:tcW w:w="825" w:type="dxa"/>
            <w:vAlign w:val="top"/>
          </w:tcPr>
          <w:p w14:paraId="4A64B592">
            <w:pPr>
              <w:rPr>
                <w:rFonts w:ascii="Arial"/>
                <w:color w:val="auto"/>
                <w:sz w:val="21"/>
                <w:highlight w:val="none"/>
              </w:rPr>
            </w:pPr>
          </w:p>
        </w:tc>
        <w:tc>
          <w:tcPr>
            <w:tcW w:w="844" w:type="dxa"/>
            <w:vAlign w:val="top"/>
          </w:tcPr>
          <w:p w14:paraId="1064CCAC">
            <w:pPr>
              <w:rPr>
                <w:rFonts w:ascii="Arial"/>
                <w:color w:val="auto"/>
                <w:sz w:val="21"/>
                <w:highlight w:val="none"/>
              </w:rPr>
            </w:pPr>
          </w:p>
        </w:tc>
        <w:tc>
          <w:tcPr>
            <w:tcW w:w="1209" w:type="dxa"/>
            <w:vAlign w:val="top"/>
          </w:tcPr>
          <w:p w14:paraId="2FF7F46B">
            <w:pPr>
              <w:rPr>
                <w:rFonts w:ascii="Arial"/>
                <w:color w:val="auto"/>
                <w:sz w:val="21"/>
                <w:highlight w:val="none"/>
              </w:rPr>
            </w:pPr>
          </w:p>
        </w:tc>
        <w:tc>
          <w:tcPr>
            <w:tcW w:w="1397" w:type="dxa"/>
            <w:vAlign w:val="top"/>
          </w:tcPr>
          <w:p w14:paraId="407F3815">
            <w:pPr>
              <w:rPr>
                <w:rFonts w:ascii="Arial"/>
                <w:color w:val="auto"/>
                <w:sz w:val="21"/>
                <w:highlight w:val="none"/>
              </w:rPr>
            </w:pPr>
          </w:p>
        </w:tc>
        <w:tc>
          <w:tcPr>
            <w:tcW w:w="830" w:type="dxa"/>
            <w:vAlign w:val="top"/>
          </w:tcPr>
          <w:p w14:paraId="5CD34995">
            <w:pPr>
              <w:rPr>
                <w:rFonts w:ascii="Arial"/>
                <w:color w:val="auto"/>
                <w:sz w:val="21"/>
                <w:highlight w:val="none"/>
              </w:rPr>
            </w:pPr>
          </w:p>
        </w:tc>
      </w:tr>
      <w:tr w14:paraId="6F32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5D1A1D3A">
            <w:pPr>
              <w:rPr>
                <w:rFonts w:ascii="Arial"/>
                <w:color w:val="auto"/>
                <w:sz w:val="21"/>
                <w:highlight w:val="none"/>
              </w:rPr>
            </w:pPr>
          </w:p>
        </w:tc>
        <w:tc>
          <w:tcPr>
            <w:tcW w:w="1761" w:type="dxa"/>
            <w:vAlign w:val="top"/>
          </w:tcPr>
          <w:p w14:paraId="62EE2DAB">
            <w:pPr>
              <w:rPr>
                <w:rFonts w:ascii="Arial"/>
                <w:color w:val="auto"/>
                <w:sz w:val="21"/>
                <w:highlight w:val="none"/>
              </w:rPr>
            </w:pPr>
          </w:p>
        </w:tc>
        <w:tc>
          <w:tcPr>
            <w:tcW w:w="826" w:type="dxa"/>
            <w:vAlign w:val="top"/>
          </w:tcPr>
          <w:p w14:paraId="2DC314CE">
            <w:pPr>
              <w:rPr>
                <w:rFonts w:ascii="Arial"/>
                <w:color w:val="auto"/>
                <w:sz w:val="21"/>
                <w:highlight w:val="none"/>
              </w:rPr>
            </w:pPr>
          </w:p>
        </w:tc>
        <w:tc>
          <w:tcPr>
            <w:tcW w:w="825" w:type="dxa"/>
            <w:vAlign w:val="top"/>
          </w:tcPr>
          <w:p w14:paraId="6DD982BF">
            <w:pPr>
              <w:rPr>
                <w:rFonts w:ascii="Arial"/>
                <w:color w:val="auto"/>
                <w:sz w:val="21"/>
                <w:highlight w:val="none"/>
              </w:rPr>
            </w:pPr>
          </w:p>
        </w:tc>
        <w:tc>
          <w:tcPr>
            <w:tcW w:w="844" w:type="dxa"/>
            <w:vAlign w:val="top"/>
          </w:tcPr>
          <w:p w14:paraId="2255C2F8">
            <w:pPr>
              <w:rPr>
                <w:rFonts w:ascii="Arial"/>
                <w:color w:val="auto"/>
                <w:sz w:val="21"/>
                <w:highlight w:val="none"/>
              </w:rPr>
            </w:pPr>
          </w:p>
        </w:tc>
        <w:tc>
          <w:tcPr>
            <w:tcW w:w="1209" w:type="dxa"/>
            <w:vAlign w:val="top"/>
          </w:tcPr>
          <w:p w14:paraId="5ABA32B4">
            <w:pPr>
              <w:rPr>
                <w:rFonts w:ascii="Arial"/>
                <w:color w:val="auto"/>
                <w:sz w:val="21"/>
                <w:highlight w:val="none"/>
              </w:rPr>
            </w:pPr>
          </w:p>
        </w:tc>
        <w:tc>
          <w:tcPr>
            <w:tcW w:w="1397" w:type="dxa"/>
            <w:vAlign w:val="top"/>
          </w:tcPr>
          <w:p w14:paraId="0D4A4A9D">
            <w:pPr>
              <w:rPr>
                <w:rFonts w:ascii="Arial"/>
                <w:color w:val="auto"/>
                <w:sz w:val="21"/>
                <w:highlight w:val="none"/>
              </w:rPr>
            </w:pPr>
          </w:p>
        </w:tc>
        <w:tc>
          <w:tcPr>
            <w:tcW w:w="830" w:type="dxa"/>
            <w:vAlign w:val="top"/>
          </w:tcPr>
          <w:p w14:paraId="15819958">
            <w:pPr>
              <w:rPr>
                <w:rFonts w:ascii="Arial"/>
                <w:color w:val="auto"/>
                <w:sz w:val="21"/>
                <w:highlight w:val="none"/>
              </w:rPr>
            </w:pPr>
          </w:p>
        </w:tc>
      </w:tr>
      <w:tr w14:paraId="407E7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3C375E55">
            <w:pPr>
              <w:rPr>
                <w:rFonts w:ascii="Arial"/>
                <w:color w:val="auto"/>
                <w:sz w:val="21"/>
                <w:highlight w:val="none"/>
              </w:rPr>
            </w:pPr>
          </w:p>
        </w:tc>
        <w:tc>
          <w:tcPr>
            <w:tcW w:w="1761" w:type="dxa"/>
            <w:vAlign w:val="top"/>
          </w:tcPr>
          <w:p w14:paraId="59F5C59C">
            <w:pPr>
              <w:rPr>
                <w:rFonts w:ascii="Arial"/>
                <w:color w:val="auto"/>
                <w:sz w:val="21"/>
                <w:highlight w:val="none"/>
              </w:rPr>
            </w:pPr>
          </w:p>
        </w:tc>
        <w:tc>
          <w:tcPr>
            <w:tcW w:w="826" w:type="dxa"/>
            <w:vAlign w:val="top"/>
          </w:tcPr>
          <w:p w14:paraId="27DDF058">
            <w:pPr>
              <w:rPr>
                <w:rFonts w:ascii="Arial"/>
                <w:color w:val="auto"/>
                <w:sz w:val="21"/>
                <w:highlight w:val="none"/>
              </w:rPr>
            </w:pPr>
          </w:p>
        </w:tc>
        <w:tc>
          <w:tcPr>
            <w:tcW w:w="825" w:type="dxa"/>
            <w:vAlign w:val="top"/>
          </w:tcPr>
          <w:p w14:paraId="3B690752">
            <w:pPr>
              <w:rPr>
                <w:rFonts w:ascii="Arial"/>
                <w:color w:val="auto"/>
                <w:sz w:val="21"/>
                <w:highlight w:val="none"/>
              </w:rPr>
            </w:pPr>
          </w:p>
        </w:tc>
        <w:tc>
          <w:tcPr>
            <w:tcW w:w="844" w:type="dxa"/>
            <w:vAlign w:val="top"/>
          </w:tcPr>
          <w:p w14:paraId="53CD8902">
            <w:pPr>
              <w:rPr>
                <w:rFonts w:ascii="Arial"/>
                <w:color w:val="auto"/>
                <w:sz w:val="21"/>
                <w:highlight w:val="none"/>
              </w:rPr>
            </w:pPr>
          </w:p>
        </w:tc>
        <w:tc>
          <w:tcPr>
            <w:tcW w:w="1209" w:type="dxa"/>
            <w:vAlign w:val="top"/>
          </w:tcPr>
          <w:p w14:paraId="0EE0087C">
            <w:pPr>
              <w:rPr>
                <w:rFonts w:ascii="Arial"/>
                <w:color w:val="auto"/>
                <w:sz w:val="21"/>
                <w:highlight w:val="none"/>
              </w:rPr>
            </w:pPr>
          </w:p>
        </w:tc>
        <w:tc>
          <w:tcPr>
            <w:tcW w:w="1397" w:type="dxa"/>
            <w:vAlign w:val="top"/>
          </w:tcPr>
          <w:p w14:paraId="3B011578">
            <w:pPr>
              <w:rPr>
                <w:rFonts w:ascii="Arial"/>
                <w:color w:val="auto"/>
                <w:sz w:val="21"/>
                <w:highlight w:val="none"/>
              </w:rPr>
            </w:pPr>
          </w:p>
        </w:tc>
        <w:tc>
          <w:tcPr>
            <w:tcW w:w="830" w:type="dxa"/>
            <w:vAlign w:val="top"/>
          </w:tcPr>
          <w:p w14:paraId="6B03BBBE">
            <w:pPr>
              <w:rPr>
                <w:rFonts w:ascii="Arial"/>
                <w:color w:val="auto"/>
                <w:sz w:val="21"/>
                <w:highlight w:val="none"/>
              </w:rPr>
            </w:pPr>
          </w:p>
        </w:tc>
      </w:tr>
    </w:tbl>
    <w:p w14:paraId="595642EE">
      <w:pPr>
        <w:spacing w:before="269" w:line="186"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注：此表由招标人填写，供投标人在投标报价、确定总承包服务</w:t>
      </w:r>
      <w:r>
        <w:rPr>
          <w:rFonts w:ascii="宋体" w:hAnsi="宋体" w:eastAsia="宋体" w:cs="宋体"/>
          <w:color w:val="auto"/>
          <w:spacing w:val="-1"/>
          <w:sz w:val="21"/>
          <w:szCs w:val="21"/>
          <w:highlight w:val="none"/>
        </w:rPr>
        <w:t>费时参考。</w:t>
      </w:r>
    </w:p>
    <w:p w14:paraId="5AA33585">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1">
            <w:col w:w="8333"/>
          </w:cols>
        </w:sectPr>
      </w:pPr>
    </w:p>
    <w:p w14:paraId="14A3AA28">
      <w:pPr>
        <w:pStyle w:val="5"/>
        <w:spacing w:line="261" w:lineRule="auto"/>
        <w:rPr>
          <w:color w:val="auto"/>
          <w:highlight w:val="none"/>
        </w:rPr>
      </w:pPr>
    </w:p>
    <w:p w14:paraId="6AAAAD4C">
      <w:pPr>
        <w:pStyle w:val="5"/>
        <w:spacing w:line="262" w:lineRule="auto"/>
        <w:rPr>
          <w:color w:val="auto"/>
          <w:highlight w:val="none"/>
        </w:rPr>
      </w:pPr>
    </w:p>
    <w:p w14:paraId="34D76F69">
      <w:pPr>
        <w:pStyle w:val="5"/>
        <w:spacing w:line="262" w:lineRule="auto"/>
        <w:rPr>
          <w:color w:val="auto"/>
          <w:highlight w:val="none"/>
        </w:rPr>
      </w:pPr>
    </w:p>
    <w:p w14:paraId="30648E6C">
      <w:pPr>
        <w:pStyle w:val="5"/>
        <w:spacing w:line="262" w:lineRule="auto"/>
        <w:rPr>
          <w:color w:val="auto"/>
          <w:highlight w:val="none"/>
        </w:rPr>
      </w:pPr>
    </w:p>
    <w:p w14:paraId="52EF56C5">
      <w:pPr>
        <w:pStyle w:val="5"/>
        <w:spacing w:line="262" w:lineRule="auto"/>
        <w:rPr>
          <w:color w:val="auto"/>
          <w:highlight w:val="none"/>
        </w:rPr>
      </w:pPr>
    </w:p>
    <w:p w14:paraId="19879CA0">
      <w:pPr>
        <w:spacing w:before="78" w:line="218" w:lineRule="auto"/>
        <w:ind w:left="1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4.15 </w:t>
      </w:r>
      <w:r>
        <w:rPr>
          <w:rFonts w:ascii="黑体" w:hAnsi="黑体" w:eastAsia="黑体" w:cs="黑体"/>
          <w:color w:val="auto"/>
          <w:spacing w:val="-1"/>
          <w:sz w:val="24"/>
          <w:szCs w:val="24"/>
          <w:highlight w:val="none"/>
        </w:rPr>
        <w:t>承包人提供主要材料和工程设备一览表</w:t>
      </w:r>
      <w:r>
        <w:rPr>
          <w:rFonts w:ascii="宋体" w:hAnsi="宋体" w:eastAsia="宋体" w:cs="宋体"/>
          <w:color w:val="auto"/>
          <w:spacing w:val="-1"/>
          <w:sz w:val="24"/>
          <w:szCs w:val="24"/>
          <w:highlight w:val="none"/>
        </w:rPr>
        <w:t>（适用于造价信息差额调整法）</w:t>
      </w:r>
    </w:p>
    <w:p w14:paraId="0EB38E8E">
      <w:pPr>
        <w:pStyle w:val="5"/>
        <w:spacing w:line="437" w:lineRule="auto"/>
        <w:rPr>
          <w:color w:val="auto"/>
          <w:highlight w:val="none"/>
        </w:rPr>
      </w:pPr>
    </w:p>
    <w:p w14:paraId="24E9B2C9">
      <w:pPr>
        <w:spacing w:before="88" w:line="225" w:lineRule="auto"/>
        <w:ind w:left="1796"/>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承包人提供主要材料和工程设备一览表</w:t>
      </w:r>
    </w:p>
    <w:p w14:paraId="707C7D55">
      <w:pPr>
        <w:spacing w:line="219" w:lineRule="exact"/>
        <w:rPr>
          <w:color w:val="auto"/>
          <w:highlight w:val="none"/>
        </w:rPr>
      </w:pPr>
    </w:p>
    <w:p w14:paraId="29A0A68E">
      <w:pPr>
        <w:spacing w:line="219" w:lineRule="exact"/>
        <w:rPr>
          <w:color w:val="auto"/>
          <w:highlight w:val="none"/>
        </w:rPr>
        <w:sectPr>
          <w:footerReference r:id="rId141" w:type="default"/>
          <w:pgSz w:w="11905" w:h="16839"/>
          <w:pgMar w:top="400" w:right="1785" w:bottom="1004" w:left="1785" w:header="0" w:footer="828" w:gutter="0"/>
          <w:pgNumType w:fmt="decimal"/>
          <w:cols w:equalWidth="0" w:num="1">
            <w:col w:w="8333"/>
          </w:cols>
        </w:sectPr>
      </w:pPr>
    </w:p>
    <w:p w14:paraId="6D3E7711">
      <w:pPr>
        <w:spacing w:before="42"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5A3D9368">
      <w:pPr>
        <w:pStyle w:val="5"/>
        <w:spacing w:line="14" w:lineRule="auto"/>
        <w:rPr>
          <w:color w:val="auto"/>
          <w:sz w:val="2"/>
          <w:highlight w:val="none"/>
        </w:rPr>
      </w:pPr>
      <w:r>
        <w:rPr>
          <w:color w:val="auto"/>
          <w:sz w:val="2"/>
          <w:szCs w:val="2"/>
          <w:highlight w:val="none"/>
        </w:rPr>
        <w:br w:type="column"/>
      </w:r>
    </w:p>
    <w:p w14:paraId="480AFA77">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第</w:t>
      </w:r>
      <w:r>
        <w:rPr>
          <w:rFonts w:ascii="宋体" w:hAnsi="宋体" w:eastAsia="宋体" w:cs="宋体"/>
          <w:color w:val="auto"/>
          <w:spacing w:val="18"/>
          <w:sz w:val="21"/>
          <w:szCs w:val="21"/>
          <w:highlight w:val="none"/>
        </w:rPr>
        <w:t xml:space="preserve"> </w:t>
      </w:r>
      <w:r>
        <w:rPr>
          <w:rFonts w:ascii="宋体" w:hAnsi="宋体" w:eastAsia="宋体" w:cs="宋体"/>
          <w:color w:val="auto"/>
          <w:spacing w:val="-13"/>
          <w:sz w:val="21"/>
          <w:szCs w:val="21"/>
          <w:highlight w:val="none"/>
        </w:rPr>
        <w:t>页 共</w:t>
      </w:r>
      <w:r>
        <w:rPr>
          <w:rFonts w:ascii="宋体" w:hAnsi="宋体" w:eastAsia="宋体" w:cs="宋体"/>
          <w:color w:val="auto"/>
          <w:spacing w:val="9"/>
          <w:sz w:val="21"/>
          <w:szCs w:val="21"/>
          <w:highlight w:val="none"/>
        </w:rPr>
        <w:t xml:space="preserve"> </w:t>
      </w:r>
      <w:r>
        <w:rPr>
          <w:rFonts w:ascii="宋体" w:hAnsi="宋体" w:eastAsia="宋体" w:cs="宋体"/>
          <w:color w:val="auto"/>
          <w:spacing w:val="-13"/>
          <w:sz w:val="21"/>
          <w:szCs w:val="21"/>
          <w:highlight w:val="none"/>
        </w:rPr>
        <w:t>页</w:t>
      </w:r>
    </w:p>
    <w:p w14:paraId="40DB8675">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14:paraId="66763B71">
      <w:pPr>
        <w:spacing w:line="32" w:lineRule="exact"/>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14:paraId="0F93D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14:paraId="6CB17B11">
            <w:pPr>
              <w:pStyle w:val="18"/>
              <w:spacing w:before="167" w:line="211" w:lineRule="auto"/>
              <w:ind w:left="20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468" w:type="dxa"/>
            <w:vAlign w:val="top"/>
          </w:tcPr>
          <w:p w14:paraId="2C3CF949">
            <w:pPr>
              <w:pStyle w:val="18"/>
              <w:spacing w:before="201" w:line="241" w:lineRule="auto"/>
              <w:ind w:left="318"/>
              <w:rPr>
                <w:color w:val="auto"/>
                <w:highlight w:val="none"/>
              </w:rPr>
            </w:pPr>
            <w:r>
              <w:rPr>
                <w:color w:val="auto"/>
                <w:spacing w:val="-2"/>
                <w:highlight w:val="none"/>
              </w:rPr>
              <w:t>名称、规</w:t>
            </w:r>
          </w:p>
          <w:p w14:paraId="24B76D71">
            <w:pPr>
              <w:pStyle w:val="18"/>
              <w:spacing w:line="220" w:lineRule="auto"/>
              <w:ind w:left="315"/>
              <w:rPr>
                <w:color w:val="auto"/>
                <w:highlight w:val="none"/>
              </w:rPr>
            </w:pPr>
            <w:r>
              <w:rPr>
                <w:color w:val="auto"/>
                <w:spacing w:val="-1"/>
                <w:highlight w:val="none"/>
              </w:rPr>
              <w:t>格、型号</w:t>
            </w:r>
          </w:p>
        </w:tc>
        <w:tc>
          <w:tcPr>
            <w:tcW w:w="595" w:type="dxa"/>
            <w:textDirection w:val="tbRlV"/>
            <w:vAlign w:val="top"/>
          </w:tcPr>
          <w:p w14:paraId="1B6CC12D">
            <w:pPr>
              <w:pStyle w:val="18"/>
              <w:spacing w:before="195" w:line="209" w:lineRule="auto"/>
              <w:ind w:left="202"/>
              <w:rPr>
                <w:color w:val="auto"/>
                <w:highlight w:val="none"/>
              </w:rPr>
            </w:pPr>
            <w:r>
              <w:rPr>
                <w:color w:val="auto"/>
                <w:spacing w:val="1"/>
                <w:highlight w:val="none"/>
              </w:rPr>
              <w:t>单</w:t>
            </w:r>
            <w:r>
              <w:rPr>
                <w:color w:val="auto"/>
                <w:spacing w:val="-43"/>
                <w:highlight w:val="none"/>
              </w:rPr>
              <w:t xml:space="preserve"> </w:t>
            </w:r>
            <w:r>
              <w:rPr>
                <w:color w:val="auto"/>
                <w:spacing w:val="1"/>
                <w:highlight w:val="none"/>
              </w:rPr>
              <w:t>位</w:t>
            </w:r>
          </w:p>
        </w:tc>
        <w:tc>
          <w:tcPr>
            <w:tcW w:w="686" w:type="dxa"/>
            <w:vAlign w:val="top"/>
          </w:tcPr>
          <w:p w14:paraId="376C41F4">
            <w:pPr>
              <w:spacing w:line="271" w:lineRule="auto"/>
              <w:rPr>
                <w:rFonts w:ascii="Arial"/>
                <w:color w:val="auto"/>
                <w:sz w:val="21"/>
                <w:highlight w:val="none"/>
              </w:rPr>
            </w:pPr>
          </w:p>
          <w:p w14:paraId="1B34E57B">
            <w:pPr>
              <w:pStyle w:val="18"/>
              <w:spacing w:before="68" w:line="221" w:lineRule="auto"/>
              <w:ind w:left="141"/>
              <w:rPr>
                <w:color w:val="auto"/>
                <w:highlight w:val="none"/>
              </w:rPr>
            </w:pPr>
            <w:r>
              <w:rPr>
                <w:color w:val="auto"/>
                <w:spacing w:val="-2"/>
                <w:highlight w:val="none"/>
              </w:rPr>
              <w:t>数量</w:t>
            </w:r>
          </w:p>
        </w:tc>
        <w:tc>
          <w:tcPr>
            <w:tcW w:w="864" w:type="dxa"/>
            <w:vAlign w:val="top"/>
          </w:tcPr>
          <w:p w14:paraId="3784792A">
            <w:pPr>
              <w:pStyle w:val="18"/>
              <w:spacing w:before="67"/>
              <w:ind w:left="146" w:right="140" w:firstLine="85"/>
              <w:jc w:val="both"/>
              <w:rPr>
                <w:color w:val="auto"/>
                <w:highlight w:val="none"/>
              </w:rPr>
            </w:pPr>
            <w:r>
              <w:rPr>
                <w:color w:val="auto"/>
                <w:spacing w:val="-4"/>
                <w:highlight w:val="none"/>
              </w:rPr>
              <w:t>风险</w:t>
            </w:r>
            <w:r>
              <w:rPr>
                <w:color w:val="auto"/>
                <w:highlight w:val="none"/>
              </w:rPr>
              <w:t xml:space="preserve"> </w:t>
            </w:r>
            <w:r>
              <w:rPr>
                <w:color w:val="auto"/>
                <w:spacing w:val="39"/>
                <w:highlight w:val="none"/>
              </w:rPr>
              <w:t>系数</w:t>
            </w:r>
            <w:r>
              <w:rPr>
                <w:color w:val="auto"/>
                <w:highlight w:val="none"/>
              </w:rPr>
              <w:t xml:space="preserve"> </w:t>
            </w:r>
            <w:r>
              <w:rPr>
                <w:color w:val="auto"/>
                <w:spacing w:val="-8"/>
                <w:highlight w:val="none"/>
              </w:rPr>
              <w:t>（</w:t>
            </w:r>
            <w:r>
              <w:rPr>
                <w:rFonts w:ascii="Times New Roman" w:hAnsi="Times New Roman" w:eastAsia="Times New Roman" w:cs="Times New Roman"/>
                <w:color w:val="auto"/>
                <w:spacing w:val="-8"/>
                <w:highlight w:val="none"/>
              </w:rPr>
              <w:t>%</w:t>
            </w:r>
            <w:r>
              <w:rPr>
                <w:color w:val="auto"/>
                <w:spacing w:val="-8"/>
                <w:highlight w:val="none"/>
              </w:rPr>
              <w:t>）</w:t>
            </w:r>
          </w:p>
        </w:tc>
        <w:tc>
          <w:tcPr>
            <w:tcW w:w="907" w:type="dxa"/>
            <w:vAlign w:val="top"/>
          </w:tcPr>
          <w:p w14:paraId="4BA330B6">
            <w:pPr>
              <w:pStyle w:val="18"/>
              <w:spacing w:before="66" w:line="233" w:lineRule="auto"/>
              <w:ind w:left="152" w:right="145" w:firstLine="99"/>
              <w:jc w:val="both"/>
              <w:rPr>
                <w:color w:val="auto"/>
                <w:highlight w:val="none"/>
              </w:rPr>
            </w:pPr>
            <w:r>
              <w:rPr>
                <w:color w:val="auto"/>
                <w:spacing w:val="-3"/>
                <w:highlight w:val="none"/>
              </w:rPr>
              <w:t>基准</w:t>
            </w:r>
            <w:r>
              <w:rPr>
                <w:color w:val="auto"/>
                <w:highlight w:val="none"/>
              </w:rPr>
              <w:t xml:space="preserve">  </w:t>
            </w:r>
            <w:r>
              <w:rPr>
                <w:color w:val="auto"/>
                <w:spacing w:val="46"/>
                <w:highlight w:val="none"/>
              </w:rPr>
              <w:t>单价</w:t>
            </w:r>
            <w:r>
              <w:rPr>
                <w:color w:val="auto"/>
                <w:highlight w:val="none"/>
              </w:rPr>
              <w:t xml:space="preserve">  </w:t>
            </w:r>
            <w:r>
              <w:rPr>
                <w:color w:val="auto"/>
                <w:spacing w:val="-9"/>
                <w:highlight w:val="none"/>
              </w:rPr>
              <w:t>（元）</w:t>
            </w:r>
          </w:p>
        </w:tc>
        <w:tc>
          <w:tcPr>
            <w:tcW w:w="1248" w:type="dxa"/>
            <w:vAlign w:val="top"/>
          </w:tcPr>
          <w:p w14:paraId="595996F3">
            <w:pPr>
              <w:pStyle w:val="18"/>
              <w:spacing w:before="202" w:line="231" w:lineRule="auto"/>
              <w:ind w:left="325" w:right="192" w:hanging="109"/>
              <w:rPr>
                <w:color w:val="auto"/>
                <w:highlight w:val="none"/>
              </w:rPr>
            </w:pPr>
            <w:r>
              <w:rPr>
                <w:color w:val="auto"/>
                <w:spacing w:val="-2"/>
                <w:highlight w:val="none"/>
              </w:rPr>
              <w:t>投标单价</w:t>
            </w:r>
            <w:r>
              <w:rPr>
                <w:color w:val="auto"/>
                <w:spacing w:val="1"/>
                <w:highlight w:val="none"/>
              </w:rPr>
              <w:t xml:space="preserve"> </w:t>
            </w:r>
            <w:r>
              <w:rPr>
                <w:color w:val="auto"/>
                <w:spacing w:val="-6"/>
                <w:highlight w:val="none"/>
              </w:rPr>
              <w:t>（元）</w:t>
            </w:r>
          </w:p>
        </w:tc>
        <w:tc>
          <w:tcPr>
            <w:tcW w:w="1382" w:type="dxa"/>
            <w:vAlign w:val="top"/>
          </w:tcPr>
          <w:p w14:paraId="53F91756">
            <w:pPr>
              <w:pStyle w:val="18"/>
              <w:spacing w:before="67" w:line="230" w:lineRule="auto"/>
              <w:ind w:left="386" w:right="153" w:hanging="207"/>
              <w:rPr>
                <w:color w:val="auto"/>
                <w:highlight w:val="none"/>
              </w:rPr>
            </w:pPr>
            <w:r>
              <w:rPr>
                <w:color w:val="auto"/>
                <w:spacing w:val="-2"/>
                <w:highlight w:val="none"/>
              </w:rPr>
              <w:t>发承包人确</w:t>
            </w:r>
            <w:r>
              <w:rPr>
                <w:color w:val="auto"/>
                <w:spacing w:val="3"/>
                <w:highlight w:val="none"/>
              </w:rPr>
              <w:t xml:space="preserve"> </w:t>
            </w:r>
            <w:r>
              <w:rPr>
                <w:color w:val="auto"/>
                <w:spacing w:val="-2"/>
                <w:highlight w:val="none"/>
              </w:rPr>
              <w:t>认单价</w:t>
            </w:r>
          </w:p>
          <w:p w14:paraId="3FBF422F">
            <w:pPr>
              <w:pStyle w:val="18"/>
              <w:spacing w:before="19" w:line="221" w:lineRule="auto"/>
              <w:ind w:left="393"/>
              <w:rPr>
                <w:color w:val="auto"/>
                <w:highlight w:val="none"/>
              </w:rPr>
            </w:pPr>
            <w:r>
              <w:rPr>
                <w:color w:val="auto"/>
                <w:spacing w:val="-6"/>
                <w:highlight w:val="none"/>
              </w:rPr>
              <w:t>（元）</w:t>
            </w:r>
          </w:p>
        </w:tc>
        <w:tc>
          <w:tcPr>
            <w:tcW w:w="609" w:type="dxa"/>
            <w:textDirection w:val="tbRlV"/>
            <w:vAlign w:val="top"/>
          </w:tcPr>
          <w:p w14:paraId="510A9F4C">
            <w:pPr>
              <w:pStyle w:val="18"/>
              <w:spacing w:before="195" w:line="210" w:lineRule="auto"/>
              <w:ind w:left="202"/>
              <w:rPr>
                <w:color w:val="auto"/>
                <w:highlight w:val="none"/>
              </w:rPr>
            </w:pPr>
            <w:r>
              <w:rPr>
                <w:color w:val="auto"/>
                <w:spacing w:val="1"/>
                <w:highlight w:val="none"/>
              </w:rPr>
              <w:t>备</w:t>
            </w:r>
            <w:r>
              <w:rPr>
                <w:color w:val="auto"/>
                <w:spacing w:val="-43"/>
                <w:highlight w:val="none"/>
              </w:rPr>
              <w:t xml:space="preserve"> </w:t>
            </w:r>
            <w:r>
              <w:rPr>
                <w:color w:val="auto"/>
                <w:spacing w:val="1"/>
                <w:highlight w:val="none"/>
              </w:rPr>
              <w:t>注</w:t>
            </w:r>
          </w:p>
        </w:tc>
      </w:tr>
      <w:tr w14:paraId="1D2C0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0CEAFF87">
            <w:pPr>
              <w:rPr>
                <w:rFonts w:ascii="Arial"/>
                <w:color w:val="auto"/>
                <w:sz w:val="21"/>
                <w:highlight w:val="none"/>
              </w:rPr>
            </w:pPr>
          </w:p>
        </w:tc>
        <w:tc>
          <w:tcPr>
            <w:tcW w:w="1468" w:type="dxa"/>
            <w:vAlign w:val="top"/>
          </w:tcPr>
          <w:p w14:paraId="7E7C9C76">
            <w:pPr>
              <w:rPr>
                <w:rFonts w:ascii="Arial"/>
                <w:color w:val="auto"/>
                <w:sz w:val="21"/>
                <w:highlight w:val="none"/>
              </w:rPr>
            </w:pPr>
          </w:p>
        </w:tc>
        <w:tc>
          <w:tcPr>
            <w:tcW w:w="595" w:type="dxa"/>
            <w:vAlign w:val="top"/>
          </w:tcPr>
          <w:p w14:paraId="719D368A">
            <w:pPr>
              <w:rPr>
                <w:rFonts w:ascii="Arial"/>
                <w:color w:val="auto"/>
                <w:sz w:val="21"/>
                <w:highlight w:val="none"/>
              </w:rPr>
            </w:pPr>
          </w:p>
        </w:tc>
        <w:tc>
          <w:tcPr>
            <w:tcW w:w="686" w:type="dxa"/>
            <w:vAlign w:val="top"/>
          </w:tcPr>
          <w:p w14:paraId="79A4B508">
            <w:pPr>
              <w:rPr>
                <w:rFonts w:ascii="Arial"/>
                <w:color w:val="auto"/>
                <w:sz w:val="21"/>
                <w:highlight w:val="none"/>
              </w:rPr>
            </w:pPr>
          </w:p>
        </w:tc>
        <w:tc>
          <w:tcPr>
            <w:tcW w:w="864" w:type="dxa"/>
            <w:vAlign w:val="top"/>
          </w:tcPr>
          <w:p w14:paraId="0E26FA61">
            <w:pPr>
              <w:rPr>
                <w:rFonts w:ascii="Arial"/>
                <w:color w:val="auto"/>
                <w:sz w:val="21"/>
                <w:highlight w:val="none"/>
              </w:rPr>
            </w:pPr>
          </w:p>
        </w:tc>
        <w:tc>
          <w:tcPr>
            <w:tcW w:w="907" w:type="dxa"/>
            <w:vAlign w:val="top"/>
          </w:tcPr>
          <w:p w14:paraId="3AD1963A">
            <w:pPr>
              <w:rPr>
                <w:rFonts w:ascii="Arial"/>
                <w:color w:val="auto"/>
                <w:sz w:val="21"/>
                <w:highlight w:val="none"/>
              </w:rPr>
            </w:pPr>
          </w:p>
        </w:tc>
        <w:tc>
          <w:tcPr>
            <w:tcW w:w="1248" w:type="dxa"/>
            <w:vAlign w:val="top"/>
          </w:tcPr>
          <w:p w14:paraId="70DCB9AE">
            <w:pPr>
              <w:rPr>
                <w:rFonts w:ascii="Arial"/>
                <w:color w:val="auto"/>
                <w:sz w:val="21"/>
                <w:highlight w:val="none"/>
              </w:rPr>
            </w:pPr>
          </w:p>
        </w:tc>
        <w:tc>
          <w:tcPr>
            <w:tcW w:w="1382" w:type="dxa"/>
            <w:vAlign w:val="top"/>
          </w:tcPr>
          <w:p w14:paraId="130A22AA">
            <w:pPr>
              <w:rPr>
                <w:rFonts w:ascii="Arial"/>
                <w:color w:val="auto"/>
                <w:sz w:val="21"/>
                <w:highlight w:val="none"/>
              </w:rPr>
            </w:pPr>
          </w:p>
        </w:tc>
        <w:tc>
          <w:tcPr>
            <w:tcW w:w="609" w:type="dxa"/>
            <w:vAlign w:val="top"/>
          </w:tcPr>
          <w:p w14:paraId="1B248C8A">
            <w:pPr>
              <w:rPr>
                <w:rFonts w:ascii="Arial"/>
                <w:color w:val="auto"/>
                <w:sz w:val="21"/>
                <w:highlight w:val="none"/>
              </w:rPr>
            </w:pPr>
          </w:p>
        </w:tc>
      </w:tr>
      <w:tr w14:paraId="7EACB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40457A7F">
            <w:pPr>
              <w:rPr>
                <w:rFonts w:ascii="Arial"/>
                <w:color w:val="auto"/>
                <w:sz w:val="21"/>
                <w:highlight w:val="none"/>
              </w:rPr>
            </w:pPr>
          </w:p>
        </w:tc>
        <w:tc>
          <w:tcPr>
            <w:tcW w:w="1468" w:type="dxa"/>
            <w:vAlign w:val="top"/>
          </w:tcPr>
          <w:p w14:paraId="614E0001">
            <w:pPr>
              <w:rPr>
                <w:rFonts w:ascii="Arial"/>
                <w:color w:val="auto"/>
                <w:sz w:val="21"/>
                <w:highlight w:val="none"/>
              </w:rPr>
            </w:pPr>
          </w:p>
        </w:tc>
        <w:tc>
          <w:tcPr>
            <w:tcW w:w="595" w:type="dxa"/>
            <w:vAlign w:val="top"/>
          </w:tcPr>
          <w:p w14:paraId="572B89B8">
            <w:pPr>
              <w:rPr>
                <w:rFonts w:ascii="Arial"/>
                <w:color w:val="auto"/>
                <w:sz w:val="21"/>
                <w:highlight w:val="none"/>
              </w:rPr>
            </w:pPr>
          </w:p>
        </w:tc>
        <w:tc>
          <w:tcPr>
            <w:tcW w:w="686" w:type="dxa"/>
            <w:vAlign w:val="top"/>
          </w:tcPr>
          <w:p w14:paraId="1CF4DC7A">
            <w:pPr>
              <w:rPr>
                <w:rFonts w:ascii="Arial"/>
                <w:color w:val="auto"/>
                <w:sz w:val="21"/>
                <w:highlight w:val="none"/>
              </w:rPr>
            </w:pPr>
          </w:p>
        </w:tc>
        <w:tc>
          <w:tcPr>
            <w:tcW w:w="864" w:type="dxa"/>
            <w:vAlign w:val="top"/>
          </w:tcPr>
          <w:p w14:paraId="12BE8266">
            <w:pPr>
              <w:rPr>
                <w:rFonts w:ascii="Arial"/>
                <w:color w:val="auto"/>
                <w:sz w:val="21"/>
                <w:highlight w:val="none"/>
              </w:rPr>
            </w:pPr>
          </w:p>
        </w:tc>
        <w:tc>
          <w:tcPr>
            <w:tcW w:w="907" w:type="dxa"/>
            <w:vAlign w:val="top"/>
          </w:tcPr>
          <w:p w14:paraId="44B469B5">
            <w:pPr>
              <w:rPr>
                <w:rFonts w:ascii="Arial"/>
                <w:color w:val="auto"/>
                <w:sz w:val="21"/>
                <w:highlight w:val="none"/>
              </w:rPr>
            </w:pPr>
          </w:p>
        </w:tc>
        <w:tc>
          <w:tcPr>
            <w:tcW w:w="1248" w:type="dxa"/>
            <w:vAlign w:val="top"/>
          </w:tcPr>
          <w:p w14:paraId="7851D9F2">
            <w:pPr>
              <w:rPr>
                <w:rFonts w:ascii="Arial"/>
                <w:color w:val="auto"/>
                <w:sz w:val="21"/>
                <w:highlight w:val="none"/>
              </w:rPr>
            </w:pPr>
          </w:p>
        </w:tc>
        <w:tc>
          <w:tcPr>
            <w:tcW w:w="1382" w:type="dxa"/>
            <w:vAlign w:val="top"/>
          </w:tcPr>
          <w:p w14:paraId="45EFF555">
            <w:pPr>
              <w:rPr>
                <w:rFonts w:ascii="Arial"/>
                <w:color w:val="auto"/>
                <w:sz w:val="21"/>
                <w:highlight w:val="none"/>
              </w:rPr>
            </w:pPr>
          </w:p>
        </w:tc>
        <w:tc>
          <w:tcPr>
            <w:tcW w:w="609" w:type="dxa"/>
            <w:vAlign w:val="top"/>
          </w:tcPr>
          <w:p w14:paraId="3325984E">
            <w:pPr>
              <w:rPr>
                <w:rFonts w:ascii="Arial"/>
                <w:color w:val="auto"/>
                <w:sz w:val="21"/>
                <w:highlight w:val="none"/>
              </w:rPr>
            </w:pPr>
          </w:p>
        </w:tc>
      </w:tr>
      <w:tr w14:paraId="7061F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200F0940">
            <w:pPr>
              <w:rPr>
                <w:rFonts w:ascii="Arial"/>
                <w:color w:val="auto"/>
                <w:sz w:val="21"/>
                <w:highlight w:val="none"/>
              </w:rPr>
            </w:pPr>
          </w:p>
        </w:tc>
        <w:tc>
          <w:tcPr>
            <w:tcW w:w="1468" w:type="dxa"/>
            <w:vAlign w:val="top"/>
          </w:tcPr>
          <w:p w14:paraId="46E01F58">
            <w:pPr>
              <w:rPr>
                <w:rFonts w:ascii="Arial"/>
                <w:color w:val="auto"/>
                <w:sz w:val="21"/>
                <w:highlight w:val="none"/>
              </w:rPr>
            </w:pPr>
          </w:p>
        </w:tc>
        <w:tc>
          <w:tcPr>
            <w:tcW w:w="595" w:type="dxa"/>
            <w:vAlign w:val="top"/>
          </w:tcPr>
          <w:p w14:paraId="78EB3AC5">
            <w:pPr>
              <w:rPr>
                <w:rFonts w:ascii="Arial"/>
                <w:color w:val="auto"/>
                <w:sz w:val="21"/>
                <w:highlight w:val="none"/>
              </w:rPr>
            </w:pPr>
          </w:p>
        </w:tc>
        <w:tc>
          <w:tcPr>
            <w:tcW w:w="686" w:type="dxa"/>
            <w:vAlign w:val="top"/>
          </w:tcPr>
          <w:p w14:paraId="1BBD1C24">
            <w:pPr>
              <w:rPr>
                <w:rFonts w:ascii="Arial"/>
                <w:color w:val="auto"/>
                <w:sz w:val="21"/>
                <w:highlight w:val="none"/>
              </w:rPr>
            </w:pPr>
          </w:p>
        </w:tc>
        <w:tc>
          <w:tcPr>
            <w:tcW w:w="864" w:type="dxa"/>
            <w:vAlign w:val="top"/>
          </w:tcPr>
          <w:p w14:paraId="32CE0BE8">
            <w:pPr>
              <w:rPr>
                <w:rFonts w:ascii="Arial"/>
                <w:color w:val="auto"/>
                <w:sz w:val="21"/>
                <w:highlight w:val="none"/>
              </w:rPr>
            </w:pPr>
          </w:p>
        </w:tc>
        <w:tc>
          <w:tcPr>
            <w:tcW w:w="907" w:type="dxa"/>
            <w:vAlign w:val="top"/>
          </w:tcPr>
          <w:p w14:paraId="7B7A374E">
            <w:pPr>
              <w:rPr>
                <w:rFonts w:ascii="Arial"/>
                <w:color w:val="auto"/>
                <w:sz w:val="21"/>
                <w:highlight w:val="none"/>
              </w:rPr>
            </w:pPr>
          </w:p>
        </w:tc>
        <w:tc>
          <w:tcPr>
            <w:tcW w:w="1248" w:type="dxa"/>
            <w:vAlign w:val="top"/>
          </w:tcPr>
          <w:p w14:paraId="362931CA">
            <w:pPr>
              <w:rPr>
                <w:rFonts w:ascii="Arial"/>
                <w:color w:val="auto"/>
                <w:sz w:val="21"/>
                <w:highlight w:val="none"/>
              </w:rPr>
            </w:pPr>
          </w:p>
        </w:tc>
        <w:tc>
          <w:tcPr>
            <w:tcW w:w="1382" w:type="dxa"/>
            <w:vAlign w:val="top"/>
          </w:tcPr>
          <w:p w14:paraId="3F772E87">
            <w:pPr>
              <w:rPr>
                <w:rFonts w:ascii="Arial"/>
                <w:color w:val="auto"/>
                <w:sz w:val="21"/>
                <w:highlight w:val="none"/>
              </w:rPr>
            </w:pPr>
          </w:p>
        </w:tc>
        <w:tc>
          <w:tcPr>
            <w:tcW w:w="609" w:type="dxa"/>
            <w:vAlign w:val="top"/>
          </w:tcPr>
          <w:p w14:paraId="14668FE6">
            <w:pPr>
              <w:rPr>
                <w:rFonts w:ascii="Arial"/>
                <w:color w:val="auto"/>
                <w:sz w:val="21"/>
                <w:highlight w:val="none"/>
              </w:rPr>
            </w:pPr>
          </w:p>
        </w:tc>
      </w:tr>
      <w:tr w14:paraId="21E9B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C3AC143">
            <w:pPr>
              <w:rPr>
                <w:rFonts w:ascii="Arial"/>
                <w:color w:val="auto"/>
                <w:sz w:val="21"/>
                <w:highlight w:val="none"/>
              </w:rPr>
            </w:pPr>
          </w:p>
        </w:tc>
        <w:tc>
          <w:tcPr>
            <w:tcW w:w="1468" w:type="dxa"/>
            <w:vAlign w:val="top"/>
          </w:tcPr>
          <w:p w14:paraId="3D75B725">
            <w:pPr>
              <w:rPr>
                <w:rFonts w:ascii="Arial"/>
                <w:color w:val="auto"/>
                <w:sz w:val="21"/>
                <w:highlight w:val="none"/>
              </w:rPr>
            </w:pPr>
          </w:p>
        </w:tc>
        <w:tc>
          <w:tcPr>
            <w:tcW w:w="595" w:type="dxa"/>
            <w:vAlign w:val="top"/>
          </w:tcPr>
          <w:p w14:paraId="5D1DFC43">
            <w:pPr>
              <w:rPr>
                <w:rFonts w:ascii="Arial"/>
                <w:color w:val="auto"/>
                <w:sz w:val="21"/>
                <w:highlight w:val="none"/>
              </w:rPr>
            </w:pPr>
          </w:p>
        </w:tc>
        <w:tc>
          <w:tcPr>
            <w:tcW w:w="686" w:type="dxa"/>
            <w:vAlign w:val="top"/>
          </w:tcPr>
          <w:p w14:paraId="25A3529D">
            <w:pPr>
              <w:rPr>
                <w:rFonts w:ascii="Arial"/>
                <w:color w:val="auto"/>
                <w:sz w:val="21"/>
                <w:highlight w:val="none"/>
              </w:rPr>
            </w:pPr>
          </w:p>
        </w:tc>
        <w:tc>
          <w:tcPr>
            <w:tcW w:w="864" w:type="dxa"/>
            <w:vAlign w:val="top"/>
          </w:tcPr>
          <w:p w14:paraId="3202D908">
            <w:pPr>
              <w:rPr>
                <w:rFonts w:ascii="Arial"/>
                <w:color w:val="auto"/>
                <w:sz w:val="21"/>
                <w:highlight w:val="none"/>
              </w:rPr>
            </w:pPr>
          </w:p>
        </w:tc>
        <w:tc>
          <w:tcPr>
            <w:tcW w:w="907" w:type="dxa"/>
            <w:vAlign w:val="top"/>
          </w:tcPr>
          <w:p w14:paraId="2FA6AAC1">
            <w:pPr>
              <w:rPr>
                <w:rFonts w:ascii="Arial"/>
                <w:color w:val="auto"/>
                <w:sz w:val="21"/>
                <w:highlight w:val="none"/>
              </w:rPr>
            </w:pPr>
          </w:p>
        </w:tc>
        <w:tc>
          <w:tcPr>
            <w:tcW w:w="1248" w:type="dxa"/>
            <w:vAlign w:val="top"/>
          </w:tcPr>
          <w:p w14:paraId="17D58B82">
            <w:pPr>
              <w:rPr>
                <w:rFonts w:ascii="Arial"/>
                <w:color w:val="auto"/>
                <w:sz w:val="21"/>
                <w:highlight w:val="none"/>
              </w:rPr>
            </w:pPr>
          </w:p>
        </w:tc>
        <w:tc>
          <w:tcPr>
            <w:tcW w:w="1382" w:type="dxa"/>
            <w:vAlign w:val="top"/>
          </w:tcPr>
          <w:p w14:paraId="278A4BD7">
            <w:pPr>
              <w:rPr>
                <w:rFonts w:ascii="Arial"/>
                <w:color w:val="auto"/>
                <w:sz w:val="21"/>
                <w:highlight w:val="none"/>
              </w:rPr>
            </w:pPr>
          </w:p>
        </w:tc>
        <w:tc>
          <w:tcPr>
            <w:tcW w:w="609" w:type="dxa"/>
            <w:vAlign w:val="top"/>
          </w:tcPr>
          <w:p w14:paraId="765C773B">
            <w:pPr>
              <w:rPr>
                <w:rFonts w:ascii="Arial"/>
                <w:color w:val="auto"/>
                <w:sz w:val="21"/>
                <w:highlight w:val="none"/>
              </w:rPr>
            </w:pPr>
          </w:p>
        </w:tc>
      </w:tr>
      <w:tr w14:paraId="11C87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14:paraId="0D666212">
            <w:pPr>
              <w:rPr>
                <w:rFonts w:ascii="Arial"/>
                <w:color w:val="auto"/>
                <w:sz w:val="21"/>
                <w:highlight w:val="none"/>
              </w:rPr>
            </w:pPr>
          </w:p>
        </w:tc>
        <w:tc>
          <w:tcPr>
            <w:tcW w:w="1468" w:type="dxa"/>
            <w:vAlign w:val="top"/>
          </w:tcPr>
          <w:p w14:paraId="3B62A343">
            <w:pPr>
              <w:rPr>
                <w:rFonts w:ascii="Arial"/>
                <w:color w:val="auto"/>
                <w:sz w:val="21"/>
                <w:highlight w:val="none"/>
              </w:rPr>
            </w:pPr>
          </w:p>
        </w:tc>
        <w:tc>
          <w:tcPr>
            <w:tcW w:w="595" w:type="dxa"/>
            <w:vAlign w:val="top"/>
          </w:tcPr>
          <w:p w14:paraId="36047119">
            <w:pPr>
              <w:rPr>
                <w:rFonts w:ascii="Arial"/>
                <w:color w:val="auto"/>
                <w:sz w:val="21"/>
                <w:highlight w:val="none"/>
              </w:rPr>
            </w:pPr>
          </w:p>
        </w:tc>
        <w:tc>
          <w:tcPr>
            <w:tcW w:w="686" w:type="dxa"/>
            <w:vAlign w:val="top"/>
          </w:tcPr>
          <w:p w14:paraId="67A37A6E">
            <w:pPr>
              <w:rPr>
                <w:rFonts w:ascii="Arial"/>
                <w:color w:val="auto"/>
                <w:sz w:val="21"/>
                <w:highlight w:val="none"/>
              </w:rPr>
            </w:pPr>
          </w:p>
        </w:tc>
        <w:tc>
          <w:tcPr>
            <w:tcW w:w="864" w:type="dxa"/>
            <w:vAlign w:val="top"/>
          </w:tcPr>
          <w:p w14:paraId="385F27D2">
            <w:pPr>
              <w:rPr>
                <w:rFonts w:ascii="Arial"/>
                <w:color w:val="auto"/>
                <w:sz w:val="21"/>
                <w:highlight w:val="none"/>
              </w:rPr>
            </w:pPr>
          </w:p>
        </w:tc>
        <w:tc>
          <w:tcPr>
            <w:tcW w:w="907" w:type="dxa"/>
            <w:vAlign w:val="top"/>
          </w:tcPr>
          <w:p w14:paraId="65E1739B">
            <w:pPr>
              <w:rPr>
                <w:rFonts w:ascii="Arial"/>
                <w:color w:val="auto"/>
                <w:sz w:val="21"/>
                <w:highlight w:val="none"/>
              </w:rPr>
            </w:pPr>
          </w:p>
        </w:tc>
        <w:tc>
          <w:tcPr>
            <w:tcW w:w="1248" w:type="dxa"/>
            <w:vAlign w:val="top"/>
          </w:tcPr>
          <w:p w14:paraId="2CDF69F1">
            <w:pPr>
              <w:rPr>
                <w:rFonts w:ascii="Arial"/>
                <w:color w:val="auto"/>
                <w:sz w:val="21"/>
                <w:highlight w:val="none"/>
              </w:rPr>
            </w:pPr>
          </w:p>
        </w:tc>
        <w:tc>
          <w:tcPr>
            <w:tcW w:w="1382" w:type="dxa"/>
            <w:vAlign w:val="top"/>
          </w:tcPr>
          <w:p w14:paraId="640F5CCC">
            <w:pPr>
              <w:rPr>
                <w:rFonts w:ascii="Arial"/>
                <w:color w:val="auto"/>
                <w:sz w:val="21"/>
                <w:highlight w:val="none"/>
              </w:rPr>
            </w:pPr>
          </w:p>
        </w:tc>
        <w:tc>
          <w:tcPr>
            <w:tcW w:w="609" w:type="dxa"/>
            <w:vAlign w:val="top"/>
          </w:tcPr>
          <w:p w14:paraId="651F233D">
            <w:pPr>
              <w:rPr>
                <w:rFonts w:ascii="Arial"/>
                <w:color w:val="auto"/>
                <w:sz w:val="21"/>
                <w:highlight w:val="none"/>
              </w:rPr>
            </w:pPr>
          </w:p>
        </w:tc>
      </w:tr>
      <w:tr w14:paraId="50BF3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6F60C09">
            <w:pPr>
              <w:rPr>
                <w:rFonts w:ascii="Arial"/>
                <w:color w:val="auto"/>
                <w:sz w:val="21"/>
                <w:highlight w:val="none"/>
              </w:rPr>
            </w:pPr>
          </w:p>
        </w:tc>
        <w:tc>
          <w:tcPr>
            <w:tcW w:w="1468" w:type="dxa"/>
            <w:vAlign w:val="top"/>
          </w:tcPr>
          <w:p w14:paraId="0A3FB656">
            <w:pPr>
              <w:rPr>
                <w:rFonts w:ascii="Arial"/>
                <w:color w:val="auto"/>
                <w:sz w:val="21"/>
                <w:highlight w:val="none"/>
              </w:rPr>
            </w:pPr>
          </w:p>
        </w:tc>
        <w:tc>
          <w:tcPr>
            <w:tcW w:w="595" w:type="dxa"/>
            <w:vAlign w:val="top"/>
          </w:tcPr>
          <w:p w14:paraId="7E94B504">
            <w:pPr>
              <w:rPr>
                <w:rFonts w:ascii="Arial"/>
                <w:color w:val="auto"/>
                <w:sz w:val="21"/>
                <w:highlight w:val="none"/>
              </w:rPr>
            </w:pPr>
          </w:p>
        </w:tc>
        <w:tc>
          <w:tcPr>
            <w:tcW w:w="686" w:type="dxa"/>
            <w:vAlign w:val="top"/>
          </w:tcPr>
          <w:p w14:paraId="4E819E79">
            <w:pPr>
              <w:rPr>
                <w:rFonts w:ascii="Arial"/>
                <w:color w:val="auto"/>
                <w:sz w:val="21"/>
                <w:highlight w:val="none"/>
              </w:rPr>
            </w:pPr>
          </w:p>
        </w:tc>
        <w:tc>
          <w:tcPr>
            <w:tcW w:w="864" w:type="dxa"/>
            <w:vAlign w:val="top"/>
          </w:tcPr>
          <w:p w14:paraId="4EDC6CC3">
            <w:pPr>
              <w:rPr>
                <w:rFonts w:ascii="Arial"/>
                <w:color w:val="auto"/>
                <w:sz w:val="21"/>
                <w:highlight w:val="none"/>
              </w:rPr>
            </w:pPr>
          </w:p>
        </w:tc>
        <w:tc>
          <w:tcPr>
            <w:tcW w:w="907" w:type="dxa"/>
            <w:vAlign w:val="top"/>
          </w:tcPr>
          <w:p w14:paraId="498A8E29">
            <w:pPr>
              <w:rPr>
                <w:rFonts w:ascii="Arial"/>
                <w:color w:val="auto"/>
                <w:sz w:val="21"/>
                <w:highlight w:val="none"/>
              </w:rPr>
            </w:pPr>
          </w:p>
        </w:tc>
        <w:tc>
          <w:tcPr>
            <w:tcW w:w="1248" w:type="dxa"/>
            <w:vAlign w:val="top"/>
          </w:tcPr>
          <w:p w14:paraId="1D23E0DA">
            <w:pPr>
              <w:rPr>
                <w:rFonts w:ascii="Arial"/>
                <w:color w:val="auto"/>
                <w:sz w:val="21"/>
                <w:highlight w:val="none"/>
              </w:rPr>
            </w:pPr>
          </w:p>
        </w:tc>
        <w:tc>
          <w:tcPr>
            <w:tcW w:w="1382" w:type="dxa"/>
            <w:vAlign w:val="top"/>
          </w:tcPr>
          <w:p w14:paraId="5118A3E4">
            <w:pPr>
              <w:rPr>
                <w:rFonts w:ascii="Arial"/>
                <w:color w:val="auto"/>
                <w:sz w:val="21"/>
                <w:highlight w:val="none"/>
              </w:rPr>
            </w:pPr>
          </w:p>
        </w:tc>
        <w:tc>
          <w:tcPr>
            <w:tcW w:w="609" w:type="dxa"/>
            <w:vAlign w:val="top"/>
          </w:tcPr>
          <w:p w14:paraId="6E778E76">
            <w:pPr>
              <w:rPr>
                <w:rFonts w:ascii="Arial"/>
                <w:color w:val="auto"/>
                <w:sz w:val="21"/>
                <w:highlight w:val="none"/>
              </w:rPr>
            </w:pPr>
          </w:p>
        </w:tc>
      </w:tr>
      <w:tr w14:paraId="6E6B1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2B1B7936">
            <w:pPr>
              <w:rPr>
                <w:rFonts w:ascii="Arial"/>
                <w:color w:val="auto"/>
                <w:sz w:val="21"/>
                <w:highlight w:val="none"/>
              </w:rPr>
            </w:pPr>
          </w:p>
        </w:tc>
        <w:tc>
          <w:tcPr>
            <w:tcW w:w="1468" w:type="dxa"/>
            <w:vAlign w:val="top"/>
          </w:tcPr>
          <w:p w14:paraId="7B51454D">
            <w:pPr>
              <w:rPr>
                <w:rFonts w:ascii="Arial"/>
                <w:color w:val="auto"/>
                <w:sz w:val="21"/>
                <w:highlight w:val="none"/>
              </w:rPr>
            </w:pPr>
          </w:p>
        </w:tc>
        <w:tc>
          <w:tcPr>
            <w:tcW w:w="595" w:type="dxa"/>
            <w:vAlign w:val="top"/>
          </w:tcPr>
          <w:p w14:paraId="01BAAA46">
            <w:pPr>
              <w:rPr>
                <w:rFonts w:ascii="Arial"/>
                <w:color w:val="auto"/>
                <w:sz w:val="21"/>
                <w:highlight w:val="none"/>
              </w:rPr>
            </w:pPr>
          </w:p>
        </w:tc>
        <w:tc>
          <w:tcPr>
            <w:tcW w:w="686" w:type="dxa"/>
            <w:vAlign w:val="top"/>
          </w:tcPr>
          <w:p w14:paraId="121D018D">
            <w:pPr>
              <w:rPr>
                <w:rFonts w:ascii="Arial"/>
                <w:color w:val="auto"/>
                <w:sz w:val="21"/>
                <w:highlight w:val="none"/>
              </w:rPr>
            </w:pPr>
          </w:p>
        </w:tc>
        <w:tc>
          <w:tcPr>
            <w:tcW w:w="864" w:type="dxa"/>
            <w:vAlign w:val="top"/>
          </w:tcPr>
          <w:p w14:paraId="0F83E1CB">
            <w:pPr>
              <w:rPr>
                <w:rFonts w:ascii="Arial"/>
                <w:color w:val="auto"/>
                <w:sz w:val="21"/>
                <w:highlight w:val="none"/>
              </w:rPr>
            </w:pPr>
          </w:p>
        </w:tc>
        <w:tc>
          <w:tcPr>
            <w:tcW w:w="907" w:type="dxa"/>
            <w:vAlign w:val="top"/>
          </w:tcPr>
          <w:p w14:paraId="31535B93">
            <w:pPr>
              <w:rPr>
                <w:rFonts w:ascii="Arial"/>
                <w:color w:val="auto"/>
                <w:sz w:val="21"/>
                <w:highlight w:val="none"/>
              </w:rPr>
            </w:pPr>
          </w:p>
        </w:tc>
        <w:tc>
          <w:tcPr>
            <w:tcW w:w="1248" w:type="dxa"/>
            <w:vAlign w:val="top"/>
          </w:tcPr>
          <w:p w14:paraId="0AC2D5E3">
            <w:pPr>
              <w:rPr>
                <w:rFonts w:ascii="Arial"/>
                <w:color w:val="auto"/>
                <w:sz w:val="21"/>
                <w:highlight w:val="none"/>
              </w:rPr>
            </w:pPr>
          </w:p>
        </w:tc>
        <w:tc>
          <w:tcPr>
            <w:tcW w:w="1382" w:type="dxa"/>
            <w:vAlign w:val="top"/>
          </w:tcPr>
          <w:p w14:paraId="125A11BF">
            <w:pPr>
              <w:rPr>
                <w:rFonts w:ascii="Arial"/>
                <w:color w:val="auto"/>
                <w:sz w:val="21"/>
                <w:highlight w:val="none"/>
              </w:rPr>
            </w:pPr>
          </w:p>
        </w:tc>
        <w:tc>
          <w:tcPr>
            <w:tcW w:w="609" w:type="dxa"/>
            <w:vAlign w:val="top"/>
          </w:tcPr>
          <w:p w14:paraId="697C0335">
            <w:pPr>
              <w:rPr>
                <w:rFonts w:ascii="Arial"/>
                <w:color w:val="auto"/>
                <w:sz w:val="21"/>
                <w:highlight w:val="none"/>
              </w:rPr>
            </w:pPr>
          </w:p>
        </w:tc>
      </w:tr>
      <w:tr w14:paraId="53C68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3E1060D8">
            <w:pPr>
              <w:rPr>
                <w:rFonts w:ascii="Arial"/>
                <w:color w:val="auto"/>
                <w:sz w:val="21"/>
                <w:highlight w:val="none"/>
              </w:rPr>
            </w:pPr>
          </w:p>
        </w:tc>
        <w:tc>
          <w:tcPr>
            <w:tcW w:w="1468" w:type="dxa"/>
            <w:vAlign w:val="top"/>
          </w:tcPr>
          <w:p w14:paraId="47F43D1C">
            <w:pPr>
              <w:rPr>
                <w:rFonts w:ascii="Arial"/>
                <w:color w:val="auto"/>
                <w:sz w:val="21"/>
                <w:highlight w:val="none"/>
              </w:rPr>
            </w:pPr>
          </w:p>
        </w:tc>
        <w:tc>
          <w:tcPr>
            <w:tcW w:w="595" w:type="dxa"/>
            <w:vAlign w:val="top"/>
          </w:tcPr>
          <w:p w14:paraId="727390A7">
            <w:pPr>
              <w:rPr>
                <w:rFonts w:ascii="Arial"/>
                <w:color w:val="auto"/>
                <w:sz w:val="21"/>
                <w:highlight w:val="none"/>
              </w:rPr>
            </w:pPr>
          </w:p>
        </w:tc>
        <w:tc>
          <w:tcPr>
            <w:tcW w:w="686" w:type="dxa"/>
            <w:vAlign w:val="top"/>
          </w:tcPr>
          <w:p w14:paraId="0E236A8A">
            <w:pPr>
              <w:rPr>
                <w:rFonts w:ascii="Arial"/>
                <w:color w:val="auto"/>
                <w:sz w:val="21"/>
                <w:highlight w:val="none"/>
              </w:rPr>
            </w:pPr>
          </w:p>
        </w:tc>
        <w:tc>
          <w:tcPr>
            <w:tcW w:w="864" w:type="dxa"/>
            <w:vAlign w:val="top"/>
          </w:tcPr>
          <w:p w14:paraId="554CE20E">
            <w:pPr>
              <w:rPr>
                <w:rFonts w:ascii="Arial"/>
                <w:color w:val="auto"/>
                <w:sz w:val="21"/>
                <w:highlight w:val="none"/>
              </w:rPr>
            </w:pPr>
          </w:p>
        </w:tc>
        <w:tc>
          <w:tcPr>
            <w:tcW w:w="907" w:type="dxa"/>
            <w:vAlign w:val="top"/>
          </w:tcPr>
          <w:p w14:paraId="0F5001EC">
            <w:pPr>
              <w:rPr>
                <w:rFonts w:ascii="Arial"/>
                <w:color w:val="auto"/>
                <w:sz w:val="21"/>
                <w:highlight w:val="none"/>
              </w:rPr>
            </w:pPr>
          </w:p>
        </w:tc>
        <w:tc>
          <w:tcPr>
            <w:tcW w:w="1248" w:type="dxa"/>
            <w:vAlign w:val="top"/>
          </w:tcPr>
          <w:p w14:paraId="54BEC51D">
            <w:pPr>
              <w:rPr>
                <w:rFonts w:ascii="Arial"/>
                <w:color w:val="auto"/>
                <w:sz w:val="21"/>
                <w:highlight w:val="none"/>
              </w:rPr>
            </w:pPr>
          </w:p>
        </w:tc>
        <w:tc>
          <w:tcPr>
            <w:tcW w:w="1382" w:type="dxa"/>
            <w:vAlign w:val="top"/>
          </w:tcPr>
          <w:p w14:paraId="5EBA81DE">
            <w:pPr>
              <w:rPr>
                <w:rFonts w:ascii="Arial"/>
                <w:color w:val="auto"/>
                <w:sz w:val="21"/>
                <w:highlight w:val="none"/>
              </w:rPr>
            </w:pPr>
          </w:p>
        </w:tc>
        <w:tc>
          <w:tcPr>
            <w:tcW w:w="609" w:type="dxa"/>
            <w:vAlign w:val="top"/>
          </w:tcPr>
          <w:p w14:paraId="29CE5185">
            <w:pPr>
              <w:rPr>
                <w:rFonts w:ascii="Arial"/>
                <w:color w:val="auto"/>
                <w:sz w:val="21"/>
                <w:highlight w:val="none"/>
              </w:rPr>
            </w:pPr>
          </w:p>
        </w:tc>
      </w:tr>
      <w:tr w14:paraId="0950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D85482D">
            <w:pPr>
              <w:rPr>
                <w:rFonts w:ascii="Arial"/>
                <w:color w:val="auto"/>
                <w:sz w:val="21"/>
                <w:highlight w:val="none"/>
              </w:rPr>
            </w:pPr>
          </w:p>
        </w:tc>
        <w:tc>
          <w:tcPr>
            <w:tcW w:w="1468" w:type="dxa"/>
            <w:vAlign w:val="top"/>
          </w:tcPr>
          <w:p w14:paraId="35CCF5D2">
            <w:pPr>
              <w:rPr>
                <w:rFonts w:ascii="Arial"/>
                <w:color w:val="auto"/>
                <w:sz w:val="21"/>
                <w:highlight w:val="none"/>
              </w:rPr>
            </w:pPr>
          </w:p>
        </w:tc>
        <w:tc>
          <w:tcPr>
            <w:tcW w:w="595" w:type="dxa"/>
            <w:vAlign w:val="top"/>
          </w:tcPr>
          <w:p w14:paraId="3304783D">
            <w:pPr>
              <w:rPr>
                <w:rFonts w:ascii="Arial"/>
                <w:color w:val="auto"/>
                <w:sz w:val="21"/>
                <w:highlight w:val="none"/>
              </w:rPr>
            </w:pPr>
          </w:p>
        </w:tc>
        <w:tc>
          <w:tcPr>
            <w:tcW w:w="686" w:type="dxa"/>
            <w:vAlign w:val="top"/>
          </w:tcPr>
          <w:p w14:paraId="0DFA6AAA">
            <w:pPr>
              <w:rPr>
                <w:rFonts w:ascii="Arial"/>
                <w:color w:val="auto"/>
                <w:sz w:val="21"/>
                <w:highlight w:val="none"/>
              </w:rPr>
            </w:pPr>
          </w:p>
        </w:tc>
        <w:tc>
          <w:tcPr>
            <w:tcW w:w="864" w:type="dxa"/>
            <w:vAlign w:val="top"/>
          </w:tcPr>
          <w:p w14:paraId="4E521019">
            <w:pPr>
              <w:rPr>
                <w:rFonts w:ascii="Arial"/>
                <w:color w:val="auto"/>
                <w:sz w:val="21"/>
                <w:highlight w:val="none"/>
              </w:rPr>
            </w:pPr>
          </w:p>
        </w:tc>
        <w:tc>
          <w:tcPr>
            <w:tcW w:w="907" w:type="dxa"/>
            <w:vAlign w:val="top"/>
          </w:tcPr>
          <w:p w14:paraId="0CB9B56E">
            <w:pPr>
              <w:rPr>
                <w:rFonts w:ascii="Arial"/>
                <w:color w:val="auto"/>
                <w:sz w:val="21"/>
                <w:highlight w:val="none"/>
              </w:rPr>
            </w:pPr>
          </w:p>
        </w:tc>
        <w:tc>
          <w:tcPr>
            <w:tcW w:w="1248" w:type="dxa"/>
            <w:vAlign w:val="top"/>
          </w:tcPr>
          <w:p w14:paraId="72E672C9">
            <w:pPr>
              <w:rPr>
                <w:rFonts w:ascii="Arial"/>
                <w:color w:val="auto"/>
                <w:sz w:val="21"/>
                <w:highlight w:val="none"/>
              </w:rPr>
            </w:pPr>
          </w:p>
        </w:tc>
        <w:tc>
          <w:tcPr>
            <w:tcW w:w="1382" w:type="dxa"/>
            <w:vAlign w:val="top"/>
          </w:tcPr>
          <w:p w14:paraId="7BA5625F">
            <w:pPr>
              <w:rPr>
                <w:rFonts w:ascii="Arial"/>
                <w:color w:val="auto"/>
                <w:sz w:val="21"/>
                <w:highlight w:val="none"/>
              </w:rPr>
            </w:pPr>
          </w:p>
        </w:tc>
        <w:tc>
          <w:tcPr>
            <w:tcW w:w="609" w:type="dxa"/>
            <w:vAlign w:val="top"/>
          </w:tcPr>
          <w:p w14:paraId="0394DFE7">
            <w:pPr>
              <w:rPr>
                <w:rFonts w:ascii="Arial"/>
                <w:color w:val="auto"/>
                <w:sz w:val="21"/>
                <w:highlight w:val="none"/>
              </w:rPr>
            </w:pPr>
          </w:p>
        </w:tc>
      </w:tr>
      <w:tr w14:paraId="6213C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169D6C1">
            <w:pPr>
              <w:rPr>
                <w:rFonts w:ascii="Arial"/>
                <w:color w:val="auto"/>
                <w:sz w:val="21"/>
                <w:highlight w:val="none"/>
              </w:rPr>
            </w:pPr>
          </w:p>
        </w:tc>
        <w:tc>
          <w:tcPr>
            <w:tcW w:w="1468" w:type="dxa"/>
            <w:vAlign w:val="top"/>
          </w:tcPr>
          <w:p w14:paraId="52279F84">
            <w:pPr>
              <w:rPr>
                <w:rFonts w:ascii="Arial"/>
                <w:color w:val="auto"/>
                <w:sz w:val="21"/>
                <w:highlight w:val="none"/>
              </w:rPr>
            </w:pPr>
          </w:p>
        </w:tc>
        <w:tc>
          <w:tcPr>
            <w:tcW w:w="595" w:type="dxa"/>
            <w:vAlign w:val="top"/>
          </w:tcPr>
          <w:p w14:paraId="22861050">
            <w:pPr>
              <w:rPr>
                <w:rFonts w:ascii="Arial"/>
                <w:color w:val="auto"/>
                <w:sz w:val="21"/>
                <w:highlight w:val="none"/>
              </w:rPr>
            </w:pPr>
          </w:p>
        </w:tc>
        <w:tc>
          <w:tcPr>
            <w:tcW w:w="686" w:type="dxa"/>
            <w:vAlign w:val="top"/>
          </w:tcPr>
          <w:p w14:paraId="48FDB5FB">
            <w:pPr>
              <w:rPr>
                <w:rFonts w:ascii="Arial"/>
                <w:color w:val="auto"/>
                <w:sz w:val="21"/>
                <w:highlight w:val="none"/>
              </w:rPr>
            </w:pPr>
          </w:p>
        </w:tc>
        <w:tc>
          <w:tcPr>
            <w:tcW w:w="864" w:type="dxa"/>
            <w:vAlign w:val="top"/>
          </w:tcPr>
          <w:p w14:paraId="2A5E6D8E">
            <w:pPr>
              <w:rPr>
                <w:rFonts w:ascii="Arial"/>
                <w:color w:val="auto"/>
                <w:sz w:val="21"/>
                <w:highlight w:val="none"/>
              </w:rPr>
            </w:pPr>
          </w:p>
        </w:tc>
        <w:tc>
          <w:tcPr>
            <w:tcW w:w="907" w:type="dxa"/>
            <w:vAlign w:val="top"/>
          </w:tcPr>
          <w:p w14:paraId="31142E83">
            <w:pPr>
              <w:rPr>
                <w:rFonts w:ascii="Arial"/>
                <w:color w:val="auto"/>
                <w:sz w:val="21"/>
                <w:highlight w:val="none"/>
              </w:rPr>
            </w:pPr>
          </w:p>
        </w:tc>
        <w:tc>
          <w:tcPr>
            <w:tcW w:w="1248" w:type="dxa"/>
            <w:vAlign w:val="top"/>
          </w:tcPr>
          <w:p w14:paraId="4C2FA9BE">
            <w:pPr>
              <w:rPr>
                <w:rFonts w:ascii="Arial"/>
                <w:color w:val="auto"/>
                <w:sz w:val="21"/>
                <w:highlight w:val="none"/>
              </w:rPr>
            </w:pPr>
          </w:p>
        </w:tc>
        <w:tc>
          <w:tcPr>
            <w:tcW w:w="1382" w:type="dxa"/>
            <w:vAlign w:val="top"/>
          </w:tcPr>
          <w:p w14:paraId="5BC05DB0">
            <w:pPr>
              <w:rPr>
                <w:rFonts w:ascii="Arial"/>
                <w:color w:val="auto"/>
                <w:sz w:val="21"/>
                <w:highlight w:val="none"/>
              </w:rPr>
            </w:pPr>
          </w:p>
        </w:tc>
        <w:tc>
          <w:tcPr>
            <w:tcW w:w="609" w:type="dxa"/>
            <w:vAlign w:val="top"/>
          </w:tcPr>
          <w:p w14:paraId="09FB6664">
            <w:pPr>
              <w:rPr>
                <w:rFonts w:ascii="Arial"/>
                <w:color w:val="auto"/>
                <w:sz w:val="21"/>
                <w:highlight w:val="none"/>
              </w:rPr>
            </w:pPr>
          </w:p>
        </w:tc>
      </w:tr>
      <w:tr w14:paraId="4E470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4329C1DD">
            <w:pPr>
              <w:rPr>
                <w:rFonts w:ascii="Arial"/>
                <w:color w:val="auto"/>
                <w:sz w:val="21"/>
                <w:highlight w:val="none"/>
              </w:rPr>
            </w:pPr>
          </w:p>
        </w:tc>
        <w:tc>
          <w:tcPr>
            <w:tcW w:w="1468" w:type="dxa"/>
            <w:vAlign w:val="top"/>
          </w:tcPr>
          <w:p w14:paraId="7F4AE576">
            <w:pPr>
              <w:rPr>
                <w:rFonts w:ascii="Arial"/>
                <w:color w:val="auto"/>
                <w:sz w:val="21"/>
                <w:highlight w:val="none"/>
              </w:rPr>
            </w:pPr>
          </w:p>
        </w:tc>
        <w:tc>
          <w:tcPr>
            <w:tcW w:w="595" w:type="dxa"/>
            <w:vAlign w:val="top"/>
          </w:tcPr>
          <w:p w14:paraId="0580A782">
            <w:pPr>
              <w:rPr>
                <w:rFonts w:ascii="Arial"/>
                <w:color w:val="auto"/>
                <w:sz w:val="21"/>
                <w:highlight w:val="none"/>
              </w:rPr>
            </w:pPr>
          </w:p>
        </w:tc>
        <w:tc>
          <w:tcPr>
            <w:tcW w:w="686" w:type="dxa"/>
            <w:vAlign w:val="top"/>
          </w:tcPr>
          <w:p w14:paraId="08E4D74D">
            <w:pPr>
              <w:rPr>
                <w:rFonts w:ascii="Arial"/>
                <w:color w:val="auto"/>
                <w:sz w:val="21"/>
                <w:highlight w:val="none"/>
              </w:rPr>
            </w:pPr>
          </w:p>
        </w:tc>
        <w:tc>
          <w:tcPr>
            <w:tcW w:w="864" w:type="dxa"/>
            <w:vAlign w:val="top"/>
          </w:tcPr>
          <w:p w14:paraId="6DA56140">
            <w:pPr>
              <w:rPr>
                <w:rFonts w:ascii="Arial"/>
                <w:color w:val="auto"/>
                <w:sz w:val="21"/>
                <w:highlight w:val="none"/>
              </w:rPr>
            </w:pPr>
          </w:p>
        </w:tc>
        <w:tc>
          <w:tcPr>
            <w:tcW w:w="907" w:type="dxa"/>
            <w:vAlign w:val="top"/>
          </w:tcPr>
          <w:p w14:paraId="409B3C4F">
            <w:pPr>
              <w:rPr>
                <w:rFonts w:ascii="Arial"/>
                <w:color w:val="auto"/>
                <w:sz w:val="21"/>
                <w:highlight w:val="none"/>
              </w:rPr>
            </w:pPr>
          </w:p>
        </w:tc>
        <w:tc>
          <w:tcPr>
            <w:tcW w:w="1248" w:type="dxa"/>
            <w:vAlign w:val="top"/>
          </w:tcPr>
          <w:p w14:paraId="6788A21B">
            <w:pPr>
              <w:rPr>
                <w:rFonts w:ascii="Arial"/>
                <w:color w:val="auto"/>
                <w:sz w:val="21"/>
                <w:highlight w:val="none"/>
              </w:rPr>
            </w:pPr>
          </w:p>
        </w:tc>
        <w:tc>
          <w:tcPr>
            <w:tcW w:w="1382" w:type="dxa"/>
            <w:vAlign w:val="top"/>
          </w:tcPr>
          <w:p w14:paraId="52E2B972">
            <w:pPr>
              <w:rPr>
                <w:rFonts w:ascii="Arial"/>
                <w:color w:val="auto"/>
                <w:sz w:val="21"/>
                <w:highlight w:val="none"/>
              </w:rPr>
            </w:pPr>
          </w:p>
        </w:tc>
        <w:tc>
          <w:tcPr>
            <w:tcW w:w="609" w:type="dxa"/>
            <w:vAlign w:val="top"/>
          </w:tcPr>
          <w:p w14:paraId="32674536">
            <w:pPr>
              <w:rPr>
                <w:rFonts w:ascii="Arial"/>
                <w:color w:val="auto"/>
                <w:sz w:val="21"/>
                <w:highlight w:val="none"/>
              </w:rPr>
            </w:pPr>
          </w:p>
        </w:tc>
      </w:tr>
    </w:tbl>
    <w:p w14:paraId="52771148">
      <w:pPr>
        <w:spacing w:before="30"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注： 1.此表由招标人填写除“投标单价”栏的内容，</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投标人在投标时自</w:t>
      </w:r>
      <w:r>
        <w:rPr>
          <w:rFonts w:ascii="宋体" w:hAnsi="宋体" w:eastAsia="宋体" w:cs="宋体"/>
          <w:color w:val="auto"/>
          <w:spacing w:val="-6"/>
          <w:sz w:val="21"/>
          <w:szCs w:val="21"/>
          <w:highlight w:val="none"/>
        </w:rPr>
        <w:t>主确定投标单价。</w:t>
      </w:r>
    </w:p>
    <w:p w14:paraId="26573B0B">
      <w:pPr>
        <w:spacing w:before="25" w:line="213" w:lineRule="auto"/>
        <w:ind w:left="17" w:right="6"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2.招标人应优先采用工程造价管理机构发布的单价作为基准单价，未发布的，</w:t>
      </w:r>
      <w:r>
        <w:rPr>
          <w:rFonts w:ascii="宋体" w:hAnsi="宋体" w:eastAsia="宋体" w:cs="宋体"/>
          <w:color w:val="auto"/>
          <w:spacing w:val="2"/>
          <w:sz w:val="21"/>
          <w:szCs w:val="21"/>
          <w:highlight w:val="none"/>
        </w:rPr>
        <w:t>通过市</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场调查确定其基准单价。</w:t>
      </w:r>
    </w:p>
    <w:p w14:paraId="2E30501A">
      <w:pPr>
        <w:spacing w:line="213"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1">
            <w:col w:w="8333"/>
          </w:cols>
        </w:sectPr>
      </w:pPr>
    </w:p>
    <w:p w14:paraId="6CBE5A58">
      <w:pPr>
        <w:pStyle w:val="5"/>
        <w:spacing w:line="267" w:lineRule="auto"/>
        <w:rPr>
          <w:color w:val="auto"/>
          <w:highlight w:val="none"/>
        </w:rPr>
      </w:pPr>
    </w:p>
    <w:p w14:paraId="1AB84B63">
      <w:pPr>
        <w:pStyle w:val="5"/>
        <w:spacing w:line="268" w:lineRule="auto"/>
        <w:rPr>
          <w:color w:val="auto"/>
          <w:highlight w:val="none"/>
        </w:rPr>
      </w:pPr>
    </w:p>
    <w:p w14:paraId="3546B914">
      <w:pPr>
        <w:pStyle w:val="5"/>
        <w:spacing w:line="268" w:lineRule="auto"/>
        <w:rPr>
          <w:color w:val="auto"/>
          <w:highlight w:val="none"/>
        </w:rPr>
      </w:pPr>
    </w:p>
    <w:p w14:paraId="0D6F50E0">
      <w:pPr>
        <w:pStyle w:val="5"/>
        <w:spacing w:line="268" w:lineRule="auto"/>
        <w:rPr>
          <w:color w:val="auto"/>
          <w:highlight w:val="none"/>
        </w:rPr>
      </w:pPr>
    </w:p>
    <w:p w14:paraId="41530BB9">
      <w:pPr>
        <w:spacing w:before="78" w:line="218" w:lineRule="auto"/>
        <w:ind w:left="1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4.16 </w:t>
      </w:r>
      <w:r>
        <w:rPr>
          <w:rFonts w:ascii="黑体" w:hAnsi="黑体" w:eastAsia="黑体" w:cs="黑体"/>
          <w:color w:val="auto"/>
          <w:spacing w:val="-1"/>
          <w:sz w:val="24"/>
          <w:szCs w:val="24"/>
          <w:highlight w:val="none"/>
        </w:rPr>
        <w:t>承包人提供主要材料和工程设备一览表</w:t>
      </w:r>
      <w:r>
        <w:rPr>
          <w:rFonts w:ascii="宋体" w:hAnsi="宋体" w:eastAsia="宋体" w:cs="宋体"/>
          <w:color w:val="auto"/>
          <w:spacing w:val="-1"/>
          <w:sz w:val="24"/>
          <w:szCs w:val="24"/>
          <w:highlight w:val="none"/>
        </w:rPr>
        <w:t>（适用于价格指数差额调整法）</w:t>
      </w:r>
    </w:p>
    <w:p w14:paraId="3830B90D">
      <w:pPr>
        <w:pStyle w:val="5"/>
        <w:spacing w:line="437" w:lineRule="auto"/>
        <w:rPr>
          <w:color w:val="auto"/>
          <w:highlight w:val="none"/>
        </w:rPr>
      </w:pPr>
    </w:p>
    <w:p w14:paraId="1B419A92">
      <w:pPr>
        <w:spacing w:before="87" w:line="225" w:lineRule="auto"/>
        <w:ind w:left="1796"/>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承包人提供主要材料和工程设备一览表</w:t>
      </w:r>
    </w:p>
    <w:p w14:paraId="693C98F1">
      <w:pPr>
        <w:spacing w:line="220" w:lineRule="exact"/>
        <w:rPr>
          <w:color w:val="auto"/>
          <w:highlight w:val="none"/>
        </w:rPr>
      </w:pPr>
    </w:p>
    <w:p w14:paraId="32D01DF8">
      <w:pPr>
        <w:spacing w:line="220" w:lineRule="exact"/>
        <w:rPr>
          <w:color w:val="auto"/>
          <w:highlight w:val="none"/>
        </w:rPr>
        <w:sectPr>
          <w:footerReference r:id="rId142" w:type="default"/>
          <w:pgSz w:w="11905" w:h="16839"/>
          <w:pgMar w:top="400" w:right="1195" w:bottom="1004" w:left="1785" w:header="0" w:footer="828" w:gutter="0"/>
          <w:pgNumType w:fmt="decimal"/>
          <w:cols w:equalWidth="0" w:num="1">
            <w:col w:w="8923"/>
          </w:cols>
        </w:sectPr>
      </w:pPr>
    </w:p>
    <w:p w14:paraId="1347F7AC">
      <w:pPr>
        <w:spacing w:before="41"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32DF3A44">
      <w:pPr>
        <w:pStyle w:val="5"/>
        <w:spacing w:line="14" w:lineRule="auto"/>
        <w:rPr>
          <w:color w:val="auto"/>
          <w:sz w:val="2"/>
          <w:highlight w:val="none"/>
        </w:rPr>
      </w:pPr>
      <w:r>
        <w:rPr>
          <w:color w:val="auto"/>
          <w:sz w:val="2"/>
          <w:szCs w:val="2"/>
          <w:highlight w:val="none"/>
        </w:rPr>
        <w:br w:type="column"/>
      </w:r>
    </w:p>
    <w:p w14:paraId="6766C2EC">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p w14:paraId="7151A1A8">
      <w:pPr>
        <w:spacing w:line="186" w:lineRule="auto"/>
        <w:rPr>
          <w:rFonts w:ascii="宋体" w:hAnsi="宋体" w:eastAsia="宋体" w:cs="宋体"/>
          <w:color w:val="auto"/>
          <w:sz w:val="21"/>
          <w:szCs w:val="21"/>
          <w:highlight w:val="none"/>
        </w:rPr>
        <w:sectPr>
          <w:type w:val="continuous"/>
          <w:pgSz w:w="11905" w:h="16839"/>
          <w:pgMar w:top="400" w:right="1195" w:bottom="1004" w:left="1785" w:header="0" w:footer="828" w:gutter="0"/>
          <w:pgNumType w:fmt="decimal"/>
          <w:cols w:equalWidth="0" w:num="2">
            <w:col w:w="2234" w:space="100"/>
            <w:col w:w="6590"/>
          </w:cols>
        </w:sectPr>
      </w:pPr>
    </w:p>
    <w:p w14:paraId="6D5360F4">
      <w:pPr>
        <w:spacing w:line="32" w:lineRule="exact"/>
        <w:rPr>
          <w:color w:val="auto"/>
          <w:highlight w:val="none"/>
        </w:rPr>
      </w:pPr>
    </w:p>
    <w:tbl>
      <w:tblPr>
        <w:tblStyle w:val="17"/>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14:paraId="1C9D2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610" w:type="dxa"/>
            <w:textDirection w:val="tbRlV"/>
            <w:vAlign w:val="top"/>
          </w:tcPr>
          <w:p w14:paraId="17A83B40">
            <w:pPr>
              <w:pStyle w:val="18"/>
              <w:spacing w:before="196" w:line="211" w:lineRule="auto"/>
              <w:ind w:left="19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843" w:type="dxa"/>
            <w:vAlign w:val="top"/>
          </w:tcPr>
          <w:p w14:paraId="0AE87176">
            <w:pPr>
              <w:pStyle w:val="18"/>
              <w:spacing w:before="193" w:line="231" w:lineRule="auto"/>
              <w:ind w:left="824" w:right="196" w:hanging="631"/>
              <w:rPr>
                <w:color w:val="auto"/>
                <w:highlight w:val="none"/>
              </w:rPr>
            </w:pPr>
            <w:r>
              <w:rPr>
                <w:color w:val="auto"/>
                <w:spacing w:val="-4"/>
                <w:highlight w:val="none"/>
              </w:rPr>
              <w:t>名称、规格、型</w:t>
            </w:r>
            <w:r>
              <w:rPr>
                <w:color w:val="auto"/>
                <w:spacing w:val="5"/>
                <w:highlight w:val="none"/>
              </w:rPr>
              <w:t xml:space="preserve"> </w:t>
            </w:r>
            <w:r>
              <w:rPr>
                <w:color w:val="auto"/>
                <w:highlight w:val="none"/>
              </w:rPr>
              <w:t>号</w:t>
            </w:r>
          </w:p>
        </w:tc>
        <w:tc>
          <w:tcPr>
            <w:tcW w:w="1440" w:type="dxa"/>
            <w:vAlign w:val="top"/>
          </w:tcPr>
          <w:p w14:paraId="2CD56AA9">
            <w:pPr>
              <w:spacing w:line="261" w:lineRule="auto"/>
              <w:rPr>
                <w:rFonts w:ascii="Arial"/>
                <w:color w:val="auto"/>
                <w:sz w:val="21"/>
                <w:highlight w:val="none"/>
              </w:rPr>
            </w:pPr>
          </w:p>
          <w:p w14:paraId="7D96210C">
            <w:pPr>
              <w:pStyle w:val="18"/>
              <w:spacing w:before="68" w:line="221" w:lineRule="auto"/>
              <w:ind w:left="210"/>
              <w:rPr>
                <w:rFonts w:ascii="Times New Roman" w:hAnsi="Times New Roman" w:eastAsia="Times New Roman" w:cs="Times New Roman"/>
                <w:color w:val="auto"/>
                <w:highlight w:val="none"/>
              </w:rPr>
            </w:pPr>
            <w:r>
              <w:rPr>
                <w:color w:val="auto"/>
                <w:spacing w:val="-1"/>
                <w:highlight w:val="none"/>
              </w:rPr>
              <w:t>变值权重</w:t>
            </w:r>
            <w:r>
              <w:rPr>
                <w:color w:val="auto"/>
                <w:spacing w:val="-49"/>
                <w:highlight w:val="none"/>
              </w:rPr>
              <w:t xml:space="preserve"> </w:t>
            </w:r>
            <w:r>
              <w:rPr>
                <w:rFonts w:ascii="Times New Roman" w:hAnsi="Times New Roman" w:eastAsia="Times New Roman" w:cs="Times New Roman"/>
                <w:color w:val="auto"/>
                <w:spacing w:val="-1"/>
                <w:highlight w:val="none"/>
              </w:rPr>
              <w:t>B</w:t>
            </w:r>
          </w:p>
        </w:tc>
        <w:tc>
          <w:tcPr>
            <w:tcW w:w="1799" w:type="dxa"/>
            <w:vAlign w:val="top"/>
          </w:tcPr>
          <w:p w14:paraId="01470F5B">
            <w:pPr>
              <w:spacing w:line="262" w:lineRule="auto"/>
              <w:rPr>
                <w:rFonts w:ascii="Arial"/>
                <w:color w:val="auto"/>
                <w:sz w:val="21"/>
                <w:highlight w:val="none"/>
              </w:rPr>
            </w:pPr>
          </w:p>
          <w:p w14:paraId="5854E27B">
            <w:pPr>
              <w:pStyle w:val="18"/>
              <w:spacing w:before="68" w:line="219" w:lineRule="auto"/>
              <w:ind w:left="158"/>
              <w:rPr>
                <w:rFonts w:ascii="Times New Roman" w:hAnsi="Times New Roman" w:eastAsia="Times New Roman" w:cs="Times New Roman"/>
                <w:color w:val="auto"/>
                <w:sz w:val="13"/>
                <w:szCs w:val="13"/>
                <w:highlight w:val="none"/>
              </w:rPr>
            </w:pPr>
            <w:r>
              <w:rPr>
                <w:color w:val="auto"/>
                <w:spacing w:val="-1"/>
                <w:highlight w:val="none"/>
              </w:rPr>
              <w:t>基本价格指数</w:t>
            </w:r>
            <w:r>
              <w:rPr>
                <w:color w:val="auto"/>
                <w:spacing w:val="-48"/>
                <w:highlight w:val="none"/>
              </w:rPr>
              <w:t xml:space="preserve"> </w:t>
            </w:r>
            <w:r>
              <w:rPr>
                <w:rFonts w:ascii="Times New Roman" w:hAnsi="Times New Roman" w:eastAsia="Times New Roman" w:cs="Times New Roman"/>
                <w:color w:val="auto"/>
                <w:spacing w:val="-1"/>
                <w:highlight w:val="none"/>
              </w:rPr>
              <w:t>F</w:t>
            </w:r>
            <w:r>
              <w:rPr>
                <w:rFonts w:ascii="Times New Roman" w:hAnsi="Times New Roman" w:eastAsia="Times New Roman" w:cs="Times New Roman"/>
                <w:color w:val="auto"/>
                <w:spacing w:val="-1"/>
                <w:position w:val="-1"/>
                <w:sz w:val="13"/>
                <w:szCs w:val="13"/>
                <w:highlight w:val="none"/>
              </w:rPr>
              <w:t>0</w:t>
            </w:r>
          </w:p>
        </w:tc>
        <w:tc>
          <w:tcPr>
            <w:tcW w:w="1732" w:type="dxa"/>
            <w:vAlign w:val="top"/>
          </w:tcPr>
          <w:p w14:paraId="5168AFA7">
            <w:pPr>
              <w:spacing w:line="262" w:lineRule="auto"/>
              <w:rPr>
                <w:rFonts w:ascii="Arial"/>
                <w:color w:val="auto"/>
                <w:sz w:val="21"/>
                <w:highlight w:val="none"/>
              </w:rPr>
            </w:pPr>
          </w:p>
          <w:p w14:paraId="0FF6EBBF">
            <w:pPr>
              <w:pStyle w:val="18"/>
              <w:spacing w:before="68" w:line="236" w:lineRule="auto"/>
              <w:ind w:left="142"/>
              <w:rPr>
                <w:rFonts w:ascii="Times New Roman" w:hAnsi="Times New Roman" w:eastAsia="Times New Roman" w:cs="Times New Roman"/>
                <w:color w:val="auto"/>
                <w:sz w:val="13"/>
                <w:szCs w:val="13"/>
                <w:highlight w:val="none"/>
              </w:rPr>
            </w:pPr>
            <w:r>
              <w:rPr>
                <w:color w:val="auto"/>
                <w:spacing w:val="-2"/>
                <w:highlight w:val="none"/>
              </w:rPr>
              <w:t>现行价格指数</w:t>
            </w:r>
            <w:r>
              <w:rPr>
                <w:color w:val="auto"/>
                <w:spacing w:val="-43"/>
                <w:highlight w:val="none"/>
              </w:rPr>
              <w:t xml:space="preserve"> </w:t>
            </w:r>
            <w:r>
              <w:rPr>
                <w:rFonts w:ascii="Times New Roman" w:hAnsi="Times New Roman" w:eastAsia="Times New Roman" w:cs="Times New Roman"/>
                <w:color w:val="auto"/>
                <w:spacing w:val="-2"/>
                <w:highlight w:val="none"/>
              </w:rPr>
              <w:t>F</w:t>
            </w:r>
            <w:r>
              <w:rPr>
                <w:rFonts w:ascii="Times New Roman" w:hAnsi="Times New Roman" w:eastAsia="Times New Roman" w:cs="Times New Roman"/>
                <w:color w:val="auto"/>
                <w:spacing w:val="-2"/>
                <w:position w:val="-1"/>
                <w:sz w:val="13"/>
                <w:szCs w:val="13"/>
                <w:highlight w:val="none"/>
              </w:rPr>
              <w:t>t</w:t>
            </w:r>
          </w:p>
        </w:tc>
        <w:tc>
          <w:tcPr>
            <w:tcW w:w="1483" w:type="dxa"/>
            <w:vAlign w:val="top"/>
          </w:tcPr>
          <w:p w14:paraId="6F0FB6F4">
            <w:pPr>
              <w:spacing w:line="262" w:lineRule="auto"/>
              <w:rPr>
                <w:rFonts w:ascii="Arial"/>
                <w:color w:val="auto"/>
                <w:sz w:val="21"/>
                <w:highlight w:val="none"/>
              </w:rPr>
            </w:pPr>
          </w:p>
          <w:p w14:paraId="0E6A7241">
            <w:pPr>
              <w:pStyle w:val="18"/>
              <w:spacing w:before="68" w:line="222" w:lineRule="auto"/>
              <w:ind w:left="543"/>
              <w:rPr>
                <w:color w:val="auto"/>
                <w:highlight w:val="none"/>
              </w:rPr>
            </w:pPr>
            <w:r>
              <w:rPr>
                <w:color w:val="auto"/>
                <w:spacing w:val="-3"/>
                <w:highlight w:val="none"/>
              </w:rPr>
              <w:t>备注</w:t>
            </w:r>
          </w:p>
        </w:tc>
      </w:tr>
      <w:tr w14:paraId="5D8A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65DA46C9">
            <w:pPr>
              <w:rPr>
                <w:rFonts w:ascii="Arial"/>
                <w:color w:val="auto"/>
                <w:sz w:val="21"/>
                <w:highlight w:val="none"/>
              </w:rPr>
            </w:pPr>
          </w:p>
        </w:tc>
        <w:tc>
          <w:tcPr>
            <w:tcW w:w="1843" w:type="dxa"/>
            <w:vAlign w:val="top"/>
          </w:tcPr>
          <w:p w14:paraId="3F88DB94">
            <w:pPr>
              <w:rPr>
                <w:rFonts w:ascii="Arial"/>
                <w:color w:val="auto"/>
                <w:sz w:val="21"/>
                <w:highlight w:val="none"/>
              </w:rPr>
            </w:pPr>
          </w:p>
        </w:tc>
        <w:tc>
          <w:tcPr>
            <w:tcW w:w="1440" w:type="dxa"/>
            <w:vAlign w:val="top"/>
          </w:tcPr>
          <w:p w14:paraId="6F59E02F">
            <w:pPr>
              <w:rPr>
                <w:rFonts w:ascii="Arial"/>
                <w:color w:val="auto"/>
                <w:sz w:val="21"/>
                <w:highlight w:val="none"/>
              </w:rPr>
            </w:pPr>
          </w:p>
        </w:tc>
        <w:tc>
          <w:tcPr>
            <w:tcW w:w="1799" w:type="dxa"/>
            <w:vAlign w:val="top"/>
          </w:tcPr>
          <w:p w14:paraId="05829C0B">
            <w:pPr>
              <w:rPr>
                <w:rFonts w:ascii="Arial"/>
                <w:color w:val="auto"/>
                <w:sz w:val="21"/>
                <w:highlight w:val="none"/>
              </w:rPr>
            </w:pPr>
          </w:p>
        </w:tc>
        <w:tc>
          <w:tcPr>
            <w:tcW w:w="1732" w:type="dxa"/>
            <w:vAlign w:val="top"/>
          </w:tcPr>
          <w:p w14:paraId="2B7BB004">
            <w:pPr>
              <w:rPr>
                <w:rFonts w:ascii="Arial"/>
                <w:color w:val="auto"/>
                <w:sz w:val="21"/>
                <w:highlight w:val="none"/>
              </w:rPr>
            </w:pPr>
          </w:p>
        </w:tc>
        <w:tc>
          <w:tcPr>
            <w:tcW w:w="1483" w:type="dxa"/>
            <w:vAlign w:val="top"/>
          </w:tcPr>
          <w:p w14:paraId="7D72AD71">
            <w:pPr>
              <w:rPr>
                <w:rFonts w:ascii="Arial"/>
                <w:color w:val="auto"/>
                <w:sz w:val="21"/>
                <w:highlight w:val="none"/>
              </w:rPr>
            </w:pPr>
          </w:p>
        </w:tc>
      </w:tr>
      <w:tr w14:paraId="65809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376F591B">
            <w:pPr>
              <w:rPr>
                <w:rFonts w:ascii="Arial"/>
                <w:color w:val="auto"/>
                <w:sz w:val="21"/>
                <w:highlight w:val="none"/>
              </w:rPr>
            </w:pPr>
          </w:p>
        </w:tc>
        <w:tc>
          <w:tcPr>
            <w:tcW w:w="1843" w:type="dxa"/>
            <w:vAlign w:val="top"/>
          </w:tcPr>
          <w:p w14:paraId="771FBCAB">
            <w:pPr>
              <w:rPr>
                <w:rFonts w:ascii="Arial"/>
                <w:color w:val="auto"/>
                <w:sz w:val="21"/>
                <w:highlight w:val="none"/>
              </w:rPr>
            </w:pPr>
          </w:p>
        </w:tc>
        <w:tc>
          <w:tcPr>
            <w:tcW w:w="1440" w:type="dxa"/>
            <w:vAlign w:val="top"/>
          </w:tcPr>
          <w:p w14:paraId="3087BE4B">
            <w:pPr>
              <w:rPr>
                <w:rFonts w:ascii="Arial"/>
                <w:color w:val="auto"/>
                <w:sz w:val="21"/>
                <w:highlight w:val="none"/>
              </w:rPr>
            </w:pPr>
          </w:p>
        </w:tc>
        <w:tc>
          <w:tcPr>
            <w:tcW w:w="1799" w:type="dxa"/>
            <w:vAlign w:val="top"/>
          </w:tcPr>
          <w:p w14:paraId="4FC1A12A">
            <w:pPr>
              <w:rPr>
                <w:rFonts w:ascii="Arial"/>
                <w:color w:val="auto"/>
                <w:sz w:val="21"/>
                <w:highlight w:val="none"/>
              </w:rPr>
            </w:pPr>
          </w:p>
        </w:tc>
        <w:tc>
          <w:tcPr>
            <w:tcW w:w="1732" w:type="dxa"/>
            <w:vAlign w:val="top"/>
          </w:tcPr>
          <w:p w14:paraId="558DA61B">
            <w:pPr>
              <w:rPr>
                <w:rFonts w:ascii="Arial"/>
                <w:color w:val="auto"/>
                <w:sz w:val="21"/>
                <w:highlight w:val="none"/>
              </w:rPr>
            </w:pPr>
          </w:p>
        </w:tc>
        <w:tc>
          <w:tcPr>
            <w:tcW w:w="1483" w:type="dxa"/>
            <w:vAlign w:val="top"/>
          </w:tcPr>
          <w:p w14:paraId="7D3D9F66">
            <w:pPr>
              <w:rPr>
                <w:rFonts w:ascii="Arial"/>
                <w:color w:val="auto"/>
                <w:sz w:val="21"/>
                <w:highlight w:val="none"/>
              </w:rPr>
            </w:pPr>
          </w:p>
        </w:tc>
      </w:tr>
      <w:tr w14:paraId="7FFF2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181F42E">
            <w:pPr>
              <w:rPr>
                <w:rFonts w:ascii="Arial"/>
                <w:color w:val="auto"/>
                <w:sz w:val="21"/>
                <w:highlight w:val="none"/>
              </w:rPr>
            </w:pPr>
          </w:p>
        </w:tc>
        <w:tc>
          <w:tcPr>
            <w:tcW w:w="1843" w:type="dxa"/>
            <w:vAlign w:val="top"/>
          </w:tcPr>
          <w:p w14:paraId="440EB08A">
            <w:pPr>
              <w:rPr>
                <w:rFonts w:ascii="Arial"/>
                <w:color w:val="auto"/>
                <w:sz w:val="21"/>
                <w:highlight w:val="none"/>
              </w:rPr>
            </w:pPr>
          </w:p>
        </w:tc>
        <w:tc>
          <w:tcPr>
            <w:tcW w:w="1440" w:type="dxa"/>
            <w:vAlign w:val="top"/>
          </w:tcPr>
          <w:p w14:paraId="233237DD">
            <w:pPr>
              <w:rPr>
                <w:rFonts w:ascii="Arial"/>
                <w:color w:val="auto"/>
                <w:sz w:val="21"/>
                <w:highlight w:val="none"/>
              </w:rPr>
            </w:pPr>
          </w:p>
        </w:tc>
        <w:tc>
          <w:tcPr>
            <w:tcW w:w="1799" w:type="dxa"/>
            <w:vAlign w:val="top"/>
          </w:tcPr>
          <w:p w14:paraId="1833D0A1">
            <w:pPr>
              <w:rPr>
                <w:rFonts w:ascii="Arial"/>
                <w:color w:val="auto"/>
                <w:sz w:val="21"/>
                <w:highlight w:val="none"/>
              </w:rPr>
            </w:pPr>
          </w:p>
        </w:tc>
        <w:tc>
          <w:tcPr>
            <w:tcW w:w="1732" w:type="dxa"/>
            <w:vAlign w:val="top"/>
          </w:tcPr>
          <w:p w14:paraId="2CAFF486">
            <w:pPr>
              <w:rPr>
                <w:rFonts w:ascii="Arial"/>
                <w:color w:val="auto"/>
                <w:sz w:val="21"/>
                <w:highlight w:val="none"/>
              </w:rPr>
            </w:pPr>
          </w:p>
        </w:tc>
        <w:tc>
          <w:tcPr>
            <w:tcW w:w="1483" w:type="dxa"/>
            <w:vAlign w:val="top"/>
          </w:tcPr>
          <w:p w14:paraId="7E9D6BCE">
            <w:pPr>
              <w:rPr>
                <w:rFonts w:ascii="Arial"/>
                <w:color w:val="auto"/>
                <w:sz w:val="21"/>
                <w:highlight w:val="none"/>
              </w:rPr>
            </w:pPr>
          </w:p>
        </w:tc>
      </w:tr>
      <w:tr w14:paraId="1AC03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1B8C4520">
            <w:pPr>
              <w:rPr>
                <w:rFonts w:ascii="Arial"/>
                <w:color w:val="auto"/>
                <w:sz w:val="21"/>
                <w:highlight w:val="none"/>
              </w:rPr>
            </w:pPr>
          </w:p>
        </w:tc>
        <w:tc>
          <w:tcPr>
            <w:tcW w:w="1843" w:type="dxa"/>
            <w:vAlign w:val="top"/>
          </w:tcPr>
          <w:p w14:paraId="742F973B">
            <w:pPr>
              <w:rPr>
                <w:rFonts w:ascii="Arial"/>
                <w:color w:val="auto"/>
                <w:sz w:val="21"/>
                <w:highlight w:val="none"/>
              </w:rPr>
            </w:pPr>
          </w:p>
        </w:tc>
        <w:tc>
          <w:tcPr>
            <w:tcW w:w="1440" w:type="dxa"/>
            <w:vAlign w:val="top"/>
          </w:tcPr>
          <w:p w14:paraId="26D2DB1D">
            <w:pPr>
              <w:rPr>
                <w:rFonts w:ascii="Arial"/>
                <w:color w:val="auto"/>
                <w:sz w:val="21"/>
                <w:highlight w:val="none"/>
              </w:rPr>
            </w:pPr>
          </w:p>
        </w:tc>
        <w:tc>
          <w:tcPr>
            <w:tcW w:w="1799" w:type="dxa"/>
            <w:vAlign w:val="top"/>
          </w:tcPr>
          <w:p w14:paraId="32255D74">
            <w:pPr>
              <w:rPr>
                <w:rFonts w:ascii="Arial"/>
                <w:color w:val="auto"/>
                <w:sz w:val="21"/>
                <w:highlight w:val="none"/>
              </w:rPr>
            </w:pPr>
          </w:p>
        </w:tc>
        <w:tc>
          <w:tcPr>
            <w:tcW w:w="1732" w:type="dxa"/>
            <w:vAlign w:val="top"/>
          </w:tcPr>
          <w:p w14:paraId="1BCCD3F7">
            <w:pPr>
              <w:rPr>
                <w:rFonts w:ascii="Arial"/>
                <w:color w:val="auto"/>
                <w:sz w:val="21"/>
                <w:highlight w:val="none"/>
              </w:rPr>
            </w:pPr>
          </w:p>
        </w:tc>
        <w:tc>
          <w:tcPr>
            <w:tcW w:w="1483" w:type="dxa"/>
            <w:vAlign w:val="top"/>
          </w:tcPr>
          <w:p w14:paraId="174D6DF0">
            <w:pPr>
              <w:rPr>
                <w:rFonts w:ascii="Arial"/>
                <w:color w:val="auto"/>
                <w:sz w:val="21"/>
                <w:highlight w:val="none"/>
              </w:rPr>
            </w:pPr>
          </w:p>
        </w:tc>
      </w:tr>
      <w:tr w14:paraId="56F94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4EA4B42E">
            <w:pPr>
              <w:rPr>
                <w:rFonts w:ascii="Arial"/>
                <w:color w:val="auto"/>
                <w:sz w:val="21"/>
                <w:highlight w:val="none"/>
              </w:rPr>
            </w:pPr>
          </w:p>
        </w:tc>
        <w:tc>
          <w:tcPr>
            <w:tcW w:w="1843" w:type="dxa"/>
            <w:vAlign w:val="top"/>
          </w:tcPr>
          <w:p w14:paraId="214FC7FB">
            <w:pPr>
              <w:rPr>
                <w:rFonts w:ascii="Arial"/>
                <w:color w:val="auto"/>
                <w:sz w:val="21"/>
                <w:highlight w:val="none"/>
              </w:rPr>
            </w:pPr>
          </w:p>
        </w:tc>
        <w:tc>
          <w:tcPr>
            <w:tcW w:w="1440" w:type="dxa"/>
            <w:vAlign w:val="top"/>
          </w:tcPr>
          <w:p w14:paraId="03D306CB">
            <w:pPr>
              <w:rPr>
                <w:rFonts w:ascii="Arial"/>
                <w:color w:val="auto"/>
                <w:sz w:val="21"/>
                <w:highlight w:val="none"/>
              </w:rPr>
            </w:pPr>
          </w:p>
        </w:tc>
        <w:tc>
          <w:tcPr>
            <w:tcW w:w="1799" w:type="dxa"/>
            <w:vAlign w:val="top"/>
          </w:tcPr>
          <w:p w14:paraId="48FFAEDB">
            <w:pPr>
              <w:rPr>
                <w:rFonts w:ascii="Arial"/>
                <w:color w:val="auto"/>
                <w:sz w:val="21"/>
                <w:highlight w:val="none"/>
              </w:rPr>
            </w:pPr>
          </w:p>
        </w:tc>
        <w:tc>
          <w:tcPr>
            <w:tcW w:w="1732" w:type="dxa"/>
            <w:vAlign w:val="top"/>
          </w:tcPr>
          <w:p w14:paraId="4EF16717">
            <w:pPr>
              <w:rPr>
                <w:rFonts w:ascii="Arial"/>
                <w:color w:val="auto"/>
                <w:sz w:val="21"/>
                <w:highlight w:val="none"/>
              </w:rPr>
            </w:pPr>
          </w:p>
        </w:tc>
        <w:tc>
          <w:tcPr>
            <w:tcW w:w="1483" w:type="dxa"/>
            <w:vAlign w:val="top"/>
          </w:tcPr>
          <w:p w14:paraId="73A851C9">
            <w:pPr>
              <w:rPr>
                <w:rFonts w:ascii="Arial"/>
                <w:color w:val="auto"/>
                <w:sz w:val="21"/>
                <w:highlight w:val="none"/>
              </w:rPr>
            </w:pPr>
          </w:p>
        </w:tc>
      </w:tr>
      <w:tr w14:paraId="51FB2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4DF15635">
            <w:pPr>
              <w:rPr>
                <w:rFonts w:ascii="Arial"/>
                <w:color w:val="auto"/>
                <w:sz w:val="21"/>
                <w:highlight w:val="none"/>
              </w:rPr>
            </w:pPr>
          </w:p>
        </w:tc>
        <w:tc>
          <w:tcPr>
            <w:tcW w:w="1843" w:type="dxa"/>
            <w:vAlign w:val="top"/>
          </w:tcPr>
          <w:p w14:paraId="182C52DF">
            <w:pPr>
              <w:rPr>
                <w:rFonts w:ascii="Arial"/>
                <w:color w:val="auto"/>
                <w:sz w:val="21"/>
                <w:highlight w:val="none"/>
              </w:rPr>
            </w:pPr>
          </w:p>
        </w:tc>
        <w:tc>
          <w:tcPr>
            <w:tcW w:w="1440" w:type="dxa"/>
            <w:vAlign w:val="top"/>
          </w:tcPr>
          <w:p w14:paraId="212A48AC">
            <w:pPr>
              <w:rPr>
                <w:rFonts w:ascii="Arial"/>
                <w:color w:val="auto"/>
                <w:sz w:val="21"/>
                <w:highlight w:val="none"/>
              </w:rPr>
            </w:pPr>
          </w:p>
        </w:tc>
        <w:tc>
          <w:tcPr>
            <w:tcW w:w="1799" w:type="dxa"/>
            <w:vAlign w:val="top"/>
          </w:tcPr>
          <w:p w14:paraId="779020A3">
            <w:pPr>
              <w:rPr>
                <w:rFonts w:ascii="Arial"/>
                <w:color w:val="auto"/>
                <w:sz w:val="21"/>
                <w:highlight w:val="none"/>
              </w:rPr>
            </w:pPr>
          </w:p>
        </w:tc>
        <w:tc>
          <w:tcPr>
            <w:tcW w:w="1732" w:type="dxa"/>
            <w:vAlign w:val="top"/>
          </w:tcPr>
          <w:p w14:paraId="610E8530">
            <w:pPr>
              <w:rPr>
                <w:rFonts w:ascii="Arial"/>
                <w:color w:val="auto"/>
                <w:sz w:val="21"/>
                <w:highlight w:val="none"/>
              </w:rPr>
            </w:pPr>
          </w:p>
        </w:tc>
        <w:tc>
          <w:tcPr>
            <w:tcW w:w="1483" w:type="dxa"/>
            <w:vAlign w:val="top"/>
          </w:tcPr>
          <w:p w14:paraId="03A13A72">
            <w:pPr>
              <w:rPr>
                <w:rFonts w:ascii="Arial"/>
                <w:color w:val="auto"/>
                <w:sz w:val="21"/>
                <w:highlight w:val="none"/>
              </w:rPr>
            </w:pPr>
          </w:p>
        </w:tc>
      </w:tr>
      <w:tr w14:paraId="4EF51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57D96724">
            <w:pPr>
              <w:rPr>
                <w:rFonts w:ascii="Arial"/>
                <w:color w:val="auto"/>
                <w:sz w:val="21"/>
                <w:highlight w:val="none"/>
              </w:rPr>
            </w:pPr>
          </w:p>
        </w:tc>
        <w:tc>
          <w:tcPr>
            <w:tcW w:w="1843" w:type="dxa"/>
            <w:vAlign w:val="top"/>
          </w:tcPr>
          <w:p w14:paraId="1A56844A">
            <w:pPr>
              <w:rPr>
                <w:rFonts w:ascii="Arial"/>
                <w:color w:val="auto"/>
                <w:sz w:val="21"/>
                <w:highlight w:val="none"/>
              </w:rPr>
            </w:pPr>
          </w:p>
        </w:tc>
        <w:tc>
          <w:tcPr>
            <w:tcW w:w="1440" w:type="dxa"/>
            <w:vAlign w:val="top"/>
          </w:tcPr>
          <w:p w14:paraId="32C720C6">
            <w:pPr>
              <w:rPr>
                <w:rFonts w:ascii="Arial"/>
                <w:color w:val="auto"/>
                <w:sz w:val="21"/>
                <w:highlight w:val="none"/>
              </w:rPr>
            </w:pPr>
          </w:p>
        </w:tc>
        <w:tc>
          <w:tcPr>
            <w:tcW w:w="1799" w:type="dxa"/>
            <w:vAlign w:val="top"/>
          </w:tcPr>
          <w:p w14:paraId="53F3773C">
            <w:pPr>
              <w:rPr>
                <w:rFonts w:ascii="Arial"/>
                <w:color w:val="auto"/>
                <w:sz w:val="21"/>
                <w:highlight w:val="none"/>
              </w:rPr>
            </w:pPr>
          </w:p>
        </w:tc>
        <w:tc>
          <w:tcPr>
            <w:tcW w:w="1732" w:type="dxa"/>
            <w:vAlign w:val="top"/>
          </w:tcPr>
          <w:p w14:paraId="4097B5EB">
            <w:pPr>
              <w:rPr>
                <w:rFonts w:ascii="Arial"/>
                <w:color w:val="auto"/>
                <w:sz w:val="21"/>
                <w:highlight w:val="none"/>
              </w:rPr>
            </w:pPr>
          </w:p>
        </w:tc>
        <w:tc>
          <w:tcPr>
            <w:tcW w:w="1483" w:type="dxa"/>
            <w:vAlign w:val="top"/>
          </w:tcPr>
          <w:p w14:paraId="6BD7C39D">
            <w:pPr>
              <w:rPr>
                <w:rFonts w:ascii="Arial"/>
                <w:color w:val="auto"/>
                <w:sz w:val="21"/>
                <w:highlight w:val="none"/>
              </w:rPr>
            </w:pPr>
          </w:p>
        </w:tc>
      </w:tr>
      <w:tr w14:paraId="1BD75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2AF117F8">
            <w:pPr>
              <w:rPr>
                <w:rFonts w:ascii="Arial"/>
                <w:color w:val="auto"/>
                <w:sz w:val="21"/>
                <w:highlight w:val="none"/>
              </w:rPr>
            </w:pPr>
          </w:p>
        </w:tc>
        <w:tc>
          <w:tcPr>
            <w:tcW w:w="1843" w:type="dxa"/>
            <w:vAlign w:val="top"/>
          </w:tcPr>
          <w:p w14:paraId="0FF585ED">
            <w:pPr>
              <w:spacing w:line="261" w:lineRule="auto"/>
              <w:rPr>
                <w:rFonts w:ascii="Arial"/>
                <w:color w:val="auto"/>
                <w:sz w:val="21"/>
                <w:highlight w:val="none"/>
              </w:rPr>
            </w:pPr>
          </w:p>
          <w:p w14:paraId="684AF7C8">
            <w:pPr>
              <w:pStyle w:val="18"/>
              <w:spacing w:before="68" w:line="221" w:lineRule="auto"/>
              <w:ind w:left="411"/>
              <w:rPr>
                <w:rFonts w:ascii="Times New Roman" w:hAnsi="Times New Roman" w:eastAsia="Times New Roman" w:cs="Times New Roman"/>
                <w:color w:val="auto"/>
                <w:highlight w:val="none"/>
              </w:rPr>
            </w:pPr>
            <w:r>
              <w:rPr>
                <w:color w:val="auto"/>
                <w:spacing w:val="-2"/>
                <w:highlight w:val="none"/>
              </w:rPr>
              <w:t>定值权重</w:t>
            </w:r>
            <w:r>
              <w:rPr>
                <w:color w:val="auto"/>
                <w:spacing w:val="-55"/>
                <w:highlight w:val="none"/>
              </w:rPr>
              <w:t xml:space="preserve"> </w:t>
            </w:r>
            <w:r>
              <w:rPr>
                <w:rFonts w:ascii="Times New Roman" w:hAnsi="Times New Roman" w:eastAsia="Times New Roman" w:cs="Times New Roman"/>
                <w:color w:val="auto"/>
                <w:spacing w:val="-2"/>
                <w:highlight w:val="none"/>
              </w:rPr>
              <w:t>A</w:t>
            </w:r>
          </w:p>
        </w:tc>
        <w:tc>
          <w:tcPr>
            <w:tcW w:w="1440" w:type="dxa"/>
            <w:vAlign w:val="top"/>
          </w:tcPr>
          <w:p w14:paraId="11EE35BB">
            <w:pPr>
              <w:rPr>
                <w:rFonts w:ascii="Arial"/>
                <w:color w:val="auto"/>
                <w:sz w:val="21"/>
                <w:highlight w:val="none"/>
              </w:rPr>
            </w:pPr>
          </w:p>
        </w:tc>
        <w:tc>
          <w:tcPr>
            <w:tcW w:w="1799" w:type="dxa"/>
            <w:vAlign w:val="top"/>
          </w:tcPr>
          <w:p w14:paraId="1FEFDBB8">
            <w:pPr>
              <w:spacing w:line="360" w:lineRule="auto"/>
              <w:rPr>
                <w:rFonts w:ascii="Arial"/>
                <w:color w:val="auto"/>
                <w:sz w:val="21"/>
                <w:highlight w:val="none"/>
              </w:rPr>
            </w:pPr>
          </w:p>
          <w:p w14:paraId="348D8368">
            <w:pPr>
              <w:pStyle w:val="18"/>
              <w:spacing w:before="68" w:line="143" w:lineRule="exact"/>
              <w:ind w:left="800"/>
              <w:rPr>
                <w:color w:val="auto"/>
                <w:highlight w:val="none"/>
              </w:rPr>
            </w:pPr>
            <w:r>
              <w:rPr>
                <w:color w:val="auto"/>
                <w:position w:val="-3"/>
                <w:highlight w:val="none"/>
              </w:rPr>
              <w:t>—</w:t>
            </w:r>
          </w:p>
        </w:tc>
        <w:tc>
          <w:tcPr>
            <w:tcW w:w="1732" w:type="dxa"/>
            <w:vAlign w:val="top"/>
          </w:tcPr>
          <w:p w14:paraId="1CFCB0E4">
            <w:pPr>
              <w:spacing w:line="360" w:lineRule="auto"/>
              <w:rPr>
                <w:rFonts w:ascii="Arial"/>
                <w:color w:val="auto"/>
                <w:sz w:val="21"/>
                <w:highlight w:val="none"/>
              </w:rPr>
            </w:pPr>
          </w:p>
          <w:p w14:paraId="129966F0">
            <w:pPr>
              <w:pStyle w:val="18"/>
              <w:spacing w:before="68" w:line="143" w:lineRule="exact"/>
              <w:ind w:left="768"/>
              <w:rPr>
                <w:color w:val="auto"/>
                <w:highlight w:val="none"/>
              </w:rPr>
            </w:pPr>
            <w:r>
              <w:rPr>
                <w:color w:val="auto"/>
                <w:position w:val="-3"/>
                <w:highlight w:val="none"/>
              </w:rPr>
              <w:t>—</w:t>
            </w:r>
          </w:p>
        </w:tc>
        <w:tc>
          <w:tcPr>
            <w:tcW w:w="1483" w:type="dxa"/>
            <w:vAlign w:val="top"/>
          </w:tcPr>
          <w:p w14:paraId="265D3967">
            <w:pPr>
              <w:rPr>
                <w:rFonts w:ascii="Arial"/>
                <w:color w:val="auto"/>
                <w:sz w:val="21"/>
                <w:highlight w:val="none"/>
              </w:rPr>
            </w:pPr>
          </w:p>
        </w:tc>
      </w:tr>
      <w:tr w14:paraId="7D88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14:paraId="3085BA80">
            <w:pPr>
              <w:spacing w:line="262" w:lineRule="auto"/>
              <w:rPr>
                <w:rFonts w:ascii="Arial"/>
                <w:color w:val="auto"/>
                <w:sz w:val="21"/>
                <w:highlight w:val="none"/>
              </w:rPr>
            </w:pPr>
          </w:p>
          <w:p w14:paraId="22A2CF40">
            <w:pPr>
              <w:pStyle w:val="18"/>
              <w:spacing w:before="68" w:line="222" w:lineRule="auto"/>
              <w:ind w:left="1027"/>
              <w:rPr>
                <w:color w:val="auto"/>
                <w:highlight w:val="none"/>
              </w:rPr>
            </w:pPr>
            <w:r>
              <w:rPr>
                <w:color w:val="auto"/>
                <w:spacing w:val="-2"/>
                <w:highlight w:val="none"/>
              </w:rPr>
              <w:t>合计</w:t>
            </w:r>
          </w:p>
        </w:tc>
        <w:tc>
          <w:tcPr>
            <w:tcW w:w="1440" w:type="dxa"/>
            <w:vAlign w:val="top"/>
          </w:tcPr>
          <w:p w14:paraId="22FD2D6F">
            <w:pPr>
              <w:spacing w:line="306" w:lineRule="auto"/>
              <w:rPr>
                <w:rFonts w:ascii="Arial"/>
                <w:color w:val="auto"/>
                <w:sz w:val="21"/>
                <w:highlight w:val="none"/>
              </w:rPr>
            </w:pPr>
          </w:p>
          <w:p w14:paraId="2893B191">
            <w:pPr>
              <w:spacing w:before="61" w:line="189" w:lineRule="auto"/>
              <w:ind w:left="68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799" w:type="dxa"/>
            <w:vAlign w:val="top"/>
          </w:tcPr>
          <w:p w14:paraId="6BB14721">
            <w:pPr>
              <w:tabs>
                <w:tab w:val="left" w:pos="1004"/>
              </w:tabs>
              <w:spacing w:before="239" w:line="242" w:lineRule="exact"/>
              <w:ind w:left="800"/>
              <w:rPr>
                <w:rFonts w:ascii="Arial"/>
                <w:color w:val="auto"/>
                <w:sz w:val="21"/>
                <w:highlight w:val="none"/>
              </w:rPr>
            </w:pPr>
            <w:r>
              <w:rPr>
                <w:rFonts w:ascii="Arial" w:hAnsi="Arial" w:eastAsia="Arial" w:cs="Arial"/>
                <w:color w:val="auto"/>
                <w:sz w:val="21"/>
                <w:szCs w:val="21"/>
                <w:highlight w:val="none"/>
                <w:u w:val="single" w:color="auto"/>
              </w:rPr>
              <w:tab/>
            </w:r>
          </w:p>
        </w:tc>
        <w:tc>
          <w:tcPr>
            <w:tcW w:w="1732" w:type="dxa"/>
            <w:vAlign w:val="top"/>
          </w:tcPr>
          <w:p w14:paraId="5C6FA13F">
            <w:pPr>
              <w:spacing w:line="361" w:lineRule="auto"/>
              <w:rPr>
                <w:rFonts w:ascii="Arial"/>
                <w:color w:val="auto"/>
                <w:sz w:val="21"/>
                <w:highlight w:val="none"/>
              </w:rPr>
            </w:pPr>
          </w:p>
          <w:p w14:paraId="4BB4A049">
            <w:pPr>
              <w:pStyle w:val="18"/>
              <w:spacing w:before="68" w:line="143" w:lineRule="exact"/>
              <w:ind w:left="768"/>
              <w:rPr>
                <w:color w:val="auto"/>
                <w:highlight w:val="none"/>
              </w:rPr>
            </w:pPr>
            <w:r>
              <w:rPr>
                <w:color w:val="auto"/>
                <w:position w:val="-3"/>
                <w:highlight w:val="none"/>
              </w:rPr>
              <w:t>—</w:t>
            </w:r>
          </w:p>
        </w:tc>
        <w:tc>
          <w:tcPr>
            <w:tcW w:w="1483" w:type="dxa"/>
            <w:vAlign w:val="top"/>
          </w:tcPr>
          <w:p w14:paraId="440D3DB9">
            <w:pPr>
              <w:rPr>
                <w:rFonts w:ascii="Arial"/>
                <w:color w:val="auto"/>
                <w:sz w:val="21"/>
                <w:highlight w:val="none"/>
              </w:rPr>
            </w:pPr>
          </w:p>
        </w:tc>
      </w:tr>
    </w:tbl>
    <w:p w14:paraId="28D86595">
      <w:pPr>
        <w:pStyle w:val="5"/>
        <w:spacing w:line="437" w:lineRule="auto"/>
        <w:rPr>
          <w:color w:val="auto"/>
          <w:highlight w:val="none"/>
        </w:rPr>
      </w:pPr>
    </w:p>
    <w:p w14:paraId="68B877D7">
      <w:pPr>
        <w:spacing w:before="69" w:line="234" w:lineRule="auto"/>
        <w:ind w:left="857" w:right="597" w:hanging="8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注： </w:t>
      </w:r>
      <w:r>
        <w:rPr>
          <w:rFonts w:ascii="Times New Roman" w:hAnsi="Times New Roman" w:eastAsia="Times New Roman" w:cs="Times New Roman"/>
          <w:color w:val="auto"/>
          <w:spacing w:val="-9"/>
          <w:sz w:val="21"/>
          <w:szCs w:val="21"/>
          <w:highlight w:val="none"/>
        </w:rPr>
        <w:t>1</w:t>
      </w:r>
      <w:r>
        <w:rPr>
          <w:rFonts w:ascii="宋体" w:hAnsi="宋体" w:eastAsia="宋体" w:cs="宋体"/>
          <w:color w:val="auto"/>
          <w:spacing w:val="-9"/>
          <w:sz w:val="21"/>
          <w:szCs w:val="21"/>
          <w:highlight w:val="none"/>
        </w:rPr>
        <w:t>．“名称、规格、型号”、“ 基本</w:t>
      </w:r>
      <w:r>
        <w:rPr>
          <w:rFonts w:ascii="宋体" w:hAnsi="宋体" w:eastAsia="宋体" w:cs="宋体"/>
          <w:color w:val="auto"/>
          <w:spacing w:val="-10"/>
          <w:sz w:val="21"/>
          <w:szCs w:val="21"/>
          <w:highlight w:val="none"/>
        </w:rPr>
        <w:t>价格指数”栏由招标人填写，基本价格指数应首先采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用工程造价管理机构发布的价格指数， 没</w:t>
      </w:r>
      <w:r>
        <w:rPr>
          <w:rFonts w:ascii="宋体" w:hAnsi="宋体" w:eastAsia="宋体" w:cs="宋体"/>
          <w:color w:val="auto"/>
          <w:spacing w:val="-4"/>
          <w:sz w:val="21"/>
          <w:szCs w:val="21"/>
          <w:highlight w:val="none"/>
        </w:rPr>
        <w:t>有时， 可用发布的价格代替。如人工、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机械也采用本法调整，由招标人在“名称”栏填写。</w:t>
      </w:r>
    </w:p>
    <w:p w14:paraId="35988CD7">
      <w:pPr>
        <w:spacing w:before="24" w:line="228" w:lineRule="auto"/>
        <w:ind w:left="873" w:right="600" w:hanging="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20"/>
          <w:sz w:val="21"/>
          <w:szCs w:val="21"/>
          <w:highlight w:val="none"/>
        </w:rPr>
        <w:t xml:space="preserve"> </w:t>
      </w:r>
      <w:r>
        <w:rPr>
          <w:rFonts w:ascii="宋体" w:hAnsi="宋体" w:eastAsia="宋体" w:cs="宋体"/>
          <w:color w:val="auto"/>
          <w:spacing w:val="-1"/>
          <w:sz w:val="21"/>
          <w:szCs w:val="21"/>
          <w:highlight w:val="none"/>
        </w:rPr>
        <w:t>．“变值权重”栏由投标人根据该项人工、机械费和材料、工程设备价值在投标总报</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价中所站比例填写，</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8"/>
          <w:sz w:val="21"/>
          <w:szCs w:val="21"/>
          <w:highlight w:val="none"/>
        </w:rPr>
        <w:t xml:space="preserve">1 </w:t>
      </w:r>
      <w:r>
        <w:rPr>
          <w:rFonts w:ascii="宋体" w:hAnsi="宋体" w:eastAsia="宋体" w:cs="宋体"/>
          <w:color w:val="auto"/>
          <w:spacing w:val="-8"/>
          <w:sz w:val="21"/>
          <w:szCs w:val="21"/>
          <w:highlight w:val="none"/>
        </w:rPr>
        <w:t>减去其比例为定值权重。</w:t>
      </w:r>
    </w:p>
    <w:p w14:paraId="49B06E9E">
      <w:pPr>
        <w:spacing w:before="25" w:line="222" w:lineRule="auto"/>
        <w:ind w:left="874" w:right="591" w:hanging="418"/>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．“现行价格指数”按约定的付款证书相关周期最后一天的前</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42 </w:t>
      </w:r>
      <w:r>
        <w:rPr>
          <w:rFonts w:ascii="宋体" w:hAnsi="宋体" w:eastAsia="宋体" w:cs="宋体"/>
          <w:color w:val="auto"/>
          <w:spacing w:val="-3"/>
          <w:sz w:val="21"/>
          <w:szCs w:val="21"/>
          <w:highlight w:val="none"/>
        </w:rPr>
        <w:t>天的各项价格指数填</w:t>
      </w:r>
      <w:r>
        <w:rPr>
          <w:rFonts w:ascii="宋体" w:hAnsi="宋体" w:eastAsia="宋体" w:cs="宋体"/>
          <w:color w:val="auto"/>
          <w:sz w:val="21"/>
          <w:szCs w:val="21"/>
          <w:highlight w:val="none"/>
        </w:rPr>
        <w:t xml:space="preserve"> 写，该指数应首先采用工程造价管理机构发布的价格指数， </w:t>
      </w:r>
      <w:r>
        <w:rPr>
          <w:rFonts w:ascii="宋体" w:hAnsi="宋体" w:eastAsia="宋体" w:cs="宋体"/>
          <w:color w:val="auto"/>
          <w:spacing w:val="-1"/>
          <w:sz w:val="21"/>
          <w:szCs w:val="21"/>
          <w:highlight w:val="none"/>
        </w:rPr>
        <w:t>没有时，可用发布的</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价格代替。</w:t>
      </w:r>
    </w:p>
    <w:p w14:paraId="6C16C399">
      <w:pPr>
        <w:spacing w:line="222" w:lineRule="auto"/>
        <w:rPr>
          <w:rFonts w:ascii="宋体" w:hAnsi="宋体" w:eastAsia="宋体" w:cs="宋体"/>
          <w:color w:val="auto"/>
          <w:sz w:val="21"/>
          <w:szCs w:val="21"/>
          <w:highlight w:val="none"/>
        </w:rPr>
        <w:sectPr>
          <w:type w:val="continuous"/>
          <w:pgSz w:w="11905" w:h="16839"/>
          <w:pgMar w:top="400" w:right="1195" w:bottom="1004" w:left="1785" w:header="0" w:footer="828" w:gutter="0"/>
          <w:pgNumType w:fmt="decimal"/>
          <w:cols w:equalWidth="0" w:num="1">
            <w:col w:w="8923"/>
          </w:cols>
        </w:sectPr>
      </w:pPr>
    </w:p>
    <w:p w14:paraId="0EECB9E6">
      <w:pPr>
        <w:pStyle w:val="5"/>
        <w:spacing w:line="249" w:lineRule="auto"/>
        <w:rPr>
          <w:color w:val="auto"/>
          <w:highlight w:val="none"/>
        </w:rPr>
      </w:pPr>
    </w:p>
    <w:p w14:paraId="0BDACFFE">
      <w:pPr>
        <w:pStyle w:val="5"/>
        <w:spacing w:line="249" w:lineRule="auto"/>
        <w:rPr>
          <w:color w:val="auto"/>
          <w:highlight w:val="none"/>
        </w:rPr>
      </w:pPr>
    </w:p>
    <w:p w14:paraId="3626C6C0">
      <w:pPr>
        <w:pStyle w:val="5"/>
        <w:spacing w:line="250" w:lineRule="auto"/>
        <w:rPr>
          <w:color w:val="auto"/>
          <w:highlight w:val="none"/>
        </w:rPr>
      </w:pPr>
    </w:p>
    <w:p w14:paraId="5424A713">
      <w:pPr>
        <w:pStyle w:val="5"/>
        <w:spacing w:line="250" w:lineRule="auto"/>
        <w:rPr>
          <w:color w:val="auto"/>
          <w:highlight w:val="none"/>
        </w:rPr>
      </w:pPr>
    </w:p>
    <w:p w14:paraId="7C4B49F2">
      <w:pPr>
        <w:pStyle w:val="5"/>
        <w:spacing w:line="250" w:lineRule="auto"/>
        <w:rPr>
          <w:color w:val="auto"/>
          <w:highlight w:val="none"/>
        </w:rPr>
      </w:pPr>
    </w:p>
    <w:p w14:paraId="4450F4FE">
      <w:pPr>
        <w:pStyle w:val="5"/>
        <w:spacing w:line="250" w:lineRule="auto"/>
        <w:rPr>
          <w:color w:val="auto"/>
          <w:highlight w:val="none"/>
        </w:rPr>
      </w:pPr>
    </w:p>
    <w:p w14:paraId="364ED821">
      <w:pPr>
        <w:pStyle w:val="5"/>
        <w:spacing w:line="250" w:lineRule="auto"/>
        <w:rPr>
          <w:color w:val="auto"/>
          <w:highlight w:val="none"/>
        </w:rPr>
      </w:pPr>
    </w:p>
    <w:p w14:paraId="24F2C51A">
      <w:pPr>
        <w:pStyle w:val="5"/>
        <w:spacing w:line="250" w:lineRule="auto"/>
        <w:rPr>
          <w:color w:val="auto"/>
          <w:highlight w:val="none"/>
        </w:rPr>
      </w:pPr>
    </w:p>
    <w:p w14:paraId="7501C7ED">
      <w:pPr>
        <w:pStyle w:val="5"/>
        <w:spacing w:line="250" w:lineRule="auto"/>
        <w:rPr>
          <w:color w:val="auto"/>
          <w:highlight w:val="none"/>
        </w:rPr>
      </w:pPr>
    </w:p>
    <w:p w14:paraId="73794DB9">
      <w:pPr>
        <w:pStyle w:val="5"/>
        <w:spacing w:line="250" w:lineRule="auto"/>
        <w:rPr>
          <w:color w:val="auto"/>
          <w:highlight w:val="none"/>
        </w:rPr>
      </w:pPr>
    </w:p>
    <w:p w14:paraId="739D8867">
      <w:pPr>
        <w:pStyle w:val="5"/>
        <w:spacing w:line="250" w:lineRule="auto"/>
        <w:rPr>
          <w:color w:val="auto"/>
          <w:highlight w:val="none"/>
        </w:rPr>
      </w:pPr>
    </w:p>
    <w:p w14:paraId="24F98706">
      <w:pPr>
        <w:pStyle w:val="5"/>
        <w:spacing w:line="250" w:lineRule="auto"/>
        <w:rPr>
          <w:color w:val="auto"/>
          <w:highlight w:val="none"/>
        </w:rPr>
      </w:pPr>
    </w:p>
    <w:p w14:paraId="0864EC77">
      <w:pPr>
        <w:pStyle w:val="5"/>
        <w:spacing w:line="250" w:lineRule="auto"/>
        <w:rPr>
          <w:color w:val="auto"/>
          <w:highlight w:val="none"/>
        </w:rPr>
      </w:pPr>
    </w:p>
    <w:p w14:paraId="59EB3222">
      <w:pPr>
        <w:pStyle w:val="5"/>
        <w:spacing w:line="250" w:lineRule="auto"/>
        <w:rPr>
          <w:color w:val="auto"/>
          <w:highlight w:val="none"/>
        </w:rPr>
      </w:pPr>
    </w:p>
    <w:p w14:paraId="184487EA">
      <w:pPr>
        <w:pStyle w:val="5"/>
        <w:spacing w:line="250" w:lineRule="auto"/>
        <w:rPr>
          <w:color w:val="auto"/>
          <w:highlight w:val="none"/>
        </w:rPr>
      </w:pPr>
    </w:p>
    <w:p w14:paraId="51DEB19A">
      <w:pPr>
        <w:pStyle w:val="5"/>
        <w:spacing w:line="250" w:lineRule="auto"/>
        <w:rPr>
          <w:color w:val="auto"/>
          <w:highlight w:val="none"/>
        </w:rPr>
      </w:pPr>
    </w:p>
    <w:p w14:paraId="5B2B36E5">
      <w:pPr>
        <w:pStyle w:val="5"/>
        <w:spacing w:line="250" w:lineRule="auto"/>
        <w:rPr>
          <w:color w:val="auto"/>
          <w:highlight w:val="none"/>
        </w:rPr>
      </w:pPr>
    </w:p>
    <w:p w14:paraId="74F01117">
      <w:pPr>
        <w:pStyle w:val="5"/>
        <w:spacing w:line="250" w:lineRule="auto"/>
        <w:rPr>
          <w:color w:val="auto"/>
          <w:highlight w:val="none"/>
        </w:rPr>
      </w:pPr>
    </w:p>
    <w:p w14:paraId="176E7E80">
      <w:pPr>
        <w:pStyle w:val="5"/>
        <w:spacing w:line="250" w:lineRule="auto"/>
        <w:rPr>
          <w:color w:val="auto"/>
          <w:highlight w:val="none"/>
        </w:rPr>
      </w:pPr>
    </w:p>
    <w:p w14:paraId="311DB600">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第二卷</w:t>
      </w:r>
    </w:p>
    <w:p w14:paraId="3AECB092">
      <w:pPr>
        <w:spacing w:line="219" w:lineRule="auto"/>
        <w:rPr>
          <w:rFonts w:ascii="黑体" w:hAnsi="黑体" w:eastAsia="黑体" w:cs="黑体"/>
          <w:color w:val="auto"/>
          <w:sz w:val="48"/>
          <w:szCs w:val="48"/>
          <w:highlight w:val="none"/>
        </w:rPr>
        <w:sectPr>
          <w:footerReference r:id="rId143" w:type="default"/>
          <w:pgSz w:w="11905" w:h="16839"/>
          <w:pgMar w:top="400" w:right="1785" w:bottom="1004" w:left="1785" w:header="0" w:footer="828" w:gutter="0"/>
          <w:pgNumType w:fmt="decimal"/>
          <w:cols w:space="720" w:num="1"/>
        </w:sectPr>
      </w:pPr>
    </w:p>
    <w:p w14:paraId="0219C5BE">
      <w:pPr>
        <w:pStyle w:val="5"/>
        <w:spacing w:line="242" w:lineRule="auto"/>
        <w:rPr>
          <w:color w:val="auto"/>
          <w:highlight w:val="none"/>
        </w:rPr>
      </w:pPr>
    </w:p>
    <w:p w14:paraId="20D1C215">
      <w:pPr>
        <w:pStyle w:val="5"/>
        <w:spacing w:line="242" w:lineRule="auto"/>
        <w:rPr>
          <w:color w:val="auto"/>
          <w:highlight w:val="none"/>
        </w:rPr>
      </w:pPr>
    </w:p>
    <w:p w14:paraId="0D41D4FC">
      <w:pPr>
        <w:pStyle w:val="5"/>
        <w:spacing w:line="242" w:lineRule="auto"/>
        <w:rPr>
          <w:color w:val="auto"/>
          <w:highlight w:val="none"/>
        </w:rPr>
      </w:pPr>
    </w:p>
    <w:p w14:paraId="12F1864C">
      <w:pPr>
        <w:pStyle w:val="5"/>
        <w:spacing w:line="242" w:lineRule="auto"/>
        <w:rPr>
          <w:color w:val="auto"/>
          <w:highlight w:val="none"/>
        </w:rPr>
      </w:pPr>
    </w:p>
    <w:p w14:paraId="5138195C">
      <w:pPr>
        <w:pStyle w:val="5"/>
        <w:spacing w:line="242" w:lineRule="auto"/>
        <w:rPr>
          <w:color w:val="auto"/>
          <w:highlight w:val="none"/>
        </w:rPr>
      </w:pPr>
    </w:p>
    <w:p w14:paraId="394A3E4C">
      <w:pPr>
        <w:pStyle w:val="5"/>
        <w:spacing w:line="242" w:lineRule="auto"/>
        <w:rPr>
          <w:color w:val="auto"/>
          <w:highlight w:val="none"/>
        </w:rPr>
      </w:pPr>
    </w:p>
    <w:p w14:paraId="27C81890">
      <w:pPr>
        <w:pStyle w:val="5"/>
        <w:spacing w:line="243" w:lineRule="auto"/>
        <w:rPr>
          <w:color w:val="auto"/>
          <w:highlight w:val="none"/>
        </w:rPr>
      </w:pPr>
    </w:p>
    <w:p w14:paraId="5E966794">
      <w:pPr>
        <w:pStyle w:val="5"/>
        <w:spacing w:line="243" w:lineRule="auto"/>
        <w:rPr>
          <w:color w:val="auto"/>
          <w:highlight w:val="none"/>
        </w:rPr>
      </w:pPr>
    </w:p>
    <w:p w14:paraId="1A385519">
      <w:pPr>
        <w:pStyle w:val="5"/>
        <w:spacing w:line="243" w:lineRule="auto"/>
        <w:rPr>
          <w:color w:val="auto"/>
          <w:highlight w:val="none"/>
        </w:rPr>
      </w:pPr>
    </w:p>
    <w:p w14:paraId="0287763B">
      <w:pPr>
        <w:pStyle w:val="5"/>
        <w:spacing w:line="243" w:lineRule="auto"/>
        <w:rPr>
          <w:color w:val="auto"/>
          <w:highlight w:val="none"/>
        </w:rPr>
      </w:pPr>
    </w:p>
    <w:p w14:paraId="0513F9B6">
      <w:pPr>
        <w:pStyle w:val="5"/>
        <w:spacing w:line="243" w:lineRule="auto"/>
        <w:rPr>
          <w:color w:val="auto"/>
          <w:highlight w:val="none"/>
        </w:rPr>
      </w:pPr>
    </w:p>
    <w:p w14:paraId="536DF172">
      <w:pPr>
        <w:pStyle w:val="5"/>
        <w:spacing w:line="243" w:lineRule="auto"/>
        <w:rPr>
          <w:color w:val="auto"/>
          <w:highlight w:val="none"/>
        </w:rPr>
      </w:pPr>
    </w:p>
    <w:p w14:paraId="355C7628">
      <w:pPr>
        <w:pStyle w:val="5"/>
        <w:spacing w:line="243" w:lineRule="auto"/>
        <w:rPr>
          <w:color w:val="auto"/>
          <w:highlight w:val="none"/>
        </w:rPr>
      </w:pPr>
    </w:p>
    <w:p w14:paraId="4FEF8F6D">
      <w:pPr>
        <w:pStyle w:val="5"/>
        <w:spacing w:line="243" w:lineRule="auto"/>
        <w:rPr>
          <w:color w:val="auto"/>
          <w:highlight w:val="none"/>
        </w:rPr>
      </w:pPr>
    </w:p>
    <w:p w14:paraId="0B108B89">
      <w:pPr>
        <w:pStyle w:val="5"/>
        <w:spacing w:line="243" w:lineRule="auto"/>
        <w:rPr>
          <w:color w:val="auto"/>
          <w:highlight w:val="none"/>
        </w:rPr>
      </w:pPr>
    </w:p>
    <w:p w14:paraId="52CD22E9">
      <w:pPr>
        <w:pStyle w:val="5"/>
        <w:spacing w:line="243" w:lineRule="auto"/>
        <w:rPr>
          <w:color w:val="auto"/>
          <w:highlight w:val="none"/>
        </w:rPr>
      </w:pPr>
    </w:p>
    <w:p w14:paraId="6B45AE6C">
      <w:pPr>
        <w:pStyle w:val="5"/>
        <w:spacing w:line="243" w:lineRule="auto"/>
        <w:rPr>
          <w:color w:val="auto"/>
          <w:highlight w:val="none"/>
        </w:rPr>
      </w:pPr>
    </w:p>
    <w:p w14:paraId="4BE73788">
      <w:pPr>
        <w:pStyle w:val="5"/>
        <w:spacing w:line="243" w:lineRule="auto"/>
        <w:rPr>
          <w:color w:val="auto"/>
          <w:highlight w:val="none"/>
        </w:rPr>
      </w:pPr>
    </w:p>
    <w:p w14:paraId="471CC5A8">
      <w:pPr>
        <w:pStyle w:val="5"/>
        <w:spacing w:line="243" w:lineRule="auto"/>
        <w:rPr>
          <w:color w:val="auto"/>
          <w:highlight w:val="none"/>
        </w:rPr>
      </w:pPr>
    </w:p>
    <w:p w14:paraId="63D54775">
      <w:pPr>
        <w:pStyle w:val="5"/>
        <w:spacing w:line="243" w:lineRule="auto"/>
        <w:rPr>
          <w:color w:val="auto"/>
          <w:highlight w:val="none"/>
        </w:rPr>
      </w:pPr>
    </w:p>
    <w:p w14:paraId="3132976A">
      <w:pPr>
        <w:spacing w:before="104" w:line="220" w:lineRule="auto"/>
        <w:ind w:left="3057"/>
        <w:outlineLvl w:val="0"/>
        <w:rPr>
          <w:rFonts w:ascii="黑体" w:hAnsi="黑体" w:eastAsia="黑体" w:cs="黑体"/>
          <w:color w:val="auto"/>
          <w:sz w:val="32"/>
          <w:szCs w:val="32"/>
          <w:highlight w:val="none"/>
        </w:rPr>
      </w:pPr>
      <w:bookmarkStart w:id="1731" w:name="_Toc4376"/>
      <w:bookmarkStart w:id="1732" w:name="_Toc23683"/>
      <w:bookmarkStart w:id="1733" w:name="_Toc746"/>
      <w:bookmarkStart w:id="1734" w:name="_Toc664"/>
      <w:r>
        <w:rPr>
          <w:rFonts w:ascii="黑体" w:hAnsi="黑体" w:eastAsia="黑体" w:cs="黑体"/>
          <w:color w:val="auto"/>
          <w:spacing w:val="-8"/>
          <w:sz w:val="32"/>
          <w:szCs w:val="32"/>
          <w:highlight w:val="none"/>
        </w:rPr>
        <w:t>第六章</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图</w:t>
      </w:r>
      <w:r>
        <w:rPr>
          <w:rFonts w:ascii="黑体" w:hAnsi="黑体" w:eastAsia="黑体" w:cs="黑体"/>
          <w:color w:val="auto"/>
          <w:spacing w:val="9"/>
          <w:sz w:val="32"/>
          <w:szCs w:val="32"/>
          <w:highlight w:val="none"/>
        </w:rPr>
        <w:t xml:space="preserve">  </w:t>
      </w:r>
      <w:r>
        <w:rPr>
          <w:rFonts w:ascii="黑体" w:hAnsi="黑体" w:eastAsia="黑体" w:cs="黑体"/>
          <w:color w:val="auto"/>
          <w:spacing w:val="-8"/>
          <w:sz w:val="32"/>
          <w:szCs w:val="32"/>
          <w:highlight w:val="none"/>
        </w:rPr>
        <w:t>纸</w:t>
      </w:r>
      <w:bookmarkEnd w:id="1731"/>
      <w:bookmarkEnd w:id="1732"/>
      <w:bookmarkEnd w:id="1733"/>
      <w:bookmarkEnd w:id="1734"/>
    </w:p>
    <w:p w14:paraId="4AE7809F">
      <w:pPr>
        <w:spacing w:line="220" w:lineRule="auto"/>
        <w:rPr>
          <w:rFonts w:ascii="黑体" w:hAnsi="黑体" w:eastAsia="黑体" w:cs="黑体"/>
          <w:color w:val="auto"/>
          <w:sz w:val="32"/>
          <w:szCs w:val="32"/>
          <w:highlight w:val="none"/>
        </w:rPr>
        <w:sectPr>
          <w:footerReference r:id="rId144" w:type="default"/>
          <w:pgSz w:w="11905" w:h="16839"/>
          <w:pgMar w:top="400" w:right="1785" w:bottom="1004" w:left="1785" w:header="0" w:footer="828" w:gutter="0"/>
          <w:pgNumType w:fmt="decimal"/>
          <w:cols w:space="720" w:num="1"/>
        </w:sectPr>
      </w:pPr>
    </w:p>
    <w:p w14:paraId="4C34BA85">
      <w:pPr>
        <w:pStyle w:val="5"/>
        <w:spacing w:line="266" w:lineRule="auto"/>
        <w:rPr>
          <w:color w:val="auto"/>
          <w:highlight w:val="none"/>
        </w:rPr>
      </w:pPr>
    </w:p>
    <w:p w14:paraId="332414A5">
      <w:pPr>
        <w:pStyle w:val="5"/>
        <w:spacing w:line="266" w:lineRule="auto"/>
        <w:rPr>
          <w:color w:val="auto"/>
          <w:highlight w:val="none"/>
        </w:rPr>
      </w:pPr>
    </w:p>
    <w:p w14:paraId="6D3F040B">
      <w:pPr>
        <w:pStyle w:val="5"/>
        <w:spacing w:line="267" w:lineRule="auto"/>
        <w:rPr>
          <w:color w:val="auto"/>
          <w:highlight w:val="none"/>
        </w:rPr>
      </w:pPr>
    </w:p>
    <w:p w14:paraId="7AFA5608">
      <w:pPr>
        <w:pStyle w:val="5"/>
        <w:spacing w:line="267" w:lineRule="auto"/>
        <w:rPr>
          <w:color w:val="auto"/>
          <w:highlight w:val="none"/>
        </w:rPr>
      </w:pPr>
    </w:p>
    <w:p w14:paraId="6B583A2D">
      <w:pPr>
        <w:spacing w:before="78"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10"/>
          <w:sz w:val="24"/>
          <w:szCs w:val="24"/>
          <w:highlight w:val="none"/>
        </w:rPr>
        <w:t>1</w:t>
      </w:r>
      <w:r>
        <w:rPr>
          <w:rFonts w:ascii="Times New Roman" w:hAnsi="Times New Roman" w:eastAsia="Times New Roman" w:cs="Times New Roman"/>
          <w:color w:val="auto"/>
          <w:spacing w:val="-23"/>
          <w:sz w:val="24"/>
          <w:szCs w:val="24"/>
          <w:highlight w:val="none"/>
        </w:rPr>
        <w:t xml:space="preserve"> </w:t>
      </w:r>
      <w:r>
        <w:rPr>
          <w:rFonts w:ascii="黑体" w:hAnsi="黑体" w:eastAsia="黑体" w:cs="黑体"/>
          <w:color w:val="auto"/>
          <w:spacing w:val="-10"/>
          <w:sz w:val="24"/>
          <w:szCs w:val="24"/>
          <w:highlight w:val="none"/>
        </w:rPr>
        <w:t>．图纸目录</w:t>
      </w:r>
    </w:p>
    <w:p w14:paraId="59A0046A">
      <w:pPr>
        <w:spacing w:line="34" w:lineRule="auto"/>
        <w:rPr>
          <w:rFonts w:ascii="Arial"/>
          <w:color w:val="auto"/>
          <w:sz w:val="2"/>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3F85D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7A2F219C">
            <w:pPr>
              <w:pStyle w:val="18"/>
              <w:spacing w:before="125" w:line="222" w:lineRule="auto"/>
              <w:ind w:left="492"/>
              <w:rPr>
                <w:color w:val="auto"/>
                <w:highlight w:val="none"/>
              </w:rPr>
            </w:pPr>
            <w:r>
              <w:rPr>
                <w:color w:val="auto"/>
                <w:spacing w:val="-2"/>
                <w:highlight w:val="none"/>
              </w:rPr>
              <w:t>序号</w:t>
            </w:r>
          </w:p>
        </w:tc>
        <w:tc>
          <w:tcPr>
            <w:tcW w:w="1387" w:type="dxa"/>
            <w:vAlign w:val="top"/>
          </w:tcPr>
          <w:p w14:paraId="6FE59EB2">
            <w:pPr>
              <w:pStyle w:val="18"/>
              <w:spacing w:before="125" w:line="222" w:lineRule="auto"/>
              <w:ind w:left="509"/>
              <w:rPr>
                <w:color w:val="auto"/>
                <w:highlight w:val="none"/>
              </w:rPr>
            </w:pPr>
            <w:r>
              <w:rPr>
                <w:color w:val="auto"/>
                <w:spacing w:val="-7"/>
                <w:highlight w:val="none"/>
              </w:rPr>
              <w:t>图名</w:t>
            </w:r>
          </w:p>
        </w:tc>
        <w:tc>
          <w:tcPr>
            <w:tcW w:w="1382" w:type="dxa"/>
            <w:vAlign w:val="top"/>
          </w:tcPr>
          <w:p w14:paraId="64429482">
            <w:pPr>
              <w:pStyle w:val="18"/>
              <w:spacing w:before="125" w:line="222" w:lineRule="auto"/>
              <w:ind w:left="510"/>
              <w:rPr>
                <w:color w:val="auto"/>
                <w:highlight w:val="none"/>
              </w:rPr>
            </w:pPr>
            <w:r>
              <w:rPr>
                <w:color w:val="auto"/>
                <w:spacing w:val="-7"/>
                <w:highlight w:val="none"/>
              </w:rPr>
              <w:t>图号</w:t>
            </w:r>
          </w:p>
        </w:tc>
        <w:tc>
          <w:tcPr>
            <w:tcW w:w="1382" w:type="dxa"/>
            <w:vAlign w:val="top"/>
          </w:tcPr>
          <w:p w14:paraId="1D5C4A2C">
            <w:pPr>
              <w:pStyle w:val="18"/>
              <w:spacing w:before="125" w:line="220" w:lineRule="auto"/>
              <w:ind w:left="491"/>
              <w:rPr>
                <w:color w:val="auto"/>
                <w:highlight w:val="none"/>
              </w:rPr>
            </w:pPr>
            <w:r>
              <w:rPr>
                <w:color w:val="auto"/>
                <w:spacing w:val="-2"/>
                <w:highlight w:val="none"/>
              </w:rPr>
              <w:t>版本</w:t>
            </w:r>
          </w:p>
        </w:tc>
        <w:tc>
          <w:tcPr>
            <w:tcW w:w="1382" w:type="dxa"/>
            <w:vAlign w:val="top"/>
          </w:tcPr>
          <w:p w14:paraId="31BA952A">
            <w:pPr>
              <w:pStyle w:val="18"/>
              <w:spacing w:before="125" w:line="221" w:lineRule="auto"/>
              <w:ind w:left="298"/>
              <w:rPr>
                <w:color w:val="auto"/>
                <w:highlight w:val="none"/>
              </w:rPr>
            </w:pPr>
            <w:r>
              <w:rPr>
                <w:color w:val="auto"/>
                <w:spacing w:val="-5"/>
                <w:highlight w:val="none"/>
              </w:rPr>
              <w:t>出图日期</w:t>
            </w:r>
          </w:p>
        </w:tc>
        <w:tc>
          <w:tcPr>
            <w:tcW w:w="1391" w:type="dxa"/>
            <w:vAlign w:val="top"/>
          </w:tcPr>
          <w:p w14:paraId="259108F7">
            <w:pPr>
              <w:pStyle w:val="18"/>
              <w:spacing w:before="125" w:line="222" w:lineRule="auto"/>
              <w:ind w:left="495"/>
              <w:rPr>
                <w:color w:val="auto"/>
                <w:highlight w:val="none"/>
              </w:rPr>
            </w:pPr>
            <w:r>
              <w:rPr>
                <w:color w:val="auto"/>
                <w:spacing w:val="-3"/>
                <w:highlight w:val="none"/>
              </w:rPr>
              <w:t>备注</w:t>
            </w:r>
          </w:p>
        </w:tc>
      </w:tr>
      <w:tr w14:paraId="5AF74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5BD258E">
            <w:pPr>
              <w:rPr>
                <w:rFonts w:ascii="Arial"/>
                <w:color w:val="auto"/>
                <w:sz w:val="21"/>
                <w:highlight w:val="none"/>
              </w:rPr>
            </w:pPr>
          </w:p>
        </w:tc>
        <w:tc>
          <w:tcPr>
            <w:tcW w:w="1387" w:type="dxa"/>
            <w:vAlign w:val="top"/>
          </w:tcPr>
          <w:p w14:paraId="274B9C43">
            <w:pPr>
              <w:rPr>
                <w:rFonts w:ascii="Arial"/>
                <w:color w:val="auto"/>
                <w:sz w:val="21"/>
                <w:highlight w:val="none"/>
              </w:rPr>
            </w:pPr>
          </w:p>
        </w:tc>
        <w:tc>
          <w:tcPr>
            <w:tcW w:w="1382" w:type="dxa"/>
            <w:vAlign w:val="top"/>
          </w:tcPr>
          <w:p w14:paraId="598D0222">
            <w:pPr>
              <w:rPr>
                <w:rFonts w:ascii="Arial"/>
                <w:color w:val="auto"/>
                <w:sz w:val="21"/>
                <w:highlight w:val="none"/>
              </w:rPr>
            </w:pPr>
          </w:p>
        </w:tc>
        <w:tc>
          <w:tcPr>
            <w:tcW w:w="1382" w:type="dxa"/>
            <w:vAlign w:val="top"/>
          </w:tcPr>
          <w:p w14:paraId="40E1EEAF">
            <w:pPr>
              <w:rPr>
                <w:rFonts w:ascii="Arial"/>
                <w:color w:val="auto"/>
                <w:sz w:val="21"/>
                <w:highlight w:val="none"/>
              </w:rPr>
            </w:pPr>
          </w:p>
        </w:tc>
        <w:tc>
          <w:tcPr>
            <w:tcW w:w="1382" w:type="dxa"/>
            <w:vAlign w:val="top"/>
          </w:tcPr>
          <w:p w14:paraId="26CB701A">
            <w:pPr>
              <w:rPr>
                <w:rFonts w:ascii="Arial"/>
                <w:color w:val="auto"/>
                <w:sz w:val="21"/>
                <w:highlight w:val="none"/>
              </w:rPr>
            </w:pPr>
          </w:p>
        </w:tc>
        <w:tc>
          <w:tcPr>
            <w:tcW w:w="1391" w:type="dxa"/>
            <w:vAlign w:val="top"/>
          </w:tcPr>
          <w:p w14:paraId="239E10D2">
            <w:pPr>
              <w:rPr>
                <w:rFonts w:ascii="Arial"/>
                <w:color w:val="auto"/>
                <w:sz w:val="21"/>
                <w:highlight w:val="none"/>
              </w:rPr>
            </w:pPr>
          </w:p>
        </w:tc>
      </w:tr>
      <w:tr w14:paraId="0593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2900BBF">
            <w:pPr>
              <w:rPr>
                <w:rFonts w:ascii="Arial"/>
                <w:color w:val="auto"/>
                <w:sz w:val="21"/>
                <w:highlight w:val="none"/>
              </w:rPr>
            </w:pPr>
          </w:p>
        </w:tc>
        <w:tc>
          <w:tcPr>
            <w:tcW w:w="1387" w:type="dxa"/>
            <w:vAlign w:val="top"/>
          </w:tcPr>
          <w:p w14:paraId="0313FC5E">
            <w:pPr>
              <w:rPr>
                <w:rFonts w:ascii="Arial"/>
                <w:color w:val="auto"/>
                <w:sz w:val="21"/>
                <w:highlight w:val="none"/>
              </w:rPr>
            </w:pPr>
          </w:p>
        </w:tc>
        <w:tc>
          <w:tcPr>
            <w:tcW w:w="1382" w:type="dxa"/>
            <w:vAlign w:val="top"/>
          </w:tcPr>
          <w:p w14:paraId="4C30F0EA">
            <w:pPr>
              <w:rPr>
                <w:rFonts w:ascii="Arial"/>
                <w:color w:val="auto"/>
                <w:sz w:val="21"/>
                <w:highlight w:val="none"/>
              </w:rPr>
            </w:pPr>
          </w:p>
        </w:tc>
        <w:tc>
          <w:tcPr>
            <w:tcW w:w="1382" w:type="dxa"/>
            <w:vAlign w:val="top"/>
          </w:tcPr>
          <w:p w14:paraId="64034A80">
            <w:pPr>
              <w:rPr>
                <w:rFonts w:ascii="Arial"/>
                <w:color w:val="auto"/>
                <w:sz w:val="21"/>
                <w:highlight w:val="none"/>
              </w:rPr>
            </w:pPr>
          </w:p>
        </w:tc>
        <w:tc>
          <w:tcPr>
            <w:tcW w:w="1382" w:type="dxa"/>
            <w:vAlign w:val="top"/>
          </w:tcPr>
          <w:p w14:paraId="72CC8E74">
            <w:pPr>
              <w:rPr>
                <w:rFonts w:ascii="Arial"/>
                <w:color w:val="auto"/>
                <w:sz w:val="21"/>
                <w:highlight w:val="none"/>
              </w:rPr>
            </w:pPr>
          </w:p>
        </w:tc>
        <w:tc>
          <w:tcPr>
            <w:tcW w:w="1391" w:type="dxa"/>
            <w:vAlign w:val="top"/>
          </w:tcPr>
          <w:p w14:paraId="747FA8A0">
            <w:pPr>
              <w:rPr>
                <w:rFonts w:ascii="Arial"/>
                <w:color w:val="auto"/>
                <w:sz w:val="21"/>
                <w:highlight w:val="none"/>
              </w:rPr>
            </w:pPr>
          </w:p>
        </w:tc>
      </w:tr>
      <w:tr w14:paraId="59E14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28B94FA">
            <w:pPr>
              <w:rPr>
                <w:rFonts w:ascii="Arial"/>
                <w:color w:val="auto"/>
                <w:sz w:val="21"/>
                <w:highlight w:val="none"/>
              </w:rPr>
            </w:pPr>
          </w:p>
        </w:tc>
        <w:tc>
          <w:tcPr>
            <w:tcW w:w="1387" w:type="dxa"/>
            <w:vAlign w:val="top"/>
          </w:tcPr>
          <w:p w14:paraId="02EEAC85">
            <w:pPr>
              <w:rPr>
                <w:rFonts w:ascii="Arial"/>
                <w:color w:val="auto"/>
                <w:sz w:val="21"/>
                <w:highlight w:val="none"/>
              </w:rPr>
            </w:pPr>
          </w:p>
        </w:tc>
        <w:tc>
          <w:tcPr>
            <w:tcW w:w="1382" w:type="dxa"/>
            <w:vAlign w:val="top"/>
          </w:tcPr>
          <w:p w14:paraId="0FDB7F36">
            <w:pPr>
              <w:rPr>
                <w:rFonts w:ascii="Arial"/>
                <w:color w:val="auto"/>
                <w:sz w:val="21"/>
                <w:highlight w:val="none"/>
              </w:rPr>
            </w:pPr>
          </w:p>
        </w:tc>
        <w:tc>
          <w:tcPr>
            <w:tcW w:w="1382" w:type="dxa"/>
            <w:vAlign w:val="top"/>
          </w:tcPr>
          <w:p w14:paraId="35DF7477">
            <w:pPr>
              <w:rPr>
                <w:rFonts w:ascii="Arial"/>
                <w:color w:val="auto"/>
                <w:sz w:val="21"/>
                <w:highlight w:val="none"/>
              </w:rPr>
            </w:pPr>
          </w:p>
        </w:tc>
        <w:tc>
          <w:tcPr>
            <w:tcW w:w="1382" w:type="dxa"/>
            <w:vAlign w:val="top"/>
          </w:tcPr>
          <w:p w14:paraId="5478D79C">
            <w:pPr>
              <w:rPr>
                <w:rFonts w:ascii="Arial"/>
                <w:color w:val="auto"/>
                <w:sz w:val="21"/>
                <w:highlight w:val="none"/>
              </w:rPr>
            </w:pPr>
          </w:p>
        </w:tc>
        <w:tc>
          <w:tcPr>
            <w:tcW w:w="1391" w:type="dxa"/>
            <w:vAlign w:val="top"/>
          </w:tcPr>
          <w:p w14:paraId="7EF07789">
            <w:pPr>
              <w:rPr>
                <w:rFonts w:ascii="Arial"/>
                <w:color w:val="auto"/>
                <w:sz w:val="21"/>
                <w:highlight w:val="none"/>
              </w:rPr>
            </w:pPr>
          </w:p>
        </w:tc>
      </w:tr>
      <w:tr w14:paraId="04857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6CD7DE8A">
            <w:pPr>
              <w:rPr>
                <w:rFonts w:ascii="Arial"/>
                <w:color w:val="auto"/>
                <w:sz w:val="21"/>
                <w:highlight w:val="none"/>
              </w:rPr>
            </w:pPr>
          </w:p>
        </w:tc>
        <w:tc>
          <w:tcPr>
            <w:tcW w:w="1387" w:type="dxa"/>
            <w:vAlign w:val="top"/>
          </w:tcPr>
          <w:p w14:paraId="13398896">
            <w:pPr>
              <w:rPr>
                <w:rFonts w:ascii="Arial"/>
                <w:color w:val="auto"/>
                <w:sz w:val="21"/>
                <w:highlight w:val="none"/>
              </w:rPr>
            </w:pPr>
          </w:p>
        </w:tc>
        <w:tc>
          <w:tcPr>
            <w:tcW w:w="1382" w:type="dxa"/>
            <w:vAlign w:val="top"/>
          </w:tcPr>
          <w:p w14:paraId="5345F848">
            <w:pPr>
              <w:rPr>
                <w:rFonts w:ascii="Arial"/>
                <w:color w:val="auto"/>
                <w:sz w:val="21"/>
                <w:highlight w:val="none"/>
              </w:rPr>
            </w:pPr>
          </w:p>
        </w:tc>
        <w:tc>
          <w:tcPr>
            <w:tcW w:w="1382" w:type="dxa"/>
            <w:vAlign w:val="top"/>
          </w:tcPr>
          <w:p w14:paraId="30745908">
            <w:pPr>
              <w:rPr>
                <w:rFonts w:ascii="Arial"/>
                <w:color w:val="auto"/>
                <w:sz w:val="21"/>
                <w:highlight w:val="none"/>
              </w:rPr>
            </w:pPr>
          </w:p>
        </w:tc>
        <w:tc>
          <w:tcPr>
            <w:tcW w:w="1382" w:type="dxa"/>
            <w:vAlign w:val="top"/>
          </w:tcPr>
          <w:p w14:paraId="42F07388">
            <w:pPr>
              <w:rPr>
                <w:rFonts w:ascii="Arial"/>
                <w:color w:val="auto"/>
                <w:sz w:val="21"/>
                <w:highlight w:val="none"/>
              </w:rPr>
            </w:pPr>
          </w:p>
        </w:tc>
        <w:tc>
          <w:tcPr>
            <w:tcW w:w="1391" w:type="dxa"/>
            <w:vAlign w:val="top"/>
          </w:tcPr>
          <w:p w14:paraId="07955649">
            <w:pPr>
              <w:rPr>
                <w:rFonts w:ascii="Arial"/>
                <w:color w:val="auto"/>
                <w:sz w:val="21"/>
                <w:highlight w:val="none"/>
              </w:rPr>
            </w:pPr>
          </w:p>
        </w:tc>
      </w:tr>
      <w:tr w14:paraId="42A76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D0B4CC0">
            <w:pPr>
              <w:rPr>
                <w:rFonts w:ascii="Arial"/>
                <w:color w:val="auto"/>
                <w:sz w:val="21"/>
                <w:highlight w:val="none"/>
              </w:rPr>
            </w:pPr>
          </w:p>
        </w:tc>
        <w:tc>
          <w:tcPr>
            <w:tcW w:w="1387" w:type="dxa"/>
            <w:vAlign w:val="top"/>
          </w:tcPr>
          <w:p w14:paraId="43A621BC">
            <w:pPr>
              <w:rPr>
                <w:rFonts w:ascii="Arial"/>
                <w:color w:val="auto"/>
                <w:sz w:val="21"/>
                <w:highlight w:val="none"/>
              </w:rPr>
            </w:pPr>
          </w:p>
        </w:tc>
        <w:tc>
          <w:tcPr>
            <w:tcW w:w="1382" w:type="dxa"/>
            <w:vAlign w:val="top"/>
          </w:tcPr>
          <w:p w14:paraId="2B81B3A6">
            <w:pPr>
              <w:rPr>
                <w:rFonts w:ascii="Arial"/>
                <w:color w:val="auto"/>
                <w:sz w:val="21"/>
                <w:highlight w:val="none"/>
              </w:rPr>
            </w:pPr>
          </w:p>
        </w:tc>
        <w:tc>
          <w:tcPr>
            <w:tcW w:w="1382" w:type="dxa"/>
            <w:vAlign w:val="top"/>
          </w:tcPr>
          <w:p w14:paraId="3ABDBC91">
            <w:pPr>
              <w:rPr>
                <w:rFonts w:ascii="Arial"/>
                <w:color w:val="auto"/>
                <w:sz w:val="21"/>
                <w:highlight w:val="none"/>
              </w:rPr>
            </w:pPr>
          </w:p>
        </w:tc>
        <w:tc>
          <w:tcPr>
            <w:tcW w:w="1382" w:type="dxa"/>
            <w:vAlign w:val="top"/>
          </w:tcPr>
          <w:p w14:paraId="47AEB343">
            <w:pPr>
              <w:rPr>
                <w:rFonts w:ascii="Arial"/>
                <w:color w:val="auto"/>
                <w:sz w:val="21"/>
                <w:highlight w:val="none"/>
              </w:rPr>
            </w:pPr>
          </w:p>
        </w:tc>
        <w:tc>
          <w:tcPr>
            <w:tcW w:w="1391" w:type="dxa"/>
            <w:vAlign w:val="top"/>
          </w:tcPr>
          <w:p w14:paraId="2ACA5421">
            <w:pPr>
              <w:rPr>
                <w:rFonts w:ascii="Arial"/>
                <w:color w:val="auto"/>
                <w:sz w:val="21"/>
                <w:highlight w:val="none"/>
              </w:rPr>
            </w:pPr>
          </w:p>
        </w:tc>
      </w:tr>
      <w:tr w14:paraId="3F87C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13AFF6DB">
            <w:pPr>
              <w:rPr>
                <w:rFonts w:ascii="Arial"/>
                <w:color w:val="auto"/>
                <w:sz w:val="21"/>
                <w:highlight w:val="none"/>
              </w:rPr>
            </w:pPr>
          </w:p>
        </w:tc>
        <w:tc>
          <w:tcPr>
            <w:tcW w:w="1387" w:type="dxa"/>
            <w:vAlign w:val="top"/>
          </w:tcPr>
          <w:p w14:paraId="21DB098A">
            <w:pPr>
              <w:rPr>
                <w:rFonts w:ascii="Arial"/>
                <w:color w:val="auto"/>
                <w:sz w:val="21"/>
                <w:highlight w:val="none"/>
              </w:rPr>
            </w:pPr>
          </w:p>
        </w:tc>
        <w:tc>
          <w:tcPr>
            <w:tcW w:w="1382" w:type="dxa"/>
            <w:vAlign w:val="top"/>
          </w:tcPr>
          <w:p w14:paraId="6B390971">
            <w:pPr>
              <w:rPr>
                <w:rFonts w:ascii="Arial"/>
                <w:color w:val="auto"/>
                <w:sz w:val="21"/>
                <w:highlight w:val="none"/>
              </w:rPr>
            </w:pPr>
          </w:p>
        </w:tc>
        <w:tc>
          <w:tcPr>
            <w:tcW w:w="1382" w:type="dxa"/>
            <w:vAlign w:val="top"/>
          </w:tcPr>
          <w:p w14:paraId="067450BD">
            <w:pPr>
              <w:rPr>
                <w:rFonts w:ascii="Arial"/>
                <w:color w:val="auto"/>
                <w:sz w:val="21"/>
                <w:highlight w:val="none"/>
              </w:rPr>
            </w:pPr>
          </w:p>
        </w:tc>
        <w:tc>
          <w:tcPr>
            <w:tcW w:w="1382" w:type="dxa"/>
            <w:vAlign w:val="top"/>
          </w:tcPr>
          <w:p w14:paraId="18A10A84">
            <w:pPr>
              <w:rPr>
                <w:rFonts w:ascii="Arial"/>
                <w:color w:val="auto"/>
                <w:sz w:val="21"/>
                <w:highlight w:val="none"/>
              </w:rPr>
            </w:pPr>
          </w:p>
        </w:tc>
        <w:tc>
          <w:tcPr>
            <w:tcW w:w="1391" w:type="dxa"/>
            <w:vAlign w:val="top"/>
          </w:tcPr>
          <w:p w14:paraId="5DB5C662">
            <w:pPr>
              <w:rPr>
                <w:rFonts w:ascii="Arial"/>
                <w:color w:val="auto"/>
                <w:sz w:val="21"/>
                <w:highlight w:val="none"/>
              </w:rPr>
            </w:pPr>
          </w:p>
        </w:tc>
      </w:tr>
      <w:tr w14:paraId="0D6E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47C99E9">
            <w:pPr>
              <w:rPr>
                <w:rFonts w:ascii="Arial"/>
                <w:color w:val="auto"/>
                <w:sz w:val="21"/>
                <w:highlight w:val="none"/>
              </w:rPr>
            </w:pPr>
          </w:p>
        </w:tc>
        <w:tc>
          <w:tcPr>
            <w:tcW w:w="1387" w:type="dxa"/>
            <w:vAlign w:val="top"/>
          </w:tcPr>
          <w:p w14:paraId="3D8FC44B">
            <w:pPr>
              <w:rPr>
                <w:rFonts w:ascii="Arial"/>
                <w:color w:val="auto"/>
                <w:sz w:val="21"/>
                <w:highlight w:val="none"/>
              </w:rPr>
            </w:pPr>
          </w:p>
        </w:tc>
        <w:tc>
          <w:tcPr>
            <w:tcW w:w="1382" w:type="dxa"/>
            <w:vAlign w:val="top"/>
          </w:tcPr>
          <w:p w14:paraId="065D7FD9">
            <w:pPr>
              <w:rPr>
                <w:rFonts w:ascii="Arial"/>
                <w:color w:val="auto"/>
                <w:sz w:val="21"/>
                <w:highlight w:val="none"/>
              </w:rPr>
            </w:pPr>
          </w:p>
        </w:tc>
        <w:tc>
          <w:tcPr>
            <w:tcW w:w="1382" w:type="dxa"/>
            <w:vAlign w:val="top"/>
          </w:tcPr>
          <w:p w14:paraId="3C3FE2D9">
            <w:pPr>
              <w:rPr>
                <w:rFonts w:ascii="Arial"/>
                <w:color w:val="auto"/>
                <w:sz w:val="21"/>
                <w:highlight w:val="none"/>
              </w:rPr>
            </w:pPr>
          </w:p>
        </w:tc>
        <w:tc>
          <w:tcPr>
            <w:tcW w:w="1382" w:type="dxa"/>
            <w:vAlign w:val="top"/>
          </w:tcPr>
          <w:p w14:paraId="345E5D8D">
            <w:pPr>
              <w:rPr>
                <w:rFonts w:ascii="Arial"/>
                <w:color w:val="auto"/>
                <w:sz w:val="21"/>
                <w:highlight w:val="none"/>
              </w:rPr>
            </w:pPr>
          </w:p>
        </w:tc>
        <w:tc>
          <w:tcPr>
            <w:tcW w:w="1391" w:type="dxa"/>
            <w:vAlign w:val="top"/>
          </w:tcPr>
          <w:p w14:paraId="6B34BF5F">
            <w:pPr>
              <w:rPr>
                <w:rFonts w:ascii="Arial"/>
                <w:color w:val="auto"/>
                <w:sz w:val="21"/>
                <w:highlight w:val="none"/>
              </w:rPr>
            </w:pPr>
          </w:p>
        </w:tc>
      </w:tr>
      <w:tr w14:paraId="740D8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B6B96D7">
            <w:pPr>
              <w:rPr>
                <w:rFonts w:ascii="Arial"/>
                <w:color w:val="auto"/>
                <w:sz w:val="21"/>
                <w:highlight w:val="none"/>
              </w:rPr>
            </w:pPr>
          </w:p>
        </w:tc>
        <w:tc>
          <w:tcPr>
            <w:tcW w:w="1387" w:type="dxa"/>
            <w:vAlign w:val="top"/>
          </w:tcPr>
          <w:p w14:paraId="749A7832">
            <w:pPr>
              <w:rPr>
                <w:rFonts w:ascii="Arial"/>
                <w:color w:val="auto"/>
                <w:sz w:val="21"/>
                <w:highlight w:val="none"/>
              </w:rPr>
            </w:pPr>
          </w:p>
        </w:tc>
        <w:tc>
          <w:tcPr>
            <w:tcW w:w="1382" w:type="dxa"/>
            <w:vAlign w:val="top"/>
          </w:tcPr>
          <w:p w14:paraId="0AFF43D1">
            <w:pPr>
              <w:rPr>
                <w:rFonts w:ascii="Arial"/>
                <w:color w:val="auto"/>
                <w:sz w:val="21"/>
                <w:highlight w:val="none"/>
              </w:rPr>
            </w:pPr>
          </w:p>
        </w:tc>
        <w:tc>
          <w:tcPr>
            <w:tcW w:w="1382" w:type="dxa"/>
            <w:vAlign w:val="top"/>
          </w:tcPr>
          <w:p w14:paraId="235036BB">
            <w:pPr>
              <w:rPr>
                <w:rFonts w:ascii="Arial"/>
                <w:color w:val="auto"/>
                <w:sz w:val="21"/>
                <w:highlight w:val="none"/>
              </w:rPr>
            </w:pPr>
          </w:p>
        </w:tc>
        <w:tc>
          <w:tcPr>
            <w:tcW w:w="1382" w:type="dxa"/>
            <w:vAlign w:val="top"/>
          </w:tcPr>
          <w:p w14:paraId="4CF3AD39">
            <w:pPr>
              <w:rPr>
                <w:rFonts w:ascii="Arial"/>
                <w:color w:val="auto"/>
                <w:sz w:val="21"/>
                <w:highlight w:val="none"/>
              </w:rPr>
            </w:pPr>
          </w:p>
        </w:tc>
        <w:tc>
          <w:tcPr>
            <w:tcW w:w="1391" w:type="dxa"/>
            <w:vAlign w:val="top"/>
          </w:tcPr>
          <w:p w14:paraId="68D5BF51">
            <w:pPr>
              <w:rPr>
                <w:rFonts w:ascii="Arial"/>
                <w:color w:val="auto"/>
                <w:sz w:val="21"/>
                <w:highlight w:val="none"/>
              </w:rPr>
            </w:pPr>
          </w:p>
        </w:tc>
      </w:tr>
      <w:tr w14:paraId="6A8C0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42B8DFCC">
            <w:pPr>
              <w:rPr>
                <w:rFonts w:ascii="Arial"/>
                <w:color w:val="auto"/>
                <w:sz w:val="21"/>
                <w:highlight w:val="none"/>
              </w:rPr>
            </w:pPr>
          </w:p>
        </w:tc>
        <w:tc>
          <w:tcPr>
            <w:tcW w:w="1387" w:type="dxa"/>
            <w:vAlign w:val="top"/>
          </w:tcPr>
          <w:p w14:paraId="19447A31">
            <w:pPr>
              <w:rPr>
                <w:rFonts w:ascii="Arial"/>
                <w:color w:val="auto"/>
                <w:sz w:val="21"/>
                <w:highlight w:val="none"/>
              </w:rPr>
            </w:pPr>
          </w:p>
        </w:tc>
        <w:tc>
          <w:tcPr>
            <w:tcW w:w="1382" w:type="dxa"/>
            <w:vAlign w:val="top"/>
          </w:tcPr>
          <w:p w14:paraId="3FA92CD2">
            <w:pPr>
              <w:rPr>
                <w:rFonts w:ascii="Arial"/>
                <w:color w:val="auto"/>
                <w:sz w:val="21"/>
                <w:highlight w:val="none"/>
              </w:rPr>
            </w:pPr>
          </w:p>
        </w:tc>
        <w:tc>
          <w:tcPr>
            <w:tcW w:w="1382" w:type="dxa"/>
            <w:vAlign w:val="top"/>
          </w:tcPr>
          <w:p w14:paraId="77E9AED4">
            <w:pPr>
              <w:rPr>
                <w:rFonts w:ascii="Arial"/>
                <w:color w:val="auto"/>
                <w:sz w:val="21"/>
                <w:highlight w:val="none"/>
              </w:rPr>
            </w:pPr>
          </w:p>
        </w:tc>
        <w:tc>
          <w:tcPr>
            <w:tcW w:w="1382" w:type="dxa"/>
            <w:vAlign w:val="top"/>
          </w:tcPr>
          <w:p w14:paraId="5F5D99E0">
            <w:pPr>
              <w:rPr>
                <w:rFonts w:ascii="Arial"/>
                <w:color w:val="auto"/>
                <w:sz w:val="21"/>
                <w:highlight w:val="none"/>
              </w:rPr>
            </w:pPr>
          </w:p>
        </w:tc>
        <w:tc>
          <w:tcPr>
            <w:tcW w:w="1391" w:type="dxa"/>
            <w:vAlign w:val="top"/>
          </w:tcPr>
          <w:p w14:paraId="57EB2833">
            <w:pPr>
              <w:rPr>
                <w:rFonts w:ascii="Arial"/>
                <w:color w:val="auto"/>
                <w:sz w:val="21"/>
                <w:highlight w:val="none"/>
              </w:rPr>
            </w:pPr>
          </w:p>
        </w:tc>
      </w:tr>
      <w:tr w14:paraId="2C7BD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C546874">
            <w:pPr>
              <w:rPr>
                <w:rFonts w:ascii="Arial"/>
                <w:color w:val="auto"/>
                <w:sz w:val="21"/>
                <w:highlight w:val="none"/>
              </w:rPr>
            </w:pPr>
          </w:p>
        </w:tc>
        <w:tc>
          <w:tcPr>
            <w:tcW w:w="1387" w:type="dxa"/>
            <w:vAlign w:val="top"/>
          </w:tcPr>
          <w:p w14:paraId="6DAC1B00">
            <w:pPr>
              <w:rPr>
                <w:rFonts w:ascii="Arial"/>
                <w:color w:val="auto"/>
                <w:sz w:val="21"/>
                <w:highlight w:val="none"/>
              </w:rPr>
            </w:pPr>
          </w:p>
        </w:tc>
        <w:tc>
          <w:tcPr>
            <w:tcW w:w="1382" w:type="dxa"/>
            <w:vAlign w:val="top"/>
          </w:tcPr>
          <w:p w14:paraId="04610100">
            <w:pPr>
              <w:rPr>
                <w:rFonts w:ascii="Arial"/>
                <w:color w:val="auto"/>
                <w:sz w:val="21"/>
                <w:highlight w:val="none"/>
              </w:rPr>
            </w:pPr>
          </w:p>
        </w:tc>
        <w:tc>
          <w:tcPr>
            <w:tcW w:w="1382" w:type="dxa"/>
            <w:vAlign w:val="top"/>
          </w:tcPr>
          <w:p w14:paraId="42D8C79A">
            <w:pPr>
              <w:rPr>
                <w:rFonts w:ascii="Arial"/>
                <w:color w:val="auto"/>
                <w:sz w:val="21"/>
                <w:highlight w:val="none"/>
              </w:rPr>
            </w:pPr>
          </w:p>
        </w:tc>
        <w:tc>
          <w:tcPr>
            <w:tcW w:w="1382" w:type="dxa"/>
            <w:vAlign w:val="top"/>
          </w:tcPr>
          <w:p w14:paraId="3599D402">
            <w:pPr>
              <w:rPr>
                <w:rFonts w:ascii="Arial"/>
                <w:color w:val="auto"/>
                <w:sz w:val="21"/>
                <w:highlight w:val="none"/>
              </w:rPr>
            </w:pPr>
          </w:p>
        </w:tc>
        <w:tc>
          <w:tcPr>
            <w:tcW w:w="1391" w:type="dxa"/>
            <w:vAlign w:val="top"/>
          </w:tcPr>
          <w:p w14:paraId="4B8E35E3">
            <w:pPr>
              <w:rPr>
                <w:rFonts w:ascii="Arial"/>
                <w:color w:val="auto"/>
                <w:sz w:val="21"/>
                <w:highlight w:val="none"/>
              </w:rPr>
            </w:pPr>
          </w:p>
        </w:tc>
      </w:tr>
      <w:tr w14:paraId="36985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EA74759">
            <w:pPr>
              <w:rPr>
                <w:rFonts w:ascii="Arial"/>
                <w:color w:val="auto"/>
                <w:sz w:val="21"/>
                <w:highlight w:val="none"/>
              </w:rPr>
            </w:pPr>
          </w:p>
        </w:tc>
        <w:tc>
          <w:tcPr>
            <w:tcW w:w="1387" w:type="dxa"/>
            <w:vAlign w:val="top"/>
          </w:tcPr>
          <w:p w14:paraId="5532311B">
            <w:pPr>
              <w:rPr>
                <w:rFonts w:ascii="Arial"/>
                <w:color w:val="auto"/>
                <w:sz w:val="21"/>
                <w:highlight w:val="none"/>
              </w:rPr>
            </w:pPr>
          </w:p>
        </w:tc>
        <w:tc>
          <w:tcPr>
            <w:tcW w:w="1382" w:type="dxa"/>
            <w:vAlign w:val="top"/>
          </w:tcPr>
          <w:p w14:paraId="0E7DB2A1">
            <w:pPr>
              <w:rPr>
                <w:rFonts w:ascii="Arial"/>
                <w:color w:val="auto"/>
                <w:sz w:val="21"/>
                <w:highlight w:val="none"/>
              </w:rPr>
            </w:pPr>
          </w:p>
        </w:tc>
        <w:tc>
          <w:tcPr>
            <w:tcW w:w="1382" w:type="dxa"/>
            <w:vAlign w:val="top"/>
          </w:tcPr>
          <w:p w14:paraId="40AE33F4">
            <w:pPr>
              <w:rPr>
                <w:rFonts w:ascii="Arial"/>
                <w:color w:val="auto"/>
                <w:sz w:val="21"/>
                <w:highlight w:val="none"/>
              </w:rPr>
            </w:pPr>
          </w:p>
        </w:tc>
        <w:tc>
          <w:tcPr>
            <w:tcW w:w="1382" w:type="dxa"/>
            <w:vAlign w:val="top"/>
          </w:tcPr>
          <w:p w14:paraId="75C919C2">
            <w:pPr>
              <w:rPr>
                <w:rFonts w:ascii="Arial"/>
                <w:color w:val="auto"/>
                <w:sz w:val="21"/>
                <w:highlight w:val="none"/>
              </w:rPr>
            </w:pPr>
          </w:p>
        </w:tc>
        <w:tc>
          <w:tcPr>
            <w:tcW w:w="1391" w:type="dxa"/>
            <w:vAlign w:val="top"/>
          </w:tcPr>
          <w:p w14:paraId="3E6C53B1">
            <w:pPr>
              <w:rPr>
                <w:rFonts w:ascii="Arial"/>
                <w:color w:val="auto"/>
                <w:sz w:val="21"/>
                <w:highlight w:val="none"/>
              </w:rPr>
            </w:pPr>
          </w:p>
        </w:tc>
      </w:tr>
      <w:tr w14:paraId="485E1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2B80AB6">
            <w:pPr>
              <w:rPr>
                <w:rFonts w:ascii="Arial"/>
                <w:color w:val="auto"/>
                <w:sz w:val="21"/>
                <w:highlight w:val="none"/>
              </w:rPr>
            </w:pPr>
          </w:p>
        </w:tc>
        <w:tc>
          <w:tcPr>
            <w:tcW w:w="1387" w:type="dxa"/>
            <w:vAlign w:val="top"/>
          </w:tcPr>
          <w:p w14:paraId="4FF2F3F2">
            <w:pPr>
              <w:rPr>
                <w:rFonts w:ascii="Arial"/>
                <w:color w:val="auto"/>
                <w:sz w:val="21"/>
                <w:highlight w:val="none"/>
              </w:rPr>
            </w:pPr>
          </w:p>
        </w:tc>
        <w:tc>
          <w:tcPr>
            <w:tcW w:w="1382" w:type="dxa"/>
            <w:vAlign w:val="top"/>
          </w:tcPr>
          <w:p w14:paraId="4E62CB76">
            <w:pPr>
              <w:rPr>
                <w:rFonts w:ascii="Arial"/>
                <w:color w:val="auto"/>
                <w:sz w:val="21"/>
                <w:highlight w:val="none"/>
              </w:rPr>
            </w:pPr>
          </w:p>
        </w:tc>
        <w:tc>
          <w:tcPr>
            <w:tcW w:w="1382" w:type="dxa"/>
            <w:vAlign w:val="top"/>
          </w:tcPr>
          <w:p w14:paraId="4A6FEEE3">
            <w:pPr>
              <w:rPr>
                <w:rFonts w:ascii="Arial"/>
                <w:color w:val="auto"/>
                <w:sz w:val="21"/>
                <w:highlight w:val="none"/>
              </w:rPr>
            </w:pPr>
          </w:p>
        </w:tc>
        <w:tc>
          <w:tcPr>
            <w:tcW w:w="1382" w:type="dxa"/>
            <w:vAlign w:val="top"/>
          </w:tcPr>
          <w:p w14:paraId="4EF51BD0">
            <w:pPr>
              <w:rPr>
                <w:rFonts w:ascii="Arial"/>
                <w:color w:val="auto"/>
                <w:sz w:val="21"/>
                <w:highlight w:val="none"/>
              </w:rPr>
            </w:pPr>
          </w:p>
        </w:tc>
        <w:tc>
          <w:tcPr>
            <w:tcW w:w="1391" w:type="dxa"/>
            <w:vAlign w:val="top"/>
          </w:tcPr>
          <w:p w14:paraId="47D73771">
            <w:pPr>
              <w:rPr>
                <w:rFonts w:ascii="Arial"/>
                <w:color w:val="auto"/>
                <w:sz w:val="21"/>
                <w:highlight w:val="none"/>
              </w:rPr>
            </w:pPr>
          </w:p>
        </w:tc>
      </w:tr>
      <w:tr w14:paraId="039BB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62D3C256">
            <w:pPr>
              <w:rPr>
                <w:rFonts w:ascii="Arial"/>
                <w:color w:val="auto"/>
                <w:sz w:val="21"/>
                <w:highlight w:val="none"/>
              </w:rPr>
            </w:pPr>
          </w:p>
        </w:tc>
        <w:tc>
          <w:tcPr>
            <w:tcW w:w="1387" w:type="dxa"/>
            <w:vAlign w:val="top"/>
          </w:tcPr>
          <w:p w14:paraId="68D3A566">
            <w:pPr>
              <w:rPr>
                <w:rFonts w:ascii="Arial"/>
                <w:color w:val="auto"/>
                <w:sz w:val="21"/>
                <w:highlight w:val="none"/>
              </w:rPr>
            </w:pPr>
          </w:p>
        </w:tc>
        <w:tc>
          <w:tcPr>
            <w:tcW w:w="1382" w:type="dxa"/>
            <w:vAlign w:val="top"/>
          </w:tcPr>
          <w:p w14:paraId="59564711">
            <w:pPr>
              <w:rPr>
                <w:rFonts w:ascii="Arial"/>
                <w:color w:val="auto"/>
                <w:sz w:val="21"/>
                <w:highlight w:val="none"/>
              </w:rPr>
            </w:pPr>
          </w:p>
        </w:tc>
        <w:tc>
          <w:tcPr>
            <w:tcW w:w="1382" w:type="dxa"/>
            <w:vAlign w:val="top"/>
          </w:tcPr>
          <w:p w14:paraId="3654514C">
            <w:pPr>
              <w:rPr>
                <w:rFonts w:ascii="Arial"/>
                <w:color w:val="auto"/>
                <w:sz w:val="21"/>
                <w:highlight w:val="none"/>
              </w:rPr>
            </w:pPr>
          </w:p>
        </w:tc>
        <w:tc>
          <w:tcPr>
            <w:tcW w:w="1382" w:type="dxa"/>
            <w:vAlign w:val="top"/>
          </w:tcPr>
          <w:p w14:paraId="3BD0793B">
            <w:pPr>
              <w:rPr>
                <w:rFonts w:ascii="Arial"/>
                <w:color w:val="auto"/>
                <w:sz w:val="21"/>
                <w:highlight w:val="none"/>
              </w:rPr>
            </w:pPr>
          </w:p>
        </w:tc>
        <w:tc>
          <w:tcPr>
            <w:tcW w:w="1391" w:type="dxa"/>
            <w:vAlign w:val="top"/>
          </w:tcPr>
          <w:p w14:paraId="4B9BACB0">
            <w:pPr>
              <w:rPr>
                <w:rFonts w:ascii="Arial"/>
                <w:color w:val="auto"/>
                <w:sz w:val="21"/>
                <w:highlight w:val="none"/>
              </w:rPr>
            </w:pPr>
          </w:p>
        </w:tc>
      </w:tr>
      <w:tr w14:paraId="7D7B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5CF10F4">
            <w:pPr>
              <w:rPr>
                <w:rFonts w:ascii="Arial"/>
                <w:color w:val="auto"/>
                <w:sz w:val="21"/>
                <w:highlight w:val="none"/>
              </w:rPr>
            </w:pPr>
          </w:p>
        </w:tc>
        <w:tc>
          <w:tcPr>
            <w:tcW w:w="1387" w:type="dxa"/>
            <w:vAlign w:val="top"/>
          </w:tcPr>
          <w:p w14:paraId="68E0AD87">
            <w:pPr>
              <w:rPr>
                <w:rFonts w:ascii="Arial"/>
                <w:color w:val="auto"/>
                <w:sz w:val="21"/>
                <w:highlight w:val="none"/>
              </w:rPr>
            </w:pPr>
          </w:p>
        </w:tc>
        <w:tc>
          <w:tcPr>
            <w:tcW w:w="1382" w:type="dxa"/>
            <w:vAlign w:val="top"/>
          </w:tcPr>
          <w:p w14:paraId="1608D785">
            <w:pPr>
              <w:rPr>
                <w:rFonts w:ascii="Arial"/>
                <w:color w:val="auto"/>
                <w:sz w:val="21"/>
                <w:highlight w:val="none"/>
              </w:rPr>
            </w:pPr>
          </w:p>
        </w:tc>
        <w:tc>
          <w:tcPr>
            <w:tcW w:w="1382" w:type="dxa"/>
            <w:vAlign w:val="top"/>
          </w:tcPr>
          <w:p w14:paraId="7659063E">
            <w:pPr>
              <w:rPr>
                <w:rFonts w:ascii="Arial"/>
                <w:color w:val="auto"/>
                <w:sz w:val="21"/>
                <w:highlight w:val="none"/>
              </w:rPr>
            </w:pPr>
          </w:p>
        </w:tc>
        <w:tc>
          <w:tcPr>
            <w:tcW w:w="1382" w:type="dxa"/>
            <w:vAlign w:val="top"/>
          </w:tcPr>
          <w:p w14:paraId="4919FFE6">
            <w:pPr>
              <w:rPr>
                <w:rFonts w:ascii="Arial"/>
                <w:color w:val="auto"/>
                <w:sz w:val="21"/>
                <w:highlight w:val="none"/>
              </w:rPr>
            </w:pPr>
          </w:p>
        </w:tc>
        <w:tc>
          <w:tcPr>
            <w:tcW w:w="1391" w:type="dxa"/>
            <w:vAlign w:val="top"/>
          </w:tcPr>
          <w:p w14:paraId="2A66DC05">
            <w:pPr>
              <w:rPr>
                <w:rFonts w:ascii="Arial"/>
                <w:color w:val="auto"/>
                <w:sz w:val="21"/>
                <w:highlight w:val="none"/>
              </w:rPr>
            </w:pPr>
          </w:p>
        </w:tc>
      </w:tr>
      <w:tr w14:paraId="07159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636556A">
            <w:pPr>
              <w:rPr>
                <w:rFonts w:ascii="Arial"/>
                <w:color w:val="auto"/>
                <w:sz w:val="21"/>
                <w:highlight w:val="none"/>
              </w:rPr>
            </w:pPr>
          </w:p>
        </w:tc>
        <w:tc>
          <w:tcPr>
            <w:tcW w:w="1387" w:type="dxa"/>
            <w:vAlign w:val="top"/>
          </w:tcPr>
          <w:p w14:paraId="675F0875">
            <w:pPr>
              <w:rPr>
                <w:rFonts w:ascii="Arial"/>
                <w:color w:val="auto"/>
                <w:sz w:val="21"/>
                <w:highlight w:val="none"/>
              </w:rPr>
            </w:pPr>
          </w:p>
        </w:tc>
        <w:tc>
          <w:tcPr>
            <w:tcW w:w="1382" w:type="dxa"/>
            <w:vAlign w:val="top"/>
          </w:tcPr>
          <w:p w14:paraId="528763EB">
            <w:pPr>
              <w:rPr>
                <w:rFonts w:ascii="Arial"/>
                <w:color w:val="auto"/>
                <w:sz w:val="21"/>
                <w:highlight w:val="none"/>
              </w:rPr>
            </w:pPr>
          </w:p>
        </w:tc>
        <w:tc>
          <w:tcPr>
            <w:tcW w:w="1382" w:type="dxa"/>
            <w:vAlign w:val="top"/>
          </w:tcPr>
          <w:p w14:paraId="107CD3CE">
            <w:pPr>
              <w:rPr>
                <w:rFonts w:ascii="Arial"/>
                <w:color w:val="auto"/>
                <w:sz w:val="21"/>
                <w:highlight w:val="none"/>
              </w:rPr>
            </w:pPr>
          </w:p>
        </w:tc>
        <w:tc>
          <w:tcPr>
            <w:tcW w:w="1382" w:type="dxa"/>
            <w:vAlign w:val="top"/>
          </w:tcPr>
          <w:p w14:paraId="53E07D1A">
            <w:pPr>
              <w:rPr>
                <w:rFonts w:ascii="Arial"/>
                <w:color w:val="auto"/>
                <w:sz w:val="21"/>
                <w:highlight w:val="none"/>
              </w:rPr>
            </w:pPr>
          </w:p>
        </w:tc>
        <w:tc>
          <w:tcPr>
            <w:tcW w:w="1391" w:type="dxa"/>
            <w:vAlign w:val="top"/>
          </w:tcPr>
          <w:p w14:paraId="1BFCF086">
            <w:pPr>
              <w:rPr>
                <w:rFonts w:ascii="Arial"/>
                <w:color w:val="auto"/>
                <w:sz w:val="21"/>
                <w:highlight w:val="none"/>
              </w:rPr>
            </w:pPr>
          </w:p>
        </w:tc>
      </w:tr>
      <w:tr w14:paraId="56B15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1E5C9D50">
            <w:pPr>
              <w:rPr>
                <w:rFonts w:ascii="Arial"/>
                <w:color w:val="auto"/>
                <w:sz w:val="21"/>
                <w:highlight w:val="none"/>
              </w:rPr>
            </w:pPr>
          </w:p>
        </w:tc>
        <w:tc>
          <w:tcPr>
            <w:tcW w:w="1387" w:type="dxa"/>
            <w:vAlign w:val="top"/>
          </w:tcPr>
          <w:p w14:paraId="505C9BB4">
            <w:pPr>
              <w:rPr>
                <w:rFonts w:ascii="Arial"/>
                <w:color w:val="auto"/>
                <w:sz w:val="21"/>
                <w:highlight w:val="none"/>
              </w:rPr>
            </w:pPr>
          </w:p>
        </w:tc>
        <w:tc>
          <w:tcPr>
            <w:tcW w:w="1382" w:type="dxa"/>
            <w:vAlign w:val="top"/>
          </w:tcPr>
          <w:p w14:paraId="45631424">
            <w:pPr>
              <w:rPr>
                <w:rFonts w:ascii="Arial"/>
                <w:color w:val="auto"/>
                <w:sz w:val="21"/>
                <w:highlight w:val="none"/>
              </w:rPr>
            </w:pPr>
          </w:p>
        </w:tc>
        <w:tc>
          <w:tcPr>
            <w:tcW w:w="1382" w:type="dxa"/>
            <w:vAlign w:val="top"/>
          </w:tcPr>
          <w:p w14:paraId="555FD813">
            <w:pPr>
              <w:rPr>
                <w:rFonts w:ascii="Arial"/>
                <w:color w:val="auto"/>
                <w:sz w:val="21"/>
                <w:highlight w:val="none"/>
              </w:rPr>
            </w:pPr>
          </w:p>
        </w:tc>
        <w:tc>
          <w:tcPr>
            <w:tcW w:w="1382" w:type="dxa"/>
            <w:vAlign w:val="top"/>
          </w:tcPr>
          <w:p w14:paraId="112F4F03">
            <w:pPr>
              <w:rPr>
                <w:rFonts w:ascii="Arial"/>
                <w:color w:val="auto"/>
                <w:sz w:val="21"/>
                <w:highlight w:val="none"/>
              </w:rPr>
            </w:pPr>
          </w:p>
        </w:tc>
        <w:tc>
          <w:tcPr>
            <w:tcW w:w="1391" w:type="dxa"/>
            <w:vAlign w:val="top"/>
          </w:tcPr>
          <w:p w14:paraId="20D8D042">
            <w:pPr>
              <w:rPr>
                <w:rFonts w:ascii="Arial"/>
                <w:color w:val="auto"/>
                <w:sz w:val="21"/>
                <w:highlight w:val="none"/>
              </w:rPr>
            </w:pPr>
          </w:p>
        </w:tc>
      </w:tr>
      <w:tr w14:paraId="185C6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34CB37A">
            <w:pPr>
              <w:rPr>
                <w:rFonts w:ascii="Arial"/>
                <w:color w:val="auto"/>
                <w:sz w:val="21"/>
                <w:highlight w:val="none"/>
              </w:rPr>
            </w:pPr>
          </w:p>
        </w:tc>
        <w:tc>
          <w:tcPr>
            <w:tcW w:w="1387" w:type="dxa"/>
            <w:vAlign w:val="top"/>
          </w:tcPr>
          <w:p w14:paraId="64C4871E">
            <w:pPr>
              <w:rPr>
                <w:rFonts w:ascii="Arial"/>
                <w:color w:val="auto"/>
                <w:sz w:val="21"/>
                <w:highlight w:val="none"/>
              </w:rPr>
            </w:pPr>
          </w:p>
        </w:tc>
        <w:tc>
          <w:tcPr>
            <w:tcW w:w="1382" w:type="dxa"/>
            <w:vAlign w:val="top"/>
          </w:tcPr>
          <w:p w14:paraId="1EB5C5E7">
            <w:pPr>
              <w:rPr>
                <w:rFonts w:ascii="Arial"/>
                <w:color w:val="auto"/>
                <w:sz w:val="21"/>
                <w:highlight w:val="none"/>
              </w:rPr>
            </w:pPr>
          </w:p>
        </w:tc>
        <w:tc>
          <w:tcPr>
            <w:tcW w:w="1382" w:type="dxa"/>
            <w:vAlign w:val="top"/>
          </w:tcPr>
          <w:p w14:paraId="38A15E0C">
            <w:pPr>
              <w:rPr>
                <w:rFonts w:ascii="Arial"/>
                <w:color w:val="auto"/>
                <w:sz w:val="21"/>
                <w:highlight w:val="none"/>
              </w:rPr>
            </w:pPr>
          </w:p>
        </w:tc>
        <w:tc>
          <w:tcPr>
            <w:tcW w:w="1382" w:type="dxa"/>
            <w:vAlign w:val="top"/>
          </w:tcPr>
          <w:p w14:paraId="479A8AAC">
            <w:pPr>
              <w:rPr>
                <w:rFonts w:ascii="Arial"/>
                <w:color w:val="auto"/>
                <w:sz w:val="21"/>
                <w:highlight w:val="none"/>
              </w:rPr>
            </w:pPr>
          </w:p>
        </w:tc>
        <w:tc>
          <w:tcPr>
            <w:tcW w:w="1391" w:type="dxa"/>
            <w:vAlign w:val="top"/>
          </w:tcPr>
          <w:p w14:paraId="0B8A1D93">
            <w:pPr>
              <w:rPr>
                <w:rFonts w:ascii="Arial"/>
                <w:color w:val="auto"/>
                <w:sz w:val="21"/>
                <w:highlight w:val="none"/>
              </w:rPr>
            </w:pPr>
          </w:p>
        </w:tc>
      </w:tr>
      <w:tr w14:paraId="20CEE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9365629">
            <w:pPr>
              <w:rPr>
                <w:rFonts w:ascii="Arial"/>
                <w:color w:val="auto"/>
                <w:sz w:val="21"/>
                <w:highlight w:val="none"/>
              </w:rPr>
            </w:pPr>
          </w:p>
        </w:tc>
        <w:tc>
          <w:tcPr>
            <w:tcW w:w="1387" w:type="dxa"/>
            <w:vAlign w:val="top"/>
          </w:tcPr>
          <w:p w14:paraId="33C76C17">
            <w:pPr>
              <w:rPr>
                <w:rFonts w:ascii="Arial"/>
                <w:color w:val="auto"/>
                <w:sz w:val="21"/>
                <w:highlight w:val="none"/>
              </w:rPr>
            </w:pPr>
          </w:p>
        </w:tc>
        <w:tc>
          <w:tcPr>
            <w:tcW w:w="1382" w:type="dxa"/>
            <w:vAlign w:val="top"/>
          </w:tcPr>
          <w:p w14:paraId="13A9BF7B">
            <w:pPr>
              <w:rPr>
                <w:rFonts w:ascii="Arial"/>
                <w:color w:val="auto"/>
                <w:sz w:val="21"/>
                <w:highlight w:val="none"/>
              </w:rPr>
            </w:pPr>
          </w:p>
        </w:tc>
        <w:tc>
          <w:tcPr>
            <w:tcW w:w="1382" w:type="dxa"/>
            <w:vAlign w:val="top"/>
          </w:tcPr>
          <w:p w14:paraId="04CB1BEB">
            <w:pPr>
              <w:rPr>
                <w:rFonts w:ascii="Arial"/>
                <w:color w:val="auto"/>
                <w:sz w:val="21"/>
                <w:highlight w:val="none"/>
              </w:rPr>
            </w:pPr>
          </w:p>
        </w:tc>
        <w:tc>
          <w:tcPr>
            <w:tcW w:w="1382" w:type="dxa"/>
            <w:vAlign w:val="top"/>
          </w:tcPr>
          <w:p w14:paraId="5EA7D953">
            <w:pPr>
              <w:rPr>
                <w:rFonts w:ascii="Arial"/>
                <w:color w:val="auto"/>
                <w:sz w:val="21"/>
                <w:highlight w:val="none"/>
              </w:rPr>
            </w:pPr>
          </w:p>
        </w:tc>
        <w:tc>
          <w:tcPr>
            <w:tcW w:w="1391" w:type="dxa"/>
            <w:vAlign w:val="top"/>
          </w:tcPr>
          <w:p w14:paraId="3812EA9D">
            <w:pPr>
              <w:rPr>
                <w:rFonts w:ascii="Arial"/>
                <w:color w:val="auto"/>
                <w:sz w:val="21"/>
                <w:highlight w:val="none"/>
              </w:rPr>
            </w:pPr>
          </w:p>
        </w:tc>
      </w:tr>
      <w:tr w14:paraId="4D68D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F0C997E">
            <w:pPr>
              <w:rPr>
                <w:rFonts w:ascii="Arial"/>
                <w:color w:val="auto"/>
                <w:sz w:val="21"/>
                <w:highlight w:val="none"/>
              </w:rPr>
            </w:pPr>
          </w:p>
        </w:tc>
        <w:tc>
          <w:tcPr>
            <w:tcW w:w="1387" w:type="dxa"/>
            <w:vAlign w:val="top"/>
          </w:tcPr>
          <w:p w14:paraId="2646BED8">
            <w:pPr>
              <w:rPr>
                <w:rFonts w:ascii="Arial"/>
                <w:color w:val="auto"/>
                <w:sz w:val="21"/>
                <w:highlight w:val="none"/>
              </w:rPr>
            </w:pPr>
          </w:p>
        </w:tc>
        <w:tc>
          <w:tcPr>
            <w:tcW w:w="1382" w:type="dxa"/>
            <w:vAlign w:val="top"/>
          </w:tcPr>
          <w:p w14:paraId="333E5C58">
            <w:pPr>
              <w:rPr>
                <w:rFonts w:ascii="Arial"/>
                <w:color w:val="auto"/>
                <w:sz w:val="21"/>
                <w:highlight w:val="none"/>
              </w:rPr>
            </w:pPr>
          </w:p>
        </w:tc>
        <w:tc>
          <w:tcPr>
            <w:tcW w:w="1382" w:type="dxa"/>
            <w:vAlign w:val="top"/>
          </w:tcPr>
          <w:p w14:paraId="0F0DE9C8">
            <w:pPr>
              <w:rPr>
                <w:rFonts w:ascii="Arial"/>
                <w:color w:val="auto"/>
                <w:sz w:val="21"/>
                <w:highlight w:val="none"/>
              </w:rPr>
            </w:pPr>
          </w:p>
        </w:tc>
        <w:tc>
          <w:tcPr>
            <w:tcW w:w="1382" w:type="dxa"/>
            <w:vAlign w:val="top"/>
          </w:tcPr>
          <w:p w14:paraId="4D32097A">
            <w:pPr>
              <w:rPr>
                <w:rFonts w:ascii="Arial"/>
                <w:color w:val="auto"/>
                <w:sz w:val="21"/>
                <w:highlight w:val="none"/>
              </w:rPr>
            </w:pPr>
          </w:p>
        </w:tc>
        <w:tc>
          <w:tcPr>
            <w:tcW w:w="1391" w:type="dxa"/>
            <w:vAlign w:val="top"/>
          </w:tcPr>
          <w:p w14:paraId="420B4BFC">
            <w:pPr>
              <w:rPr>
                <w:rFonts w:ascii="Arial"/>
                <w:color w:val="auto"/>
                <w:sz w:val="21"/>
                <w:highlight w:val="none"/>
              </w:rPr>
            </w:pPr>
          </w:p>
        </w:tc>
      </w:tr>
      <w:tr w14:paraId="55E5B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259FB93">
            <w:pPr>
              <w:rPr>
                <w:rFonts w:ascii="Arial"/>
                <w:color w:val="auto"/>
                <w:sz w:val="21"/>
                <w:highlight w:val="none"/>
              </w:rPr>
            </w:pPr>
          </w:p>
        </w:tc>
        <w:tc>
          <w:tcPr>
            <w:tcW w:w="1387" w:type="dxa"/>
            <w:vAlign w:val="top"/>
          </w:tcPr>
          <w:p w14:paraId="323AEE3C">
            <w:pPr>
              <w:rPr>
                <w:rFonts w:ascii="Arial"/>
                <w:color w:val="auto"/>
                <w:sz w:val="21"/>
                <w:highlight w:val="none"/>
              </w:rPr>
            </w:pPr>
          </w:p>
        </w:tc>
        <w:tc>
          <w:tcPr>
            <w:tcW w:w="1382" w:type="dxa"/>
            <w:vAlign w:val="top"/>
          </w:tcPr>
          <w:p w14:paraId="0C88487F">
            <w:pPr>
              <w:rPr>
                <w:rFonts w:ascii="Arial"/>
                <w:color w:val="auto"/>
                <w:sz w:val="21"/>
                <w:highlight w:val="none"/>
              </w:rPr>
            </w:pPr>
          </w:p>
        </w:tc>
        <w:tc>
          <w:tcPr>
            <w:tcW w:w="1382" w:type="dxa"/>
            <w:vAlign w:val="top"/>
          </w:tcPr>
          <w:p w14:paraId="29AD1C5D">
            <w:pPr>
              <w:rPr>
                <w:rFonts w:ascii="Arial"/>
                <w:color w:val="auto"/>
                <w:sz w:val="21"/>
                <w:highlight w:val="none"/>
              </w:rPr>
            </w:pPr>
          </w:p>
        </w:tc>
        <w:tc>
          <w:tcPr>
            <w:tcW w:w="1382" w:type="dxa"/>
            <w:vAlign w:val="top"/>
          </w:tcPr>
          <w:p w14:paraId="15D9E0F6">
            <w:pPr>
              <w:rPr>
                <w:rFonts w:ascii="Arial"/>
                <w:color w:val="auto"/>
                <w:sz w:val="21"/>
                <w:highlight w:val="none"/>
              </w:rPr>
            </w:pPr>
          </w:p>
        </w:tc>
        <w:tc>
          <w:tcPr>
            <w:tcW w:w="1391" w:type="dxa"/>
            <w:vAlign w:val="top"/>
          </w:tcPr>
          <w:p w14:paraId="77C251A3">
            <w:pPr>
              <w:rPr>
                <w:rFonts w:ascii="Arial"/>
                <w:color w:val="auto"/>
                <w:sz w:val="21"/>
                <w:highlight w:val="none"/>
              </w:rPr>
            </w:pPr>
          </w:p>
        </w:tc>
      </w:tr>
      <w:tr w14:paraId="670B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593D440">
            <w:pPr>
              <w:rPr>
                <w:rFonts w:ascii="Arial"/>
                <w:color w:val="auto"/>
                <w:sz w:val="21"/>
                <w:highlight w:val="none"/>
              </w:rPr>
            </w:pPr>
          </w:p>
        </w:tc>
        <w:tc>
          <w:tcPr>
            <w:tcW w:w="1387" w:type="dxa"/>
            <w:vAlign w:val="top"/>
          </w:tcPr>
          <w:p w14:paraId="1C88EA96">
            <w:pPr>
              <w:rPr>
                <w:rFonts w:ascii="Arial"/>
                <w:color w:val="auto"/>
                <w:sz w:val="21"/>
                <w:highlight w:val="none"/>
              </w:rPr>
            </w:pPr>
          </w:p>
        </w:tc>
        <w:tc>
          <w:tcPr>
            <w:tcW w:w="1382" w:type="dxa"/>
            <w:vAlign w:val="top"/>
          </w:tcPr>
          <w:p w14:paraId="1391106C">
            <w:pPr>
              <w:rPr>
                <w:rFonts w:ascii="Arial"/>
                <w:color w:val="auto"/>
                <w:sz w:val="21"/>
                <w:highlight w:val="none"/>
              </w:rPr>
            </w:pPr>
          </w:p>
        </w:tc>
        <w:tc>
          <w:tcPr>
            <w:tcW w:w="1382" w:type="dxa"/>
            <w:vAlign w:val="top"/>
          </w:tcPr>
          <w:p w14:paraId="0FA03630">
            <w:pPr>
              <w:rPr>
                <w:rFonts w:ascii="Arial"/>
                <w:color w:val="auto"/>
                <w:sz w:val="21"/>
                <w:highlight w:val="none"/>
              </w:rPr>
            </w:pPr>
          </w:p>
        </w:tc>
        <w:tc>
          <w:tcPr>
            <w:tcW w:w="1382" w:type="dxa"/>
            <w:vAlign w:val="top"/>
          </w:tcPr>
          <w:p w14:paraId="18FC0857">
            <w:pPr>
              <w:rPr>
                <w:rFonts w:ascii="Arial"/>
                <w:color w:val="auto"/>
                <w:sz w:val="21"/>
                <w:highlight w:val="none"/>
              </w:rPr>
            </w:pPr>
          </w:p>
        </w:tc>
        <w:tc>
          <w:tcPr>
            <w:tcW w:w="1391" w:type="dxa"/>
            <w:vAlign w:val="top"/>
          </w:tcPr>
          <w:p w14:paraId="0746EC90">
            <w:pPr>
              <w:rPr>
                <w:rFonts w:ascii="Arial"/>
                <w:color w:val="auto"/>
                <w:sz w:val="21"/>
                <w:highlight w:val="none"/>
              </w:rPr>
            </w:pPr>
          </w:p>
        </w:tc>
      </w:tr>
      <w:tr w14:paraId="0D660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6F671379">
            <w:pPr>
              <w:rPr>
                <w:rFonts w:ascii="Arial"/>
                <w:color w:val="auto"/>
                <w:sz w:val="21"/>
                <w:highlight w:val="none"/>
              </w:rPr>
            </w:pPr>
          </w:p>
        </w:tc>
        <w:tc>
          <w:tcPr>
            <w:tcW w:w="1387" w:type="dxa"/>
            <w:vAlign w:val="top"/>
          </w:tcPr>
          <w:p w14:paraId="3FDB9E4B">
            <w:pPr>
              <w:rPr>
                <w:rFonts w:ascii="Arial"/>
                <w:color w:val="auto"/>
                <w:sz w:val="21"/>
                <w:highlight w:val="none"/>
              </w:rPr>
            </w:pPr>
          </w:p>
        </w:tc>
        <w:tc>
          <w:tcPr>
            <w:tcW w:w="1382" w:type="dxa"/>
            <w:vAlign w:val="top"/>
          </w:tcPr>
          <w:p w14:paraId="2FFF67F9">
            <w:pPr>
              <w:rPr>
                <w:rFonts w:ascii="Arial"/>
                <w:color w:val="auto"/>
                <w:sz w:val="21"/>
                <w:highlight w:val="none"/>
              </w:rPr>
            </w:pPr>
          </w:p>
        </w:tc>
        <w:tc>
          <w:tcPr>
            <w:tcW w:w="1382" w:type="dxa"/>
            <w:vAlign w:val="top"/>
          </w:tcPr>
          <w:p w14:paraId="33191AEF">
            <w:pPr>
              <w:rPr>
                <w:rFonts w:ascii="Arial"/>
                <w:color w:val="auto"/>
                <w:sz w:val="21"/>
                <w:highlight w:val="none"/>
              </w:rPr>
            </w:pPr>
          </w:p>
        </w:tc>
        <w:tc>
          <w:tcPr>
            <w:tcW w:w="1382" w:type="dxa"/>
            <w:vAlign w:val="top"/>
          </w:tcPr>
          <w:p w14:paraId="0E5EE541">
            <w:pPr>
              <w:rPr>
                <w:rFonts w:ascii="Arial"/>
                <w:color w:val="auto"/>
                <w:sz w:val="21"/>
                <w:highlight w:val="none"/>
              </w:rPr>
            </w:pPr>
          </w:p>
        </w:tc>
        <w:tc>
          <w:tcPr>
            <w:tcW w:w="1391" w:type="dxa"/>
            <w:vAlign w:val="top"/>
          </w:tcPr>
          <w:p w14:paraId="71903231">
            <w:pPr>
              <w:rPr>
                <w:rFonts w:ascii="Arial"/>
                <w:color w:val="auto"/>
                <w:sz w:val="21"/>
                <w:highlight w:val="none"/>
              </w:rPr>
            </w:pPr>
          </w:p>
        </w:tc>
      </w:tr>
      <w:tr w14:paraId="4F1B1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B232F80">
            <w:pPr>
              <w:rPr>
                <w:rFonts w:ascii="Arial"/>
                <w:color w:val="auto"/>
                <w:sz w:val="21"/>
                <w:highlight w:val="none"/>
              </w:rPr>
            </w:pPr>
          </w:p>
        </w:tc>
        <w:tc>
          <w:tcPr>
            <w:tcW w:w="1387" w:type="dxa"/>
            <w:vAlign w:val="top"/>
          </w:tcPr>
          <w:p w14:paraId="7386E4F8">
            <w:pPr>
              <w:rPr>
                <w:rFonts w:ascii="Arial"/>
                <w:color w:val="auto"/>
                <w:sz w:val="21"/>
                <w:highlight w:val="none"/>
              </w:rPr>
            </w:pPr>
          </w:p>
        </w:tc>
        <w:tc>
          <w:tcPr>
            <w:tcW w:w="1382" w:type="dxa"/>
            <w:vAlign w:val="top"/>
          </w:tcPr>
          <w:p w14:paraId="7F96400B">
            <w:pPr>
              <w:rPr>
                <w:rFonts w:ascii="Arial"/>
                <w:color w:val="auto"/>
                <w:sz w:val="21"/>
                <w:highlight w:val="none"/>
              </w:rPr>
            </w:pPr>
          </w:p>
        </w:tc>
        <w:tc>
          <w:tcPr>
            <w:tcW w:w="1382" w:type="dxa"/>
            <w:vAlign w:val="top"/>
          </w:tcPr>
          <w:p w14:paraId="3EDF293D">
            <w:pPr>
              <w:rPr>
                <w:rFonts w:ascii="Arial"/>
                <w:color w:val="auto"/>
                <w:sz w:val="21"/>
                <w:highlight w:val="none"/>
              </w:rPr>
            </w:pPr>
          </w:p>
        </w:tc>
        <w:tc>
          <w:tcPr>
            <w:tcW w:w="1382" w:type="dxa"/>
            <w:vAlign w:val="top"/>
          </w:tcPr>
          <w:p w14:paraId="74BF9832">
            <w:pPr>
              <w:rPr>
                <w:rFonts w:ascii="Arial"/>
                <w:color w:val="auto"/>
                <w:sz w:val="21"/>
                <w:highlight w:val="none"/>
              </w:rPr>
            </w:pPr>
          </w:p>
        </w:tc>
        <w:tc>
          <w:tcPr>
            <w:tcW w:w="1391" w:type="dxa"/>
            <w:vAlign w:val="top"/>
          </w:tcPr>
          <w:p w14:paraId="5D47C332">
            <w:pPr>
              <w:rPr>
                <w:rFonts w:ascii="Arial"/>
                <w:color w:val="auto"/>
                <w:sz w:val="21"/>
                <w:highlight w:val="none"/>
              </w:rPr>
            </w:pPr>
          </w:p>
        </w:tc>
      </w:tr>
      <w:tr w14:paraId="45BC1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DF43E0D">
            <w:pPr>
              <w:rPr>
                <w:rFonts w:ascii="Arial"/>
                <w:color w:val="auto"/>
                <w:sz w:val="21"/>
                <w:highlight w:val="none"/>
              </w:rPr>
            </w:pPr>
          </w:p>
        </w:tc>
        <w:tc>
          <w:tcPr>
            <w:tcW w:w="1387" w:type="dxa"/>
            <w:vAlign w:val="top"/>
          </w:tcPr>
          <w:p w14:paraId="1C192F40">
            <w:pPr>
              <w:rPr>
                <w:rFonts w:ascii="Arial"/>
                <w:color w:val="auto"/>
                <w:sz w:val="21"/>
                <w:highlight w:val="none"/>
              </w:rPr>
            </w:pPr>
          </w:p>
        </w:tc>
        <w:tc>
          <w:tcPr>
            <w:tcW w:w="1382" w:type="dxa"/>
            <w:vAlign w:val="top"/>
          </w:tcPr>
          <w:p w14:paraId="6F44C430">
            <w:pPr>
              <w:rPr>
                <w:rFonts w:ascii="Arial"/>
                <w:color w:val="auto"/>
                <w:sz w:val="21"/>
                <w:highlight w:val="none"/>
              </w:rPr>
            </w:pPr>
          </w:p>
        </w:tc>
        <w:tc>
          <w:tcPr>
            <w:tcW w:w="1382" w:type="dxa"/>
            <w:vAlign w:val="top"/>
          </w:tcPr>
          <w:p w14:paraId="25136584">
            <w:pPr>
              <w:rPr>
                <w:rFonts w:ascii="Arial"/>
                <w:color w:val="auto"/>
                <w:sz w:val="21"/>
                <w:highlight w:val="none"/>
              </w:rPr>
            </w:pPr>
          </w:p>
        </w:tc>
        <w:tc>
          <w:tcPr>
            <w:tcW w:w="1382" w:type="dxa"/>
            <w:vAlign w:val="top"/>
          </w:tcPr>
          <w:p w14:paraId="7FD3D0C9">
            <w:pPr>
              <w:rPr>
                <w:rFonts w:ascii="Arial"/>
                <w:color w:val="auto"/>
                <w:sz w:val="21"/>
                <w:highlight w:val="none"/>
              </w:rPr>
            </w:pPr>
          </w:p>
        </w:tc>
        <w:tc>
          <w:tcPr>
            <w:tcW w:w="1391" w:type="dxa"/>
            <w:vAlign w:val="top"/>
          </w:tcPr>
          <w:p w14:paraId="1DEFD24A">
            <w:pPr>
              <w:rPr>
                <w:rFonts w:ascii="Arial"/>
                <w:color w:val="auto"/>
                <w:sz w:val="21"/>
                <w:highlight w:val="none"/>
              </w:rPr>
            </w:pPr>
          </w:p>
        </w:tc>
      </w:tr>
      <w:tr w14:paraId="29B3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1654EF78">
            <w:pPr>
              <w:rPr>
                <w:rFonts w:ascii="Arial"/>
                <w:color w:val="auto"/>
                <w:sz w:val="21"/>
                <w:highlight w:val="none"/>
              </w:rPr>
            </w:pPr>
          </w:p>
        </w:tc>
        <w:tc>
          <w:tcPr>
            <w:tcW w:w="1387" w:type="dxa"/>
            <w:vAlign w:val="top"/>
          </w:tcPr>
          <w:p w14:paraId="510D1960">
            <w:pPr>
              <w:rPr>
                <w:rFonts w:ascii="Arial"/>
                <w:color w:val="auto"/>
                <w:sz w:val="21"/>
                <w:highlight w:val="none"/>
              </w:rPr>
            </w:pPr>
          </w:p>
        </w:tc>
        <w:tc>
          <w:tcPr>
            <w:tcW w:w="1382" w:type="dxa"/>
            <w:vAlign w:val="top"/>
          </w:tcPr>
          <w:p w14:paraId="041CB308">
            <w:pPr>
              <w:rPr>
                <w:rFonts w:ascii="Arial"/>
                <w:color w:val="auto"/>
                <w:sz w:val="21"/>
                <w:highlight w:val="none"/>
              </w:rPr>
            </w:pPr>
          </w:p>
        </w:tc>
        <w:tc>
          <w:tcPr>
            <w:tcW w:w="1382" w:type="dxa"/>
            <w:vAlign w:val="top"/>
          </w:tcPr>
          <w:p w14:paraId="029D70A7">
            <w:pPr>
              <w:rPr>
                <w:rFonts w:ascii="Arial"/>
                <w:color w:val="auto"/>
                <w:sz w:val="21"/>
                <w:highlight w:val="none"/>
              </w:rPr>
            </w:pPr>
          </w:p>
        </w:tc>
        <w:tc>
          <w:tcPr>
            <w:tcW w:w="1382" w:type="dxa"/>
            <w:vAlign w:val="top"/>
          </w:tcPr>
          <w:p w14:paraId="1A996869">
            <w:pPr>
              <w:rPr>
                <w:rFonts w:ascii="Arial"/>
                <w:color w:val="auto"/>
                <w:sz w:val="21"/>
                <w:highlight w:val="none"/>
              </w:rPr>
            </w:pPr>
          </w:p>
        </w:tc>
        <w:tc>
          <w:tcPr>
            <w:tcW w:w="1391" w:type="dxa"/>
            <w:vAlign w:val="top"/>
          </w:tcPr>
          <w:p w14:paraId="75B4FFB9">
            <w:pPr>
              <w:rPr>
                <w:rFonts w:ascii="Arial"/>
                <w:color w:val="auto"/>
                <w:sz w:val="21"/>
                <w:highlight w:val="none"/>
              </w:rPr>
            </w:pPr>
          </w:p>
        </w:tc>
      </w:tr>
    </w:tbl>
    <w:p w14:paraId="3C38854E">
      <w:pPr>
        <w:pStyle w:val="5"/>
        <w:rPr>
          <w:color w:val="auto"/>
          <w:highlight w:val="none"/>
        </w:rPr>
      </w:pPr>
    </w:p>
    <w:p w14:paraId="702A5CE0">
      <w:pPr>
        <w:rPr>
          <w:color w:val="auto"/>
          <w:highlight w:val="none"/>
        </w:rPr>
        <w:sectPr>
          <w:footerReference r:id="rId145" w:type="default"/>
          <w:pgSz w:w="11905" w:h="16839"/>
          <w:pgMar w:top="400" w:right="1785" w:bottom="1004" w:left="1785" w:header="0" w:footer="828" w:gutter="0"/>
          <w:pgNumType w:fmt="decimal"/>
          <w:cols w:space="720" w:num="1"/>
        </w:sectPr>
      </w:pPr>
    </w:p>
    <w:p w14:paraId="38CAC314">
      <w:pPr>
        <w:pStyle w:val="5"/>
        <w:spacing w:line="266" w:lineRule="auto"/>
        <w:rPr>
          <w:color w:val="auto"/>
          <w:highlight w:val="none"/>
        </w:rPr>
      </w:pPr>
    </w:p>
    <w:p w14:paraId="3BD3ED8C">
      <w:pPr>
        <w:pStyle w:val="5"/>
        <w:spacing w:line="266" w:lineRule="auto"/>
        <w:rPr>
          <w:color w:val="auto"/>
          <w:highlight w:val="none"/>
        </w:rPr>
      </w:pPr>
    </w:p>
    <w:p w14:paraId="1CC76494">
      <w:pPr>
        <w:pStyle w:val="5"/>
        <w:spacing w:line="266" w:lineRule="auto"/>
        <w:rPr>
          <w:color w:val="auto"/>
          <w:highlight w:val="none"/>
        </w:rPr>
      </w:pPr>
    </w:p>
    <w:p w14:paraId="17D8B2E7">
      <w:pPr>
        <w:pStyle w:val="5"/>
        <w:spacing w:line="267" w:lineRule="auto"/>
        <w:rPr>
          <w:color w:val="auto"/>
          <w:highlight w:val="none"/>
        </w:rPr>
      </w:pPr>
    </w:p>
    <w:p w14:paraId="41224E80">
      <w:pPr>
        <w:spacing w:before="78" w:line="220"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16"/>
          <w:sz w:val="24"/>
          <w:szCs w:val="24"/>
          <w:highlight w:val="none"/>
        </w:rPr>
        <w:t>2</w:t>
      </w:r>
      <w:r>
        <w:rPr>
          <w:rFonts w:ascii="Times New Roman" w:hAnsi="Times New Roman" w:eastAsia="Times New Roman" w:cs="Times New Roman"/>
          <w:color w:val="auto"/>
          <w:spacing w:val="-25"/>
          <w:sz w:val="24"/>
          <w:szCs w:val="24"/>
          <w:highlight w:val="none"/>
        </w:rPr>
        <w:t xml:space="preserve"> </w:t>
      </w:r>
      <w:r>
        <w:rPr>
          <w:rFonts w:ascii="黑体" w:hAnsi="黑体" w:eastAsia="黑体" w:cs="黑体"/>
          <w:color w:val="auto"/>
          <w:spacing w:val="-16"/>
          <w:sz w:val="24"/>
          <w:szCs w:val="24"/>
          <w:highlight w:val="none"/>
        </w:rPr>
        <w:t>．</w:t>
      </w:r>
      <w:r>
        <w:rPr>
          <w:rFonts w:ascii="黑体" w:hAnsi="黑体" w:eastAsia="黑体" w:cs="黑体"/>
          <w:color w:val="auto"/>
          <w:spacing w:val="-97"/>
          <w:sz w:val="24"/>
          <w:szCs w:val="24"/>
          <w:highlight w:val="none"/>
        </w:rPr>
        <w:t xml:space="preserve"> </w:t>
      </w:r>
      <w:r>
        <w:rPr>
          <w:rFonts w:ascii="黑体" w:hAnsi="黑体" w:eastAsia="黑体" w:cs="黑体"/>
          <w:color w:val="auto"/>
          <w:spacing w:val="-16"/>
          <w:sz w:val="24"/>
          <w:szCs w:val="24"/>
          <w:highlight w:val="none"/>
        </w:rPr>
        <w:t>图</w:t>
      </w:r>
      <w:r>
        <w:rPr>
          <w:rFonts w:ascii="黑体" w:hAnsi="黑体" w:eastAsia="黑体" w:cs="黑体"/>
          <w:color w:val="auto"/>
          <w:spacing w:val="18"/>
          <w:sz w:val="24"/>
          <w:szCs w:val="24"/>
          <w:highlight w:val="none"/>
        </w:rPr>
        <w:t xml:space="preserve"> </w:t>
      </w:r>
      <w:r>
        <w:rPr>
          <w:rFonts w:ascii="黑体" w:hAnsi="黑体" w:eastAsia="黑体" w:cs="黑体"/>
          <w:color w:val="auto"/>
          <w:spacing w:val="-16"/>
          <w:sz w:val="24"/>
          <w:szCs w:val="24"/>
          <w:highlight w:val="none"/>
        </w:rPr>
        <w:t>纸</w:t>
      </w:r>
    </w:p>
    <w:p w14:paraId="0ADAA315">
      <w:pPr>
        <w:spacing w:line="220" w:lineRule="auto"/>
        <w:rPr>
          <w:rFonts w:ascii="黑体" w:hAnsi="黑体" w:eastAsia="黑体" w:cs="黑体"/>
          <w:color w:val="auto"/>
          <w:sz w:val="24"/>
          <w:szCs w:val="24"/>
          <w:highlight w:val="none"/>
        </w:rPr>
        <w:sectPr>
          <w:footerReference r:id="rId146" w:type="default"/>
          <w:pgSz w:w="11905" w:h="16839"/>
          <w:pgMar w:top="400" w:right="1785" w:bottom="1004" w:left="1785" w:header="0" w:footer="829" w:gutter="0"/>
          <w:pgNumType w:fmt="decimal"/>
          <w:cols w:space="720" w:num="1"/>
        </w:sectPr>
      </w:pPr>
    </w:p>
    <w:p w14:paraId="05B9351B">
      <w:pPr>
        <w:pStyle w:val="5"/>
        <w:spacing w:line="252" w:lineRule="auto"/>
        <w:rPr>
          <w:color w:val="auto"/>
          <w:highlight w:val="none"/>
        </w:rPr>
      </w:pPr>
    </w:p>
    <w:p w14:paraId="06E53D1B">
      <w:pPr>
        <w:pStyle w:val="5"/>
        <w:spacing w:line="253" w:lineRule="auto"/>
        <w:rPr>
          <w:color w:val="auto"/>
          <w:highlight w:val="none"/>
        </w:rPr>
      </w:pPr>
    </w:p>
    <w:p w14:paraId="79D45AAB">
      <w:pPr>
        <w:pStyle w:val="5"/>
        <w:spacing w:line="253" w:lineRule="auto"/>
        <w:rPr>
          <w:color w:val="auto"/>
          <w:highlight w:val="none"/>
        </w:rPr>
      </w:pPr>
    </w:p>
    <w:p w14:paraId="78C88C6D">
      <w:pPr>
        <w:pStyle w:val="5"/>
        <w:spacing w:line="253" w:lineRule="auto"/>
        <w:rPr>
          <w:color w:val="auto"/>
          <w:highlight w:val="none"/>
        </w:rPr>
      </w:pPr>
    </w:p>
    <w:p w14:paraId="03FBB313">
      <w:pPr>
        <w:pStyle w:val="5"/>
        <w:spacing w:line="253" w:lineRule="auto"/>
        <w:rPr>
          <w:color w:val="auto"/>
          <w:highlight w:val="none"/>
        </w:rPr>
      </w:pPr>
    </w:p>
    <w:p w14:paraId="13B9CC8B">
      <w:pPr>
        <w:pStyle w:val="5"/>
        <w:spacing w:line="253" w:lineRule="auto"/>
        <w:rPr>
          <w:color w:val="auto"/>
          <w:highlight w:val="none"/>
        </w:rPr>
      </w:pPr>
    </w:p>
    <w:p w14:paraId="489D3C3A">
      <w:pPr>
        <w:pStyle w:val="5"/>
        <w:spacing w:line="253" w:lineRule="auto"/>
        <w:rPr>
          <w:color w:val="auto"/>
          <w:highlight w:val="none"/>
        </w:rPr>
      </w:pPr>
    </w:p>
    <w:p w14:paraId="0B168376">
      <w:pPr>
        <w:pStyle w:val="5"/>
        <w:spacing w:line="253" w:lineRule="auto"/>
        <w:rPr>
          <w:color w:val="auto"/>
          <w:highlight w:val="none"/>
        </w:rPr>
      </w:pPr>
    </w:p>
    <w:p w14:paraId="0E396064">
      <w:pPr>
        <w:pStyle w:val="5"/>
        <w:spacing w:line="253" w:lineRule="auto"/>
        <w:rPr>
          <w:color w:val="auto"/>
          <w:highlight w:val="none"/>
        </w:rPr>
      </w:pPr>
    </w:p>
    <w:p w14:paraId="79AA8BE6">
      <w:pPr>
        <w:pStyle w:val="5"/>
        <w:spacing w:line="253" w:lineRule="auto"/>
        <w:rPr>
          <w:color w:val="auto"/>
          <w:highlight w:val="none"/>
        </w:rPr>
      </w:pPr>
    </w:p>
    <w:p w14:paraId="10F4CAB2">
      <w:pPr>
        <w:pStyle w:val="5"/>
        <w:spacing w:line="253" w:lineRule="auto"/>
        <w:rPr>
          <w:color w:val="auto"/>
          <w:highlight w:val="none"/>
        </w:rPr>
      </w:pPr>
    </w:p>
    <w:p w14:paraId="468CFA54">
      <w:pPr>
        <w:pStyle w:val="5"/>
        <w:spacing w:line="253" w:lineRule="auto"/>
        <w:rPr>
          <w:color w:val="auto"/>
          <w:highlight w:val="none"/>
        </w:rPr>
      </w:pPr>
    </w:p>
    <w:p w14:paraId="68A3D6F5">
      <w:pPr>
        <w:pStyle w:val="5"/>
        <w:spacing w:line="253" w:lineRule="auto"/>
        <w:rPr>
          <w:color w:val="auto"/>
          <w:highlight w:val="none"/>
        </w:rPr>
      </w:pPr>
    </w:p>
    <w:p w14:paraId="6BE4BF5B">
      <w:pPr>
        <w:pStyle w:val="5"/>
        <w:spacing w:line="253" w:lineRule="auto"/>
        <w:rPr>
          <w:color w:val="auto"/>
          <w:highlight w:val="none"/>
        </w:rPr>
      </w:pPr>
    </w:p>
    <w:p w14:paraId="6966DC59">
      <w:pPr>
        <w:pStyle w:val="5"/>
        <w:spacing w:line="253" w:lineRule="auto"/>
        <w:rPr>
          <w:color w:val="auto"/>
          <w:highlight w:val="none"/>
        </w:rPr>
      </w:pPr>
    </w:p>
    <w:p w14:paraId="5970F6E0">
      <w:pPr>
        <w:pStyle w:val="5"/>
        <w:spacing w:line="253" w:lineRule="auto"/>
        <w:rPr>
          <w:color w:val="auto"/>
          <w:highlight w:val="none"/>
        </w:rPr>
      </w:pPr>
    </w:p>
    <w:p w14:paraId="493C50D3">
      <w:pPr>
        <w:pStyle w:val="5"/>
        <w:spacing w:line="253" w:lineRule="auto"/>
        <w:rPr>
          <w:color w:val="auto"/>
          <w:highlight w:val="none"/>
        </w:rPr>
      </w:pPr>
    </w:p>
    <w:p w14:paraId="776E7184">
      <w:pPr>
        <w:pStyle w:val="5"/>
        <w:spacing w:line="253" w:lineRule="auto"/>
        <w:rPr>
          <w:color w:val="auto"/>
          <w:highlight w:val="none"/>
        </w:rPr>
      </w:pPr>
    </w:p>
    <w:p w14:paraId="52025376">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第三卷</w:t>
      </w:r>
    </w:p>
    <w:p w14:paraId="3F1DD43D">
      <w:pPr>
        <w:spacing w:line="219" w:lineRule="auto"/>
        <w:rPr>
          <w:rFonts w:ascii="黑体" w:hAnsi="黑体" w:eastAsia="黑体" w:cs="黑体"/>
          <w:color w:val="auto"/>
          <w:sz w:val="48"/>
          <w:szCs w:val="48"/>
          <w:highlight w:val="none"/>
        </w:rPr>
        <w:sectPr>
          <w:footerReference r:id="rId147" w:type="default"/>
          <w:pgSz w:w="11905" w:h="16839"/>
          <w:pgMar w:top="400" w:right="1785" w:bottom="1004" w:left="1785" w:header="0" w:footer="829" w:gutter="0"/>
          <w:pgNumType w:fmt="decimal"/>
          <w:cols w:space="720" w:num="1"/>
        </w:sectPr>
      </w:pPr>
    </w:p>
    <w:p w14:paraId="3B72FC8C">
      <w:pPr>
        <w:pStyle w:val="5"/>
        <w:spacing w:line="246" w:lineRule="auto"/>
        <w:rPr>
          <w:color w:val="auto"/>
          <w:highlight w:val="none"/>
        </w:rPr>
      </w:pPr>
    </w:p>
    <w:p w14:paraId="0738F5FA">
      <w:pPr>
        <w:pStyle w:val="5"/>
        <w:spacing w:line="246" w:lineRule="auto"/>
        <w:rPr>
          <w:color w:val="auto"/>
          <w:highlight w:val="none"/>
        </w:rPr>
      </w:pPr>
    </w:p>
    <w:p w14:paraId="57EFD5CC">
      <w:pPr>
        <w:pStyle w:val="5"/>
        <w:spacing w:line="246" w:lineRule="auto"/>
        <w:rPr>
          <w:color w:val="auto"/>
          <w:highlight w:val="none"/>
        </w:rPr>
      </w:pPr>
    </w:p>
    <w:p w14:paraId="7CCA5627">
      <w:pPr>
        <w:pStyle w:val="5"/>
        <w:spacing w:line="246" w:lineRule="auto"/>
        <w:rPr>
          <w:color w:val="auto"/>
          <w:highlight w:val="none"/>
        </w:rPr>
      </w:pPr>
    </w:p>
    <w:p w14:paraId="0D21F610">
      <w:pPr>
        <w:pStyle w:val="5"/>
        <w:spacing w:line="246" w:lineRule="auto"/>
        <w:rPr>
          <w:color w:val="auto"/>
          <w:highlight w:val="none"/>
        </w:rPr>
      </w:pPr>
    </w:p>
    <w:p w14:paraId="4ECCADD7">
      <w:pPr>
        <w:pStyle w:val="5"/>
        <w:spacing w:line="246" w:lineRule="auto"/>
        <w:rPr>
          <w:color w:val="auto"/>
          <w:highlight w:val="none"/>
        </w:rPr>
      </w:pPr>
    </w:p>
    <w:p w14:paraId="367A87DB">
      <w:pPr>
        <w:pStyle w:val="5"/>
        <w:spacing w:line="246" w:lineRule="auto"/>
        <w:rPr>
          <w:color w:val="auto"/>
          <w:highlight w:val="none"/>
        </w:rPr>
      </w:pPr>
    </w:p>
    <w:p w14:paraId="23291477">
      <w:pPr>
        <w:pStyle w:val="5"/>
        <w:spacing w:line="246" w:lineRule="auto"/>
        <w:rPr>
          <w:color w:val="auto"/>
          <w:highlight w:val="none"/>
        </w:rPr>
      </w:pPr>
    </w:p>
    <w:p w14:paraId="683EDF22">
      <w:pPr>
        <w:pStyle w:val="5"/>
        <w:spacing w:line="246" w:lineRule="auto"/>
        <w:rPr>
          <w:color w:val="auto"/>
          <w:highlight w:val="none"/>
        </w:rPr>
      </w:pPr>
    </w:p>
    <w:p w14:paraId="00E17D17">
      <w:pPr>
        <w:pStyle w:val="5"/>
        <w:spacing w:line="246" w:lineRule="auto"/>
        <w:rPr>
          <w:color w:val="auto"/>
          <w:highlight w:val="none"/>
        </w:rPr>
      </w:pPr>
    </w:p>
    <w:p w14:paraId="36371614">
      <w:pPr>
        <w:pStyle w:val="5"/>
        <w:spacing w:line="246" w:lineRule="auto"/>
        <w:rPr>
          <w:color w:val="auto"/>
          <w:highlight w:val="none"/>
        </w:rPr>
      </w:pPr>
    </w:p>
    <w:p w14:paraId="2B30D6F4">
      <w:pPr>
        <w:pStyle w:val="5"/>
        <w:spacing w:line="246" w:lineRule="auto"/>
        <w:rPr>
          <w:color w:val="auto"/>
          <w:highlight w:val="none"/>
        </w:rPr>
      </w:pPr>
    </w:p>
    <w:p w14:paraId="3F98B5ED">
      <w:pPr>
        <w:pStyle w:val="5"/>
        <w:spacing w:line="247" w:lineRule="auto"/>
        <w:rPr>
          <w:color w:val="auto"/>
          <w:highlight w:val="none"/>
        </w:rPr>
      </w:pPr>
    </w:p>
    <w:p w14:paraId="7B205B0D">
      <w:pPr>
        <w:pStyle w:val="5"/>
        <w:spacing w:line="247" w:lineRule="auto"/>
        <w:rPr>
          <w:color w:val="auto"/>
          <w:highlight w:val="none"/>
        </w:rPr>
      </w:pPr>
    </w:p>
    <w:p w14:paraId="232293DC">
      <w:pPr>
        <w:pStyle w:val="5"/>
        <w:spacing w:line="247" w:lineRule="auto"/>
        <w:rPr>
          <w:color w:val="auto"/>
          <w:highlight w:val="none"/>
        </w:rPr>
      </w:pPr>
    </w:p>
    <w:p w14:paraId="30B2B371">
      <w:pPr>
        <w:pStyle w:val="5"/>
        <w:spacing w:line="247" w:lineRule="auto"/>
        <w:rPr>
          <w:color w:val="auto"/>
          <w:highlight w:val="none"/>
        </w:rPr>
      </w:pPr>
    </w:p>
    <w:p w14:paraId="0E48ED74">
      <w:pPr>
        <w:pStyle w:val="5"/>
        <w:spacing w:line="247" w:lineRule="auto"/>
        <w:rPr>
          <w:color w:val="auto"/>
          <w:highlight w:val="none"/>
        </w:rPr>
      </w:pPr>
    </w:p>
    <w:p w14:paraId="474FA40A">
      <w:pPr>
        <w:pStyle w:val="5"/>
        <w:spacing w:line="247" w:lineRule="auto"/>
        <w:rPr>
          <w:color w:val="auto"/>
          <w:highlight w:val="none"/>
        </w:rPr>
      </w:pPr>
    </w:p>
    <w:p w14:paraId="0460B10C">
      <w:pPr>
        <w:spacing w:before="104" w:line="220" w:lineRule="auto"/>
        <w:ind w:left="2418"/>
        <w:outlineLvl w:val="0"/>
        <w:rPr>
          <w:rFonts w:ascii="黑体" w:hAnsi="黑体" w:eastAsia="黑体" w:cs="黑体"/>
          <w:color w:val="auto"/>
          <w:sz w:val="32"/>
          <w:szCs w:val="32"/>
          <w:highlight w:val="none"/>
        </w:rPr>
      </w:pPr>
      <w:bookmarkStart w:id="1735" w:name="_Toc26655"/>
      <w:bookmarkStart w:id="1736" w:name="_Toc31752"/>
      <w:bookmarkStart w:id="1737" w:name="_Toc12547"/>
      <w:bookmarkStart w:id="1738" w:name="_Toc22169"/>
      <w:r>
        <w:rPr>
          <w:rFonts w:ascii="黑体" w:hAnsi="黑体" w:eastAsia="黑体" w:cs="黑体"/>
          <w:color w:val="auto"/>
          <w:spacing w:val="-1"/>
          <w:sz w:val="32"/>
          <w:szCs w:val="32"/>
          <w:highlight w:val="none"/>
        </w:rPr>
        <w:t>第七章  技术标准和要求</w:t>
      </w:r>
      <w:bookmarkEnd w:id="1735"/>
      <w:bookmarkEnd w:id="1736"/>
      <w:bookmarkEnd w:id="1737"/>
      <w:bookmarkEnd w:id="1738"/>
    </w:p>
    <w:p w14:paraId="469C72A7">
      <w:pPr>
        <w:spacing w:line="220" w:lineRule="auto"/>
        <w:rPr>
          <w:rFonts w:ascii="黑体" w:hAnsi="黑体" w:eastAsia="黑体" w:cs="黑体"/>
          <w:color w:val="auto"/>
          <w:sz w:val="32"/>
          <w:szCs w:val="32"/>
          <w:highlight w:val="none"/>
        </w:rPr>
        <w:sectPr>
          <w:footerReference r:id="rId148" w:type="default"/>
          <w:pgSz w:w="11905" w:h="16839"/>
          <w:pgMar w:top="400" w:right="1785" w:bottom="1004" w:left="1785" w:header="0" w:footer="828" w:gutter="0"/>
          <w:pgNumType w:fmt="decimal"/>
          <w:cols w:space="720" w:num="1"/>
        </w:sectPr>
      </w:pPr>
    </w:p>
    <w:p w14:paraId="014F827D">
      <w:pPr>
        <w:pStyle w:val="5"/>
        <w:spacing w:line="247" w:lineRule="auto"/>
        <w:rPr>
          <w:color w:val="auto"/>
          <w:highlight w:val="none"/>
        </w:rPr>
      </w:pPr>
    </w:p>
    <w:p w14:paraId="1072B8EC">
      <w:pPr>
        <w:pStyle w:val="5"/>
        <w:spacing w:line="247" w:lineRule="auto"/>
        <w:rPr>
          <w:color w:val="auto"/>
          <w:highlight w:val="none"/>
        </w:rPr>
      </w:pPr>
    </w:p>
    <w:p w14:paraId="11642E41">
      <w:pPr>
        <w:pStyle w:val="5"/>
        <w:spacing w:line="247" w:lineRule="auto"/>
        <w:rPr>
          <w:color w:val="auto"/>
          <w:highlight w:val="none"/>
        </w:rPr>
      </w:pPr>
    </w:p>
    <w:p w14:paraId="3B4E05F2">
      <w:pPr>
        <w:pStyle w:val="5"/>
        <w:spacing w:line="248" w:lineRule="auto"/>
        <w:rPr>
          <w:color w:val="auto"/>
          <w:highlight w:val="none"/>
        </w:rPr>
      </w:pPr>
    </w:p>
    <w:p w14:paraId="773C60D4">
      <w:pPr>
        <w:spacing w:before="88" w:line="225" w:lineRule="auto"/>
        <w:ind w:left="2638"/>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第七章  技术标准和要求</w:t>
      </w:r>
    </w:p>
    <w:p w14:paraId="7F3F98D7">
      <w:pPr>
        <w:spacing w:line="219" w:lineRule="auto"/>
        <w:rPr>
          <w:rFonts w:ascii="宋体" w:hAnsi="宋体" w:eastAsia="宋体" w:cs="宋体"/>
          <w:color w:val="auto"/>
          <w:sz w:val="21"/>
          <w:szCs w:val="21"/>
          <w:highlight w:val="none"/>
        </w:rPr>
      </w:pPr>
    </w:p>
    <w:p w14:paraId="6B57FA38">
      <w:pPr>
        <w:pStyle w:val="23"/>
        <w:spacing w:line="360" w:lineRule="auto"/>
        <w:rPr>
          <w:rStyle w:val="14"/>
          <w:rFonts w:hint="eastAsia" w:ascii="宋体" w:hAnsi="宋体" w:cs="宋体"/>
          <w:color w:val="auto"/>
          <w:sz w:val="24"/>
          <w:highlight w:val="none"/>
        </w:rPr>
      </w:pPr>
      <w:r>
        <w:rPr>
          <w:rStyle w:val="14"/>
          <w:rFonts w:hint="eastAsia" w:ascii="宋体" w:hAnsi="宋体" w:cs="宋体"/>
          <w:color w:val="auto"/>
          <w:sz w:val="24"/>
          <w:highlight w:val="none"/>
        </w:rPr>
        <w:t>1、工程说明</w:t>
      </w:r>
    </w:p>
    <w:p w14:paraId="33729DCA">
      <w:pPr>
        <w:pStyle w:val="23"/>
        <w:spacing w:line="360" w:lineRule="auto"/>
        <w:rPr>
          <w:rStyle w:val="14"/>
          <w:rFonts w:hint="eastAsia" w:ascii="宋体" w:hAnsi="宋体" w:eastAsia="宋体" w:cs="宋体"/>
          <w:color w:val="auto"/>
          <w:sz w:val="24"/>
          <w:highlight w:val="none"/>
          <w:lang w:eastAsia="zh-CN"/>
        </w:rPr>
      </w:pPr>
      <w:r>
        <w:rPr>
          <w:rStyle w:val="14"/>
          <w:rFonts w:hint="eastAsia" w:ascii="宋体" w:hAnsi="宋体" w:eastAsia="宋体" w:cs="宋体"/>
          <w:color w:val="auto"/>
          <w:sz w:val="24"/>
          <w:highlight w:val="none"/>
          <w:lang w:eastAsia="zh-CN"/>
        </w:rPr>
        <w:t>1.1 工程名称：</w:t>
      </w:r>
      <w:r>
        <w:rPr>
          <w:rStyle w:val="14"/>
          <w:rFonts w:hint="eastAsia" w:ascii="宋体" w:hAnsi="宋体" w:cs="宋体"/>
          <w:color w:val="auto"/>
          <w:sz w:val="24"/>
          <w:highlight w:val="none"/>
          <w:lang w:eastAsia="zh-CN"/>
        </w:rPr>
        <w:t>国网辽宁营口鲅鱼圈供电分公司运维检修用房项目</w:t>
      </w:r>
    </w:p>
    <w:p w14:paraId="37784EEB">
      <w:pPr>
        <w:pStyle w:val="23"/>
        <w:spacing w:line="360" w:lineRule="auto"/>
        <w:rPr>
          <w:rStyle w:val="14"/>
          <w:rFonts w:hint="default" w:ascii="宋体" w:hAnsi="宋体" w:eastAsia="宋体" w:cs="宋体"/>
          <w:color w:val="auto"/>
          <w:sz w:val="24"/>
          <w:highlight w:val="none"/>
          <w:lang w:val="en-US" w:eastAsia="zh-CN"/>
        </w:rPr>
      </w:pPr>
      <w:r>
        <w:rPr>
          <w:rStyle w:val="14"/>
          <w:rFonts w:hint="eastAsia" w:ascii="宋体" w:hAnsi="宋体" w:eastAsia="宋体" w:cs="宋体"/>
          <w:color w:val="auto"/>
          <w:sz w:val="24"/>
          <w:highlight w:val="none"/>
          <w:lang w:eastAsia="zh-CN"/>
        </w:rPr>
        <w:t>1.2 工程地点：</w:t>
      </w:r>
      <w:r>
        <w:rPr>
          <w:rStyle w:val="14"/>
          <w:rFonts w:hint="eastAsia" w:ascii="宋体" w:hAnsi="宋体" w:eastAsia="宋体" w:cs="宋体"/>
          <w:color w:val="auto"/>
          <w:sz w:val="24"/>
          <w:highlight w:val="none"/>
          <w:lang w:val="en-US" w:eastAsia="zh-CN"/>
        </w:rPr>
        <w:t>辽宁省营口市鲅鱼圈区青龙山大街与海韵路交汇处</w:t>
      </w:r>
    </w:p>
    <w:p w14:paraId="52200E4E">
      <w:pPr>
        <w:pStyle w:val="23"/>
        <w:spacing w:line="360" w:lineRule="auto"/>
        <w:rPr>
          <w:rStyle w:val="14"/>
          <w:rFonts w:hint="eastAsia" w:ascii="宋体" w:hAnsi="宋体" w:eastAsia="宋体" w:cs="宋体"/>
          <w:color w:val="auto"/>
          <w:sz w:val="24"/>
          <w:highlight w:val="none"/>
          <w:lang w:eastAsia="zh-CN"/>
        </w:rPr>
      </w:pPr>
      <w:r>
        <w:rPr>
          <w:rStyle w:val="14"/>
          <w:rFonts w:hint="eastAsia" w:ascii="宋体" w:hAnsi="宋体" w:eastAsia="宋体" w:cs="宋体"/>
          <w:color w:val="auto"/>
          <w:sz w:val="24"/>
          <w:highlight w:val="none"/>
          <w:lang w:eastAsia="zh-CN"/>
        </w:rPr>
        <w:t>1.3 工程概况：</w:t>
      </w:r>
    </w:p>
    <w:p w14:paraId="44285B75">
      <w:pPr>
        <w:pStyle w:val="23"/>
        <w:spacing w:line="360" w:lineRule="auto"/>
        <w:rPr>
          <w:rStyle w:val="14"/>
          <w:rFonts w:hint="eastAsia" w:ascii="宋体" w:hAnsi="宋体" w:cs="宋体"/>
          <w:color w:val="auto"/>
          <w:sz w:val="24"/>
          <w:highlight w:val="none"/>
          <w:lang w:eastAsia="zh-CN"/>
        </w:rPr>
      </w:pPr>
      <w:r>
        <w:rPr>
          <w:rStyle w:val="14"/>
          <w:rFonts w:hint="eastAsia" w:ascii="宋体" w:hAnsi="宋体" w:cs="宋体"/>
          <w:color w:val="auto"/>
          <w:sz w:val="24"/>
          <w:highlight w:val="none"/>
          <w:lang w:eastAsia="zh-CN"/>
        </w:rPr>
        <w:t>拟建国网辽宁营口鲅鱼圈供电分公司运维检修用房项目，利用现有存量土地位于鲅鱼圈供电分公司院内，建筑面积2513平方米，主要布置主要功能区为生产班组用房 、输电运维工器具、变电运维工器具、变电运维备品备件、输电运维备品备件库房等。</w:t>
      </w:r>
    </w:p>
    <w:p w14:paraId="75F22226">
      <w:pPr>
        <w:pStyle w:val="23"/>
        <w:spacing w:line="360" w:lineRule="auto"/>
        <w:rPr>
          <w:rStyle w:val="14"/>
          <w:rFonts w:hint="eastAsia" w:ascii="宋体" w:hAnsi="宋体" w:eastAsia="宋体" w:cs="宋体"/>
          <w:color w:val="auto"/>
          <w:sz w:val="24"/>
          <w:highlight w:val="none"/>
          <w:lang w:eastAsia="zh-CN"/>
        </w:rPr>
      </w:pPr>
      <w:r>
        <w:rPr>
          <w:rStyle w:val="14"/>
          <w:rFonts w:hint="eastAsia" w:ascii="宋体" w:hAnsi="宋体" w:eastAsia="宋体" w:cs="宋体"/>
          <w:color w:val="auto"/>
          <w:sz w:val="24"/>
          <w:highlight w:val="none"/>
          <w:lang w:eastAsia="zh-CN"/>
        </w:rPr>
        <w:t>2、招标范围</w:t>
      </w:r>
    </w:p>
    <w:p w14:paraId="03C0AE6C">
      <w:pPr>
        <w:pStyle w:val="23"/>
        <w:spacing w:line="360" w:lineRule="auto"/>
        <w:rPr>
          <w:rStyle w:val="14"/>
          <w:rFonts w:hint="eastAsia" w:ascii="宋体" w:hAnsi="宋体" w:cs="宋体"/>
          <w:color w:val="auto"/>
          <w:sz w:val="24"/>
          <w:highlight w:val="none"/>
        </w:rPr>
      </w:pPr>
      <w:r>
        <w:rPr>
          <w:rStyle w:val="14"/>
          <w:rFonts w:hint="eastAsia" w:ascii="宋体" w:hAnsi="宋体" w:cs="宋体"/>
          <w:color w:val="auto"/>
          <w:sz w:val="24"/>
          <w:highlight w:val="none"/>
        </w:rPr>
        <w:t>2.1 以下给出的工程承包范围和说明描述只是概括的，不应认为是全面的、无缺的，  承包人根据图纸去完全了解工程的实际范围。</w:t>
      </w:r>
    </w:p>
    <w:p w14:paraId="1F9AB94D">
      <w:pPr>
        <w:pStyle w:val="23"/>
        <w:spacing w:line="360" w:lineRule="auto"/>
        <w:rPr>
          <w:rStyle w:val="14"/>
          <w:rFonts w:hint="eastAsia" w:ascii="宋体" w:hAnsi="宋体" w:cs="宋体"/>
          <w:color w:val="auto"/>
          <w:sz w:val="24"/>
          <w:highlight w:val="none"/>
        </w:rPr>
      </w:pPr>
      <w:r>
        <w:rPr>
          <w:rStyle w:val="14"/>
          <w:rFonts w:hint="eastAsia" w:ascii="宋体" w:hAnsi="宋体" w:cs="宋体"/>
          <w:color w:val="auto"/>
          <w:sz w:val="24"/>
          <w:highlight w:val="none"/>
        </w:rPr>
        <w:t>2.2 承包人应详细阅读构成本工程合同文件及其它有关文件。尤其是已充分研究了招标文件、清单的内容。</w:t>
      </w:r>
    </w:p>
    <w:p w14:paraId="07BD86E2">
      <w:pPr>
        <w:pStyle w:val="23"/>
        <w:spacing w:line="360" w:lineRule="auto"/>
        <w:rPr>
          <w:rStyle w:val="14"/>
          <w:rFonts w:hint="eastAsia" w:ascii="宋体" w:hAnsi="宋体" w:cs="宋体"/>
          <w:color w:val="auto"/>
          <w:sz w:val="24"/>
          <w:highlight w:val="none"/>
        </w:rPr>
      </w:pPr>
      <w:r>
        <w:rPr>
          <w:rStyle w:val="14"/>
          <w:rFonts w:hint="eastAsia" w:ascii="宋体" w:hAnsi="宋体" w:cs="宋体"/>
          <w:color w:val="auto"/>
          <w:sz w:val="24"/>
          <w:highlight w:val="none"/>
        </w:rPr>
        <w:t>2.3 本工程承包方式：固定单价合同。</w:t>
      </w:r>
    </w:p>
    <w:p w14:paraId="4BBFB300">
      <w:pPr>
        <w:pStyle w:val="23"/>
        <w:spacing w:line="360" w:lineRule="auto"/>
        <w:rPr>
          <w:rStyle w:val="14"/>
          <w:rFonts w:hint="default" w:ascii="宋体" w:hAnsi="宋体" w:eastAsia="宋体" w:cs="宋体"/>
          <w:color w:val="auto"/>
          <w:sz w:val="24"/>
          <w:highlight w:val="none"/>
          <w:lang w:val="en-US" w:eastAsia="zh-CN"/>
        </w:rPr>
      </w:pPr>
      <w:r>
        <w:rPr>
          <w:rStyle w:val="14"/>
          <w:rFonts w:hint="eastAsia" w:ascii="宋体" w:hAnsi="宋体" w:cs="宋体"/>
          <w:color w:val="auto"/>
          <w:sz w:val="24"/>
          <w:highlight w:val="none"/>
        </w:rPr>
        <w:t>2.4 招标范围：</w:t>
      </w:r>
      <w:r>
        <w:rPr>
          <w:rStyle w:val="14"/>
          <w:rFonts w:hint="eastAsia" w:ascii="宋体" w:hAnsi="宋体" w:cs="宋体"/>
          <w:color w:val="auto"/>
          <w:sz w:val="24"/>
          <w:highlight w:val="none"/>
          <w:lang w:eastAsia="zh-CN"/>
        </w:rPr>
        <w:t>拟建国网辽宁营口鲅鱼圈供电分公司运维检修用房项目，利用现有存量土地位于鲅鱼圈供电分公司院内，建筑面积2513平方米，主要布置主要功能区为生产班组用房 、输电运维工器具、变电运维工器具、变电运维备品备件、输电运维备品备件库房等。</w:t>
      </w:r>
    </w:p>
    <w:p w14:paraId="20AD2E5C">
      <w:pPr>
        <w:pStyle w:val="23"/>
        <w:numPr>
          <w:ilvl w:val="0"/>
          <w:numId w:val="2"/>
        </w:numPr>
        <w:spacing w:line="360" w:lineRule="auto"/>
        <w:rPr>
          <w:rStyle w:val="14"/>
          <w:rFonts w:hint="eastAsia" w:ascii="宋体" w:hAnsi="宋体" w:cs="宋体"/>
          <w:color w:val="auto"/>
          <w:sz w:val="24"/>
          <w:highlight w:val="none"/>
          <w:lang w:val="en-US" w:eastAsia="zh-CN"/>
        </w:rPr>
      </w:pPr>
      <w:r>
        <w:rPr>
          <w:rStyle w:val="14"/>
          <w:rFonts w:hint="eastAsia" w:ascii="宋体" w:hAnsi="宋体" w:cs="宋体"/>
          <w:color w:val="auto"/>
          <w:sz w:val="24"/>
          <w:highlight w:val="none"/>
        </w:rPr>
        <w:t>工期：</w:t>
      </w:r>
      <w:r>
        <w:rPr>
          <w:rStyle w:val="14"/>
          <w:rFonts w:hint="eastAsia" w:ascii="宋体" w:hAnsi="宋体" w:cs="宋体"/>
          <w:color w:val="auto"/>
          <w:sz w:val="24"/>
          <w:highlight w:val="none"/>
          <w:lang w:val="en-US" w:eastAsia="zh-CN"/>
        </w:rPr>
        <w:t>**日历天</w:t>
      </w:r>
    </w:p>
    <w:p w14:paraId="16E79148">
      <w:pPr>
        <w:pStyle w:val="23"/>
        <w:spacing w:line="360" w:lineRule="auto"/>
        <w:rPr>
          <w:rStyle w:val="14"/>
          <w:rFonts w:hint="default" w:ascii="宋体" w:hAnsi="宋体" w:eastAsia="宋体" w:cs="宋体"/>
          <w:color w:val="auto"/>
          <w:sz w:val="24"/>
          <w:highlight w:val="none"/>
          <w:lang w:val="en-US" w:eastAsia="zh-CN"/>
        </w:rPr>
      </w:pPr>
      <w:r>
        <w:rPr>
          <w:rStyle w:val="14"/>
          <w:rFonts w:hint="eastAsia" w:ascii="宋体" w:hAnsi="宋体" w:eastAsia="宋体" w:cs="宋体"/>
          <w:color w:val="auto"/>
          <w:sz w:val="24"/>
          <w:highlight w:val="none"/>
          <w:lang w:val="en-US" w:eastAsia="zh-CN"/>
        </w:rPr>
        <w:t>4、驻场要求：项目实施期间施工单位项目经理与项目班子成员应当按照合同约定驻场要求进行管理。</w:t>
      </w:r>
    </w:p>
    <w:p w14:paraId="79A8D171">
      <w:pPr>
        <w:pStyle w:val="23"/>
        <w:spacing w:line="360" w:lineRule="auto"/>
        <w:rPr>
          <w:rStyle w:val="14"/>
          <w:rFonts w:hint="eastAsia" w:ascii="宋体" w:hAnsi="宋体" w:cs="宋体"/>
          <w:color w:val="auto"/>
          <w:sz w:val="24"/>
          <w:highlight w:val="none"/>
        </w:rPr>
      </w:pPr>
      <w:r>
        <w:rPr>
          <w:rStyle w:val="14"/>
          <w:rFonts w:hint="eastAsia" w:ascii="宋体" w:hAnsi="宋体" w:cs="宋体"/>
          <w:color w:val="auto"/>
          <w:sz w:val="24"/>
          <w:highlight w:val="none"/>
          <w:lang w:val="en-US" w:eastAsia="zh-CN"/>
        </w:rPr>
        <w:t>5</w:t>
      </w:r>
      <w:r>
        <w:rPr>
          <w:rStyle w:val="14"/>
          <w:rFonts w:hint="eastAsia" w:ascii="宋体" w:hAnsi="宋体" w:cs="宋体"/>
          <w:color w:val="auto"/>
          <w:sz w:val="24"/>
          <w:highlight w:val="none"/>
        </w:rPr>
        <w:t>、特别说明</w:t>
      </w:r>
    </w:p>
    <w:p w14:paraId="772DBE19">
      <w:pPr>
        <w:pStyle w:val="23"/>
        <w:spacing w:line="360" w:lineRule="auto"/>
        <w:rPr>
          <w:rStyle w:val="14"/>
          <w:rFonts w:hint="eastAsia" w:ascii="宋体" w:hAnsi="宋体" w:cs="宋体"/>
          <w:color w:val="auto"/>
          <w:sz w:val="24"/>
          <w:highlight w:val="none"/>
        </w:rPr>
      </w:pPr>
      <w:r>
        <w:rPr>
          <w:rStyle w:val="14"/>
          <w:rFonts w:hint="eastAsia" w:ascii="宋体" w:hAnsi="宋体"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14:paraId="25E6F80B">
      <w:pPr>
        <w:spacing w:line="219" w:lineRule="auto"/>
        <w:rPr>
          <w:rFonts w:ascii="宋体" w:hAnsi="宋体" w:eastAsia="宋体" w:cs="宋体"/>
          <w:color w:val="auto"/>
          <w:sz w:val="21"/>
          <w:szCs w:val="21"/>
          <w:highlight w:val="none"/>
        </w:rPr>
        <w:sectPr>
          <w:headerReference r:id="rId149" w:type="default"/>
          <w:footerReference r:id="rId150" w:type="default"/>
          <w:pgSz w:w="11905" w:h="16839"/>
          <w:pgMar w:top="400" w:right="1785" w:bottom="1004" w:left="1785" w:header="0" w:footer="828" w:gutter="0"/>
          <w:pgNumType w:fmt="decimal"/>
          <w:cols w:space="720" w:num="1"/>
        </w:sectPr>
      </w:pPr>
    </w:p>
    <w:p w14:paraId="64F48A88">
      <w:pPr>
        <w:pStyle w:val="5"/>
        <w:spacing w:line="251" w:lineRule="auto"/>
        <w:rPr>
          <w:color w:val="auto"/>
          <w:highlight w:val="none"/>
        </w:rPr>
      </w:pPr>
    </w:p>
    <w:p w14:paraId="195E9839">
      <w:pPr>
        <w:pStyle w:val="5"/>
        <w:spacing w:line="251" w:lineRule="auto"/>
        <w:rPr>
          <w:color w:val="auto"/>
          <w:highlight w:val="none"/>
        </w:rPr>
      </w:pPr>
    </w:p>
    <w:p w14:paraId="21A3137A">
      <w:pPr>
        <w:pStyle w:val="5"/>
        <w:spacing w:line="251" w:lineRule="auto"/>
        <w:rPr>
          <w:color w:val="auto"/>
          <w:highlight w:val="none"/>
        </w:rPr>
      </w:pPr>
    </w:p>
    <w:p w14:paraId="583F7CE0">
      <w:pPr>
        <w:pStyle w:val="5"/>
        <w:spacing w:line="251" w:lineRule="auto"/>
        <w:rPr>
          <w:color w:val="auto"/>
          <w:highlight w:val="none"/>
        </w:rPr>
      </w:pPr>
    </w:p>
    <w:p w14:paraId="1C3698A9">
      <w:pPr>
        <w:pStyle w:val="5"/>
        <w:spacing w:line="252" w:lineRule="auto"/>
        <w:rPr>
          <w:color w:val="auto"/>
          <w:highlight w:val="none"/>
        </w:rPr>
      </w:pPr>
    </w:p>
    <w:p w14:paraId="4F7B39CF">
      <w:pPr>
        <w:pStyle w:val="5"/>
        <w:spacing w:line="252" w:lineRule="auto"/>
        <w:rPr>
          <w:color w:val="auto"/>
          <w:highlight w:val="none"/>
        </w:rPr>
      </w:pPr>
    </w:p>
    <w:p w14:paraId="2D292DFD">
      <w:pPr>
        <w:pStyle w:val="5"/>
        <w:spacing w:line="252" w:lineRule="auto"/>
        <w:rPr>
          <w:color w:val="auto"/>
          <w:highlight w:val="none"/>
        </w:rPr>
      </w:pPr>
    </w:p>
    <w:p w14:paraId="55949F42">
      <w:pPr>
        <w:pStyle w:val="5"/>
        <w:spacing w:line="252" w:lineRule="auto"/>
        <w:rPr>
          <w:color w:val="auto"/>
          <w:highlight w:val="none"/>
        </w:rPr>
      </w:pPr>
    </w:p>
    <w:p w14:paraId="50397B18">
      <w:pPr>
        <w:pStyle w:val="5"/>
        <w:spacing w:line="252" w:lineRule="auto"/>
        <w:rPr>
          <w:color w:val="auto"/>
          <w:highlight w:val="none"/>
        </w:rPr>
      </w:pPr>
    </w:p>
    <w:p w14:paraId="3CEFAE7E">
      <w:pPr>
        <w:pStyle w:val="5"/>
        <w:spacing w:line="252" w:lineRule="auto"/>
        <w:rPr>
          <w:color w:val="auto"/>
          <w:highlight w:val="none"/>
        </w:rPr>
      </w:pPr>
    </w:p>
    <w:p w14:paraId="2F8B31B3">
      <w:pPr>
        <w:pStyle w:val="5"/>
        <w:spacing w:line="252" w:lineRule="auto"/>
        <w:rPr>
          <w:color w:val="auto"/>
          <w:highlight w:val="none"/>
        </w:rPr>
      </w:pPr>
    </w:p>
    <w:p w14:paraId="2640A68B">
      <w:pPr>
        <w:pStyle w:val="5"/>
        <w:spacing w:line="252" w:lineRule="auto"/>
        <w:rPr>
          <w:color w:val="auto"/>
          <w:highlight w:val="none"/>
        </w:rPr>
      </w:pPr>
    </w:p>
    <w:p w14:paraId="783420D0">
      <w:pPr>
        <w:pStyle w:val="5"/>
        <w:spacing w:line="252" w:lineRule="auto"/>
        <w:rPr>
          <w:color w:val="auto"/>
          <w:highlight w:val="none"/>
        </w:rPr>
      </w:pPr>
    </w:p>
    <w:p w14:paraId="51714FF2">
      <w:pPr>
        <w:pStyle w:val="5"/>
        <w:spacing w:line="252" w:lineRule="auto"/>
        <w:rPr>
          <w:color w:val="auto"/>
          <w:highlight w:val="none"/>
        </w:rPr>
      </w:pPr>
    </w:p>
    <w:p w14:paraId="6534EC64">
      <w:pPr>
        <w:pStyle w:val="5"/>
        <w:spacing w:line="252" w:lineRule="auto"/>
        <w:rPr>
          <w:color w:val="auto"/>
          <w:highlight w:val="none"/>
        </w:rPr>
      </w:pPr>
    </w:p>
    <w:p w14:paraId="7B4D080F">
      <w:pPr>
        <w:pStyle w:val="5"/>
        <w:spacing w:line="252" w:lineRule="auto"/>
        <w:rPr>
          <w:color w:val="auto"/>
          <w:highlight w:val="none"/>
        </w:rPr>
      </w:pPr>
    </w:p>
    <w:p w14:paraId="067A4FFC">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第四卷</w:t>
      </w:r>
    </w:p>
    <w:p w14:paraId="46C0C089">
      <w:pPr>
        <w:spacing w:line="219" w:lineRule="auto"/>
        <w:rPr>
          <w:rFonts w:ascii="黑体" w:hAnsi="黑体" w:eastAsia="黑体" w:cs="黑体"/>
          <w:color w:val="auto"/>
          <w:sz w:val="48"/>
          <w:szCs w:val="48"/>
          <w:highlight w:val="none"/>
        </w:rPr>
        <w:sectPr>
          <w:footerReference r:id="rId151" w:type="default"/>
          <w:pgSz w:w="11905" w:h="16839"/>
          <w:pgMar w:top="400" w:right="1785" w:bottom="1004" w:left="1785" w:header="0" w:footer="828" w:gutter="0"/>
          <w:pgNumType w:fmt="decimal"/>
          <w:cols w:space="720" w:num="1"/>
        </w:sectPr>
      </w:pPr>
    </w:p>
    <w:p w14:paraId="77DD51AD">
      <w:pPr>
        <w:pStyle w:val="5"/>
        <w:spacing w:line="242" w:lineRule="auto"/>
        <w:rPr>
          <w:color w:val="auto"/>
          <w:highlight w:val="none"/>
        </w:rPr>
      </w:pPr>
    </w:p>
    <w:p w14:paraId="781ADE41">
      <w:pPr>
        <w:pStyle w:val="5"/>
        <w:spacing w:line="242" w:lineRule="auto"/>
        <w:rPr>
          <w:color w:val="auto"/>
          <w:highlight w:val="none"/>
        </w:rPr>
      </w:pPr>
    </w:p>
    <w:p w14:paraId="33E6E11F">
      <w:pPr>
        <w:pStyle w:val="5"/>
        <w:spacing w:line="242" w:lineRule="auto"/>
        <w:rPr>
          <w:color w:val="auto"/>
          <w:highlight w:val="none"/>
        </w:rPr>
      </w:pPr>
    </w:p>
    <w:p w14:paraId="52FD24E8">
      <w:pPr>
        <w:pStyle w:val="5"/>
        <w:spacing w:line="242" w:lineRule="auto"/>
        <w:rPr>
          <w:color w:val="auto"/>
          <w:highlight w:val="none"/>
        </w:rPr>
      </w:pPr>
    </w:p>
    <w:p w14:paraId="1CC09C91">
      <w:pPr>
        <w:pStyle w:val="5"/>
        <w:spacing w:line="242" w:lineRule="auto"/>
        <w:rPr>
          <w:color w:val="auto"/>
          <w:highlight w:val="none"/>
        </w:rPr>
      </w:pPr>
    </w:p>
    <w:p w14:paraId="395921B4">
      <w:pPr>
        <w:pStyle w:val="5"/>
        <w:spacing w:line="242" w:lineRule="auto"/>
        <w:rPr>
          <w:color w:val="auto"/>
          <w:highlight w:val="none"/>
        </w:rPr>
      </w:pPr>
    </w:p>
    <w:p w14:paraId="751D6AC4">
      <w:pPr>
        <w:pStyle w:val="5"/>
        <w:spacing w:line="243" w:lineRule="auto"/>
        <w:rPr>
          <w:color w:val="auto"/>
          <w:highlight w:val="none"/>
        </w:rPr>
      </w:pPr>
    </w:p>
    <w:p w14:paraId="77C5DDF7">
      <w:pPr>
        <w:pStyle w:val="5"/>
        <w:spacing w:line="243" w:lineRule="auto"/>
        <w:rPr>
          <w:color w:val="auto"/>
          <w:highlight w:val="none"/>
        </w:rPr>
      </w:pPr>
    </w:p>
    <w:p w14:paraId="51A9DBEC">
      <w:pPr>
        <w:pStyle w:val="5"/>
        <w:spacing w:line="243" w:lineRule="auto"/>
        <w:rPr>
          <w:color w:val="auto"/>
          <w:highlight w:val="none"/>
        </w:rPr>
      </w:pPr>
    </w:p>
    <w:p w14:paraId="5AD3BD60">
      <w:pPr>
        <w:pStyle w:val="5"/>
        <w:spacing w:line="243" w:lineRule="auto"/>
        <w:rPr>
          <w:color w:val="auto"/>
          <w:highlight w:val="none"/>
        </w:rPr>
      </w:pPr>
    </w:p>
    <w:p w14:paraId="7F27406C">
      <w:pPr>
        <w:pStyle w:val="5"/>
        <w:spacing w:line="243" w:lineRule="auto"/>
        <w:rPr>
          <w:color w:val="auto"/>
          <w:highlight w:val="none"/>
        </w:rPr>
      </w:pPr>
    </w:p>
    <w:p w14:paraId="3C1974A0">
      <w:pPr>
        <w:pStyle w:val="5"/>
        <w:spacing w:line="243" w:lineRule="auto"/>
        <w:rPr>
          <w:color w:val="auto"/>
          <w:highlight w:val="none"/>
        </w:rPr>
      </w:pPr>
    </w:p>
    <w:p w14:paraId="46B0CD95">
      <w:pPr>
        <w:pStyle w:val="5"/>
        <w:spacing w:line="243" w:lineRule="auto"/>
        <w:rPr>
          <w:color w:val="auto"/>
          <w:highlight w:val="none"/>
        </w:rPr>
      </w:pPr>
    </w:p>
    <w:p w14:paraId="3A21DE8E">
      <w:pPr>
        <w:pStyle w:val="5"/>
        <w:spacing w:line="243" w:lineRule="auto"/>
        <w:rPr>
          <w:color w:val="auto"/>
          <w:highlight w:val="none"/>
        </w:rPr>
      </w:pPr>
    </w:p>
    <w:p w14:paraId="26D9BF2E">
      <w:pPr>
        <w:pStyle w:val="5"/>
        <w:spacing w:line="243" w:lineRule="auto"/>
        <w:rPr>
          <w:color w:val="auto"/>
          <w:highlight w:val="none"/>
        </w:rPr>
      </w:pPr>
    </w:p>
    <w:p w14:paraId="7B82339B">
      <w:pPr>
        <w:pStyle w:val="5"/>
        <w:spacing w:line="243" w:lineRule="auto"/>
        <w:rPr>
          <w:color w:val="auto"/>
          <w:highlight w:val="none"/>
        </w:rPr>
      </w:pPr>
    </w:p>
    <w:p w14:paraId="404DA795">
      <w:pPr>
        <w:pStyle w:val="5"/>
        <w:spacing w:line="243" w:lineRule="auto"/>
        <w:rPr>
          <w:color w:val="auto"/>
          <w:highlight w:val="none"/>
        </w:rPr>
      </w:pPr>
    </w:p>
    <w:p w14:paraId="030745D3">
      <w:pPr>
        <w:pStyle w:val="5"/>
        <w:spacing w:line="243" w:lineRule="auto"/>
        <w:rPr>
          <w:color w:val="auto"/>
          <w:highlight w:val="none"/>
        </w:rPr>
      </w:pPr>
    </w:p>
    <w:p w14:paraId="4BBAAE8B">
      <w:pPr>
        <w:pStyle w:val="5"/>
        <w:spacing w:line="243" w:lineRule="auto"/>
        <w:rPr>
          <w:color w:val="auto"/>
          <w:highlight w:val="none"/>
        </w:rPr>
      </w:pPr>
    </w:p>
    <w:p w14:paraId="130F1605">
      <w:pPr>
        <w:pStyle w:val="5"/>
        <w:spacing w:line="243" w:lineRule="auto"/>
        <w:rPr>
          <w:color w:val="auto"/>
          <w:highlight w:val="none"/>
        </w:rPr>
      </w:pPr>
    </w:p>
    <w:p w14:paraId="2DD34378">
      <w:pPr>
        <w:spacing w:before="104" w:line="220" w:lineRule="auto"/>
        <w:ind w:left="2577"/>
        <w:outlineLvl w:val="0"/>
        <w:rPr>
          <w:rFonts w:ascii="黑体" w:hAnsi="黑体" w:eastAsia="黑体" w:cs="黑体"/>
          <w:color w:val="auto"/>
          <w:sz w:val="32"/>
          <w:szCs w:val="32"/>
          <w:highlight w:val="none"/>
        </w:rPr>
      </w:pPr>
      <w:bookmarkStart w:id="1739" w:name="_Toc16644"/>
      <w:bookmarkStart w:id="1740" w:name="_Toc25821"/>
      <w:bookmarkStart w:id="1741" w:name="_Toc15401"/>
      <w:bookmarkStart w:id="1742" w:name="_Toc14809"/>
      <w:r>
        <w:rPr>
          <w:rFonts w:ascii="黑体" w:hAnsi="黑体" w:eastAsia="黑体" w:cs="黑体"/>
          <w:color w:val="auto"/>
          <w:spacing w:val="-1"/>
          <w:sz w:val="32"/>
          <w:szCs w:val="32"/>
          <w:highlight w:val="none"/>
        </w:rPr>
        <w:t>第八章  投标文件格式</w:t>
      </w:r>
      <w:bookmarkEnd w:id="1739"/>
      <w:bookmarkEnd w:id="1740"/>
      <w:bookmarkEnd w:id="1741"/>
      <w:bookmarkEnd w:id="1742"/>
    </w:p>
    <w:p w14:paraId="74D222E4">
      <w:pPr>
        <w:spacing w:line="220" w:lineRule="auto"/>
        <w:rPr>
          <w:rFonts w:ascii="黑体" w:hAnsi="黑体" w:eastAsia="黑体" w:cs="黑体"/>
          <w:color w:val="auto"/>
          <w:sz w:val="32"/>
          <w:szCs w:val="32"/>
          <w:highlight w:val="none"/>
        </w:rPr>
        <w:sectPr>
          <w:footerReference r:id="rId152" w:type="default"/>
          <w:pgSz w:w="11905" w:h="16839"/>
          <w:pgMar w:top="400" w:right="1785" w:bottom="1004" w:left="1785" w:header="0" w:footer="828" w:gutter="0"/>
          <w:pgNumType w:fmt="decimal"/>
          <w:cols w:space="720" w:num="1"/>
        </w:sectPr>
      </w:pPr>
    </w:p>
    <w:p w14:paraId="207BDD60">
      <w:pPr>
        <w:pStyle w:val="5"/>
        <w:spacing w:line="263" w:lineRule="auto"/>
        <w:rPr>
          <w:color w:val="auto"/>
          <w:highlight w:val="none"/>
        </w:rPr>
      </w:pPr>
    </w:p>
    <w:p w14:paraId="50834384">
      <w:pPr>
        <w:pStyle w:val="5"/>
        <w:spacing w:line="263" w:lineRule="auto"/>
        <w:rPr>
          <w:color w:val="auto"/>
          <w:highlight w:val="none"/>
        </w:rPr>
      </w:pPr>
    </w:p>
    <w:p w14:paraId="499379CF">
      <w:pPr>
        <w:pStyle w:val="5"/>
        <w:spacing w:line="263" w:lineRule="auto"/>
        <w:rPr>
          <w:color w:val="auto"/>
          <w:highlight w:val="none"/>
        </w:rPr>
      </w:pPr>
    </w:p>
    <w:p w14:paraId="594E63E6">
      <w:pPr>
        <w:pStyle w:val="5"/>
        <w:spacing w:line="263" w:lineRule="auto"/>
        <w:rPr>
          <w:color w:val="auto"/>
          <w:highlight w:val="none"/>
        </w:rPr>
      </w:pPr>
    </w:p>
    <w:p w14:paraId="3612707F">
      <w:pPr>
        <w:pStyle w:val="5"/>
        <w:spacing w:line="264" w:lineRule="auto"/>
        <w:rPr>
          <w:color w:val="auto"/>
          <w:highlight w:val="none"/>
        </w:rPr>
      </w:pPr>
    </w:p>
    <w:p w14:paraId="6E02A3FF">
      <w:pPr>
        <w:pStyle w:val="5"/>
        <w:spacing w:line="264" w:lineRule="auto"/>
        <w:rPr>
          <w:color w:val="auto"/>
          <w:highlight w:val="none"/>
        </w:rPr>
      </w:pPr>
    </w:p>
    <w:p w14:paraId="7472F480">
      <w:pPr>
        <w:pStyle w:val="5"/>
        <w:spacing w:line="264" w:lineRule="auto"/>
        <w:rPr>
          <w:color w:val="auto"/>
          <w:highlight w:val="none"/>
        </w:rPr>
      </w:pPr>
    </w:p>
    <w:p w14:paraId="7A418264">
      <w:pPr>
        <w:pStyle w:val="5"/>
        <w:spacing w:line="264" w:lineRule="auto"/>
        <w:rPr>
          <w:color w:val="auto"/>
          <w:highlight w:val="none"/>
        </w:rPr>
      </w:pPr>
    </w:p>
    <w:p w14:paraId="79EE44FF">
      <w:pPr>
        <w:pStyle w:val="5"/>
        <w:spacing w:line="264" w:lineRule="auto"/>
        <w:rPr>
          <w:color w:val="auto"/>
          <w:highlight w:val="none"/>
        </w:rPr>
      </w:pPr>
    </w:p>
    <w:p w14:paraId="6AB0AEA7">
      <w:pPr>
        <w:pStyle w:val="5"/>
        <w:spacing w:line="264" w:lineRule="auto"/>
        <w:rPr>
          <w:color w:val="auto"/>
          <w:highlight w:val="none"/>
        </w:rPr>
      </w:pPr>
    </w:p>
    <w:p w14:paraId="61067250">
      <w:pPr>
        <w:tabs>
          <w:tab w:val="left" w:pos="4033"/>
        </w:tabs>
        <w:spacing w:before="88" w:line="225" w:lineRule="auto"/>
        <w:ind w:left="1494"/>
        <w:rPr>
          <w:rFonts w:ascii="黑体" w:hAnsi="黑体" w:eastAsia="黑体" w:cs="黑体"/>
          <w:color w:val="auto"/>
          <w:sz w:val="27"/>
          <w:szCs w:val="27"/>
          <w:highlight w:val="none"/>
        </w:rPr>
      </w:pPr>
      <w:r>
        <w:rPr>
          <w:rFonts w:ascii="宋体" w:hAnsi="宋体" w:eastAsia="宋体" w:cs="宋体"/>
          <w:color w:val="auto"/>
          <w:sz w:val="27"/>
          <w:szCs w:val="27"/>
          <w:highlight w:val="none"/>
          <w:u w:val="single" w:color="auto"/>
        </w:rPr>
        <w:tab/>
      </w:r>
      <w:r>
        <w:rPr>
          <w:rFonts w:ascii="宋体" w:hAnsi="宋体" w:eastAsia="宋体" w:cs="宋体"/>
          <w:color w:val="auto"/>
          <w:spacing w:val="25"/>
          <w:sz w:val="27"/>
          <w:szCs w:val="27"/>
          <w:highlight w:val="none"/>
        </w:rPr>
        <w:t xml:space="preserve"> </w:t>
      </w:r>
      <w:r>
        <w:rPr>
          <w:rFonts w:ascii="宋体" w:hAnsi="宋体" w:eastAsia="宋体" w:cs="宋体"/>
          <w:color w:val="auto"/>
          <w:spacing w:val="-18"/>
          <w:sz w:val="27"/>
          <w:szCs w:val="27"/>
          <w:highlight w:val="none"/>
        </w:rPr>
        <w:t xml:space="preserve">（标段名称） </w:t>
      </w:r>
      <w:r>
        <w:rPr>
          <w:rFonts w:ascii="黑体" w:hAnsi="黑体" w:eastAsia="黑体" w:cs="黑体"/>
          <w:color w:val="auto"/>
          <w:spacing w:val="-18"/>
          <w:sz w:val="27"/>
          <w:szCs w:val="27"/>
          <w:highlight w:val="none"/>
        </w:rPr>
        <w:t>项目招标</w:t>
      </w:r>
    </w:p>
    <w:p w14:paraId="6B70ABFB">
      <w:pPr>
        <w:pStyle w:val="5"/>
        <w:spacing w:line="289" w:lineRule="auto"/>
        <w:rPr>
          <w:color w:val="auto"/>
          <w:highlight w:val="none"/>
        </w:rPr>
      </w:pPr>
    </w:p>
    <w:p w14:paraId="6A5A67AD">
      <w:pPr>
        <w:pStyle w:val="5"/>
        <w:spacing w:line="289" w:lineRule="auto"/>
        <w:rPr>
          <w:color w:val="auto"/>
          <w:highlight w:val="none"/>
        </w:rPr>
      </w:pPr>
    </w:p>
    <w:p w14:paraId="3C66A909">
      <w:pPr>
        <w:pStyle w:val="5"/>
        <w:spacing w:line="290" w:lineRule="auto"/>
        <w:rPr>
          <w:color w:val="auto"/>
          <w:highlight w:val="none"/>
        </w:rPr>
      </w:pPr>
    </w:p>
    <w:p w14:paraId="1DA0EB49">
      <w:pPr>
        <w:spacing w:before="166" w:line="222" w:lineRule="auto"/>
        <w:ind w:left="2364"/>
        <w:rPr>
          <w:rFonts w:ascii="黑体" w:hAnsi="黑体" w:eastAsia="黑体" w:cs="黑体"/>
          <w:color w:val="auto"/>
          <w:sz w:val="51"/>
          <w:szCs w:val="51"/>
          <w:highlight w:val="none"/>
        </w:rPr>
      </w:pPr>
      <w:r>
        <w:rPr>
          <w:rFonts w:ascii="黑体" w:hAnsi="黑体" w:eastAsia="黑体" w:cs="黑体"/>
          <w:color w:val="auto"/>
          <w:spacing w:val="-7"/>
          <w:sz w:val="51"/>
          <w:szCs w:val="51"/>
          <w:highlight w:val="none"/>
        </w:rPr>
        <w:t>投</w:t>
      </w:r>
      <w:r>
        <w:rPr>
          <w:rFonts w:ascii="黑体" w:hAnsi="黑体" w:eastAsia="黑体" w:cs="黑体"/>
          <w:color w:val="auto"/>
          <w:spacing w:val="9"/>
          <w:sz w:val="51"/>
          <w:szCs w:val="51"/>
          <w:highlight w:val="none"/>
        </w:rPr>
        <w:t xml:space="preserve">  </w:t>
      </w:r>
      <w:r>
        <w:rPr>
          <w:rFonts w:ascii="黑体" w:hAnsi="黑体" w:eastAsia="黑体" w:cs="黑体"/>
          <w:color w:val="auto"/>
          <w:spacing w:val="-7"/>
          <w:sz w:val="51"/>
          <w:szCs w:val="51"/>
          <w:highlight w:val="none"/>
        </w:rPr>
        <w:t>标</w:t>
      </w:r>
      <w:r>
        <w:rPr>
          <w:rFonts w:ascii="黑体" w:hAnsi="黑体" w:eastAsia="黑体" w:cs="黑体"/>
          <w:color w:val="auto"/>
          <w:spacing w:val="20"/>
          <w:sz w:val="51"/>
          <w:szCs w:val="51"/>
          <w:highlight w:val="none"/>
        </w:rPr>
        <w:t xml:space="preserve">  </w:t>
      </w:r>
      <w:r>
        <w:rPr>
          <w:rFonts w:ascii="黑体" w:hAnsi="黑体" w:eastAsia="黑体" w:cs="黑体"/>
          <w:color w:val="auto"/>
          <w:spacing w:val="-7"/>
          <w:sz w:val="51"/>
          <w:szCs w:val="51"/>
          <w:highlight w:val="none"/>
        </w:rPr>
        <w:t>文</w:t>
      </w:r>
      <w:r>
        <w:rPr>
          <w:rFonts w:ascii="黑体" w:hAnsi="黑体" w:eastAsia="黑体" w:cs="黑体"/>
          <w:color w:val="auto"/>
          <w:spacing w:val="12"/>
          <w:sz w:val="51"/>
          <w:szCs w:val="51"/>
          <w:highlight w:val="none"/>
        </w:rPr>
        <w:t xml:space="preserve">  </w:t>
      </w:r>
      <w:r>
        <w:rPr>
          <w:rFonts w:ascii="黑体" w:hAnsi="黑体" w:eastAsia="黑体" w:cs="黑体"/>
          <w:color w:val="auto"/>
          <w:spacing w:val="-7"/>
          <w:sz w:val="51"/>
          <w:szCs w:val="51"/>
          <w:highlight w:val="none"/>
        </w:rPr>
        <w:t>件</w:t>
      </w:r>
    </w:p>
    <w:p w14:paraId="019C0944">
      <w:pPr>
        <w:pStyle w:val="5"/>
        <w:spacing w:line="254" w:lineRule="auto"/>
        <w:rPr>
          <w:color w:val="auto"/>
          <w:highlight w:val="none"/>
        </w:rPr>
      </w:pPr>
    </w:p>
    <w:p w14:paraId="1E1686D1">
      <w:pPr>
        <w:pStyle w:val="5"/>
        <w:spacing w:line="255" w:lineRule="auto"/>
        <w:rPr>
          <w:color w:val="auto"/>
          <w:highlight w:val="none"/>
        </w:rPr>
      </w:pPr>
    </w:p>
    <w:p w14:paraId="39C523E2">
      <w:pPr>
        <w:pStyle w:val="5"/>
        <w:spacing w:line="255" w:lineRule="auto"/>
        <w:rPr>
          <w:color w:val="auto"/>
          <w:highlight w:val="none"/>
        </w:rPr>
      </w:pPr>
    </w:p>
    <w:p w14:paraId="1F6B4D1E">
      <w:pPr>
        <w:spacing w:before="88" w:line="236" w:lineRule="auto"/>
        <w:ind w:left="1512" w:right="1508"/>
        <w:rPr>
          <w:rFonts w:ascii="楷体" w:hAnsi="楷体" w:eastAsia="楷体" w:cs="楷体"/>
          <w:color w:val="auto"/>
          <w:sz w:val="27"/>
          <w:szCs w:val="27"/>
          <w:highlight w:val="none"/>
        </w:rPr>
      </w:pPr>
      <w:r>
        <w:rPr>
          <w:rFonts w:ascii="楷体" w:hAnsi="楷体" w:eastAsia="楷体" w:cs="楷体"/>
          <w:color w:val="auto"/>
          <w:spacing w:val="-5"/>
          <w:sz w:val="27"/>
          <w:szCs w:val="27"/>
          <w:highlight w:val="none"/>
        </w:rPr>
        <w:t>（标段唯一标识码</w:t>
      </w:r>
      <w:r>
        <w:rPr>
          <w:rFonts w:ascii="楷体" w:hAnsi="楷体" w:eastAsia="楷体" w:cs="楷体"/>
          <w:color w:val="auto"/>
          <w:spacing w:val="-20"/>
          <w:sz w:val="27"/>
          <w:szCs w:val="27"/>
          <w:highlight w:val="none"/>
        </w:rPr>
        <w:t>：</w:t>
      </w:r>
      <w:r>
        <w:rPr>
          <w:rFonts w:ascii="楷体" w:hAnsi="楷体" w:eastAsia="楷体" w:cs="楷体"/>
          <w:color w:val="auto"/>
          <w:spacing w:val="-16"/>
          <w:sz w:val="27"/>
          <w:szCs w:val="27"/>
          <w:highlight w:val="none"/>
        </w:rPr>
        <w:t xml:space="preserve"> </w:t>
      </w:r>
      <w:r>
        <w:rPr>
          <w:rFonts w:ascii="楷体" w:hAnsi="楷体" w:eastAsia="楷体" w:cs="楷体"/>
          <w:color w:val="auto"/>
          <w:spacing w:val="5"/>
          <w:sz w:val="27"/>
          <w:szCs w:val="27"/>
          <w:highlight w:val="none"/>
          <w:u w:val="single" w:color="auto"/>
        </w:rPr>
        <w:t xml:space="preserve">                  </w:t>
      </w:r>
      <w:r>
        <w:rPr>
          <w:rFonts w:ascii="楷体" w:hAnsi="楷体" w:eastAsia="楷体" w:cs="楷体"/>
          <w:color w:val="auto"/>
          <w:spacing w:val="-83"/>
          <w:sz w:val="27"/>
          <w:szCs w:val="27"/>
          <w:highlight w:val="none"/>
        </w:rPr>
        <w:t xml:space="preserve"> </w:t>
      </w:r>
      <w:r>
        <w:rPr>
          <w:rFonts w:ascii="楷体" w:hAnsi="楷体" w:eastAsia="楷体" w:cs="楷体"/>
          <w:color w:val="auto"/>
          <w:spacing w:val="-20"/>
          <w:sz w:val="27"/>
          <w:szCs w:val="27"/>
          <w:highlight w:val="none"/>
        </w:rPr>
        <w:t>）</w:t>
      </w:r>
      <w:r>
        <w:rPr>
          <w:rFonts w:ascii="楷体" w:hAnsi="楷体" w:eastAsia="楷体" w:cs="楷体"/>
          <w:color w:val="auto"/>
          <w:sz w:val="27"/>
          <w:szCs w:val="27"/>
          <w:highlight w:val="none"/>
        </w:rPr>
        <w:t xml:space="preserve"> </w:t>
      </w:r>
      <w:r>
        <w:rPr>
          <w:rFonts w:ascii="楷体" w:hAnsi="楷体" w:eastAsia="楷体" w:cs="楷体"/>
          <w:color w:val="auto"/>
          <w:spacing w:val="-16"/>
          <w:sz w:val="27"/>
          <w:szCs w:val="27"/>
          <w:highlight w:val="none"/>
        </w:rPr>
        <w:t>（标段编号</w:t>
      </w:r>
      <w:r>
        <w:rPr>
          <w:rFonts w:ascii="楷体" w:hAnsi="楷体" w:eastAsia="楷体" w:cs="楷体"/>
          <w:color w:val="auto"/>
          <w:spacing w:val="-21"/>
          <w:sz w:val="27"/>
          <w:szCs w:val="27"/>
          <w:highlight w:val="none"/>
        </w:rPr>
        <w:t>：</w:t>
      </w:r>
      <w:r>
        <w:rPr>
          <w:rFonts w:ascii="楷体" w:hAnsi="楷体" w:eastAsia="楷体" w:cs="楷体"/>
          <w:color w:val="auto"/>
          <w:spacing w:val="-4"/>
          <w:sz w:val="27"/>
          <w:szCs w:val="27"/>
          <w:highlight w:val="none"/>
        </w:rPr>
        <w:t xml:space="preserve"> </w:t>
      </w:r>
      <w:r>
        <w:rPr>
          <w:rFonts w:ascii="楷体" w:hAnsi="楷体" w:eastAsia="楷体" w:cs="楷体"/>
          <w:color w:val="auto"/>
          <w:spacing w:val="5"/>
          <w:sz w:val="27"/>
          <w:szCs w:val="27"/>
          <w:highlight w:val="none"/>
          <w:u w:val="single" w:color="auto"/>
        </w:rPr>
        <w:t xml:space="preserve">                        </w:t>
      </w:r>
      <w:r>
        <w:rPr>
          <w:rFonts w:ascii="楷体" w:hAnsi="楷体" w:eastAsia="楷体" w:cs="楷体"/>
          <w:color w:val="auto"/>
          <w:spacing w:val="-84"/>
          <w:sz w:val="27"/>
          <w:szCs w:val="27"/>
          <w:highlight w:val="none"/>
        </w:rPr>
        <w:t xml:space="preserve"> </w:t>
      </w:r>
      <w:r>
        <w:rPr>
          <w:rFonts w:ascii="楷体" w:hAnsi="楷体" w:eastAsia="楷体" w:cs="楷体"/>
          <w:color w:val="auto"/>
          <w:spacing w:val="-21"/>
          <w:sz w:val="27"/>
          <w:szCs w:val="27"/>
          <w:highlight w:val="none"/>
        </w:rPr>
        <w:t>）</w:t>
      </w:r>
    </w:p>
    <w:p w14:paraId="46593C95">
      <w:pPr>
        <w:pStyle w:val="5"/>
        <w:spacing w:line="244" w:lineRule="auto"/>
        <w:rPr>
          <w:color w:val="auto"/>
          <w:highlight w:val="none"/>
        </w:rPr>
      </w:pPr>
    </w:p>
    <w:p w14:paraId="12828DA0">
      <w:pPr>
        <w:pStyle w:val="5"/>
        <w:spacing w:line="244" w:lineRule="auto"/>
        <w:rPr>
          <w:color w:val="auto"/>
          <w:highlight w:val="none"/>
        </w:rPr>
      </w:pPr>
    </w:p>
    <w:p w14:paraId="3F81D7C6">
      <w:pPr>
        <w:pStyle w:val="5"/>
        <w:spacing w:line="245" w:lineRule="auto"/>
        <w:rPr>
          <w:color w:val="auto"/>
          <w:highlight w:val="none"/>
        </w:rPr>
      </w:pPr>
    </w:p>
    <w:p w14:paraId="0C891554">
      <w:pPr>
        <w:pStyle w:val="5"/>
        <w:spacing w:line="245" w:lineRule="auto"/>
        <w:rPr>
          <w:color w:val="auto"/>
          <w:highlight w:val="none"/>
        </w:rPr>
      </w:pPr>
    </w:p>
    <w:p w14:paraId="1A16BB42">
      <w:pPr>
        <w:pStyle w:val="5"/>
        <w:spacing w:line="245" w:lineRule="auto"/>
        <w:rPr>
          <w:color w:val="auto"/>
          <w:highlight w:val="none"/>
        </w:rPr>
      </w:pPr>
    </w:p>
    <w:p w14:paraId="18F92AE1">
      <w:pPr>
        <w:pStyle w:val="5"/>
        <w:spacing w:line="245" w:lineRule="auto"/>
        <w:rPr>
          <w:color w:val="auto"/>
          <w:highlight w:val="none"/>
        </w:rPr>
      </w:pPr>
    </w:p>
    <w:p w14:paraId="6A1E5EFF">
      <w:pPr>
        <w:pStyle w:val="5"/>
        <w:spacing w:line="245" w:lineRule="auto"/>
        <w:rPr>
          <w:color w:val="auto"/>
          <w:highlight w:val="none"/>
        </w:rPr>
      </w:pPr>
    </w:p>
    <w:p w14:paraId="5B92EC45">
      <w:pPr>
        <w:pStyle w:val="5"/>
        <w:spacing w:line="245" w:lineRule="auto"/>
        <w:rPr>
          <w:color w:val="auto"/>
          <w:highlight w:val="none"/>
        </w:rPr>
      </w:pPr>
    </w:p>
    <w:p w14:paraId="436C108B">
      <w:pPr>
        <w:pStyle w:val="5"/>
        <w:spacing w:line="245" w:lineRule="auto"/>
        <w:rPr>
          <w:color w:val="auto"/>
          <w:highlight w:val="none"/>
        </w:rPr>
      </w:pPr>
    </w:p>
    <w:p w14:paraId="3A4BBEAE">
      <w:pPr>
        <w:pStyle w:val="5"/>
        <w:spacing w:line="245" w:lineRule="auto"/>
        <w:rPr>
          <w:color w:val="auto"/>
          <w:highlight w:val="none"/>
        </w:rPr>
      </w:pPr>
    </w:p>
    <w:p w14:paraId="6A349EFC">
      <w:pPr>
        <w:pStyle w:val="5"/>
        <w:spacing w:line="245" w:lineRule="auto"/>
        <w:rPr>
          <w:color w:val="auto"/>
          <w:highlight w:val="none"/>
        </w:rPr>
      </w:pPr>
    </w:p>
    <w:p w14:paraId="2DEE374A">
      <w:pPr>
        <w:pStyle w:val="5"/>
        <w:spacing w:line="245" w:lineRule="auto"/>
        <w:rPr>
          <w:color w:val="auto"/>
          <w:highlight w:val="none"/>
        </w:rPr>
      </w:pPr>
    </w:p>
    <w:p w14:paraId="6D7CC2EC">
      <w:pPr>
        <w:pStyle w:val="5"/>
        <w:spacing w:line="245" w:lineRule="auto"/>
        <w:rPr>
          <w:color w:val="auto"/>
          <w:highlight w:val="none"/>
        </w:rPr>
      </w:pPr>
    </w:p>
    <w:p w14:paraId="53ABD489">
      <w:pPr>
        <w:pStyle w:val="5"/>
        <w:spacing w:line="245" w:lineRule="auto"/>
        <w:rPr>
          <w:color w:val="auto"/>
          <w:highlight w:val="none"/>
        </w:rPr>
      </w:pPr>
    </w:p>
    <w:p w14:paraId="1DD020AA">
      <w:pPr>
        <w:pStyle w:val="5"/>
        <w:spacing w:line="245" w:lineRule="auto"/>
        <w:rPr>
          <w:color w:val="auto"/>
          <w:highlight w:val="none"/>
        </w:rPr>
      </w:pPr>
    </w:p>
    <w:p w14:paraId="00E25DCD">
      <w:pPr>
        <w:pStyle w:val="5"/>
        <w:spacing w:line="245" w:lineRule="auto"/>
        <w:rPr>
          <w:color w:val="auto"/>
          <w:highlight w:val="none"/>
        </w:rPr>
      </w:pPr>
    </w:p>
    <w:p w14:paraId="6C07F46D">
      <w:pPr>
        <w:pStyle w:val="5"/>
        <w:spacing w:line="245" w:lineRule="auto"/>
        <w:rPr>
          <w:color w:val="auto"/>
          <w:highlight w:val="none"/>
        </w:rPr>
      </w:pPr>
    </w:p>
    <w:p w14:paraId="3A0D7F07">
      <w:pPr>
        <w:pStyle w:val="5"/>
        <w:spacing w:line="245" w:lineRule="auto"/>
        <w:rPr>
          <w:color w:val="auto"/>
          <w:highlight w:val="none"/>
        </w:rPr>
      </w:pPr>
    </w:p>
    <w:p w14:paraId="2BFE2799">
      <w:pPr>
        <w:pStyle w:val="5"/>
        <w:spacing w:line="245" w:lineRule="auto"/>
        <w:rPr>
          <w:color w:val="auto"/>
          <w:highlight w:val="none"/>
        </w:rPr>
      </w:pPr>
    </w:p>
    <w:p w14:paraId="3A11C358">
      <w:pPr>
        <w:pStyle w:val="5"/>
        <w:spacing w:line="245" w:lineRule="auto"/>
        <w:rPr>
          <w:color w:val="auto"/>
          <w:highlight w:val="none"/>
        </w:rPr>
      </w:pPr>
    </w:p>
    <w:p w14:paraId="5FF25F30">
      <w:pPr>
        <w:spacing w:before="88" w:line="225" w:lineRule="auto"/>
        <w:ind w:left="883"/>
        <w:rPr>
          <w:rFonts w:ascii="黑体" w:hAnsi="黑体" w:eastAsia="黑体" w:cs="黑体"/>
          <w:color w:val="auto"/>
          <w:sz w:val="27"/>
          <w:szCs w:val="27"/>
          <w:highlight w:val="none"/>
        </w:rPr>
      </w:pPr>
      <w:r>
        <w:rPr>
          <w:rFonts w:ascii="黑体" w:hAnsi="黑体" w:eastAsia="黑体" w:cs="黑体"/>
          <w:color w:val="auto"/>
          <w:spacing w:val="-24"/>
          <w:w w:val="98"/>
          <w:sz w:val="27"/>
          <w:szCs w:val="27"/>
          <w:highlight w:val="none"/>
        </w:rPr>
        <w:t>投标人</w:t>
      </w:r>
      <w:r>
        <w:rPr>
          <w:rFonts w:ascii="黑体" w:hAnsi="黑体" w:eastAsia="黑体" w:cs="黑体"/>
          <w:color w:val="auto"/>
          <w:spacing w:val="-19"/>
          <w:sz w:val="27"/>
          <w:szCs w:val="27"/>
          <w:highlight w:val="none"/>
        </w:rPr>
        <w:t>：</w:t>
      </w:r>
      <w:r>
        <w:rPr>
          <w:rFonts w:ascii="黑体" w:hAnsi="黑体" w:eastAsia="黑体" w:cs="黑体"/>
          <w:color w:val="auto"/>
          <w:spacing w:val="16"/>
          <w:sz w:val="27"/>
          <w:szCs w:val="27"/>
          <w:highlight w:val="none"/>
        </w:rPr>
        <w:t xml:space="preserve"> </w:t>
      </w:r>
      <w:r>
        <w:rPr>
          <w:rFonts w:ascii="黑体" w:hAnsi="黑体" w:eastAsia="黑体" w:cs="黑体"/>
          <w:color w:val="auto"/>
          <w:sz w:val="27"/>
          <w:szCs w:val="27"/>
          <w:highlight w:val="none"/>
          <w:u w:val="single" w:color="auto"/>
        </w:rPr>
        <w:t xml:space="preserve">                            </w:t>
      </w:r>
      <w:r>
        <w:rPr>
          <w:rFonts w:ascii="黑体" w:hAnsi="黑体" w:eastAsia="黑体" w:cs="黑体"/>
          <w:color w:val="auto"/>
          <w:spacing w:val="42"/>
          <w:sz w:val="27"/>
          <w:szCs w:val="27"/>
          <w:highlight w:val="none"/>
        </w:rPr>
        <w:t xml:space="preserve"> </w:t>
      </w:r>
      <w:r>
        <w:rPr>
          <w:rFonts w:ascii="黑体" w:hAnsi="黑体" w:eastAsia="黑体" w:cs="黑体"/>
          <w:color w:val="auto"/>
          <w:spacing w:val="-19"/>
          <w:sz w:val="27"/>
          <w:szCs w:val="27"/>
          <w:highlight w:val="none"/>
        </w:rPr>
        <w:t>（</w:t>
      </w:r>
      <w:r>
        <w:rPr>
          <w:rFonts w:ascii="黑体" w:hAnsi="黑体" w:eastAsia="黑体" w:cs="黑体"/>
          <w:color w:val="auto"/>
          <w:spacing w:val="-24"/>
          <w:w w:val="98"/>
          <w:sz w:val="27"/>
          <w:szCs w:val="27"/>
          <w:highlight w:val="none"/>
        </w:rPr>
        <w:t>盖单位章）</w:t>
      </w:r>
    </w:p>
    <w:p w14:paraId="5977D176">
      <w:pPr>
        <w:spacing w:before="213" w:line="225" w:lineRule="auto"/>
        <w:ind w:left="887"/>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法定代表人或授权委托人</w:t>
      </w:r>
      <w:r>
        <w:rPr>
          <w:rFonts w:ascii="黑体" w:hAnsi="黑体" w:eastAsia="黑体" w:cs="黑体"/>
          <w:color w:val="auto"/>
          <w:spacing w:val="5"/>
          <w:sz w:val="27"/>
          <w:szCs w:val="27"/>
          <w:highlight w:val="none"/>
        </w:rPr>
        <w:t>：</w:t>
      </w:r>
      <w:r>
        <w:rPr>
          <w:rFonts w:ascii="黑体" w:hAnsi="黑体" w:eastAsia="黑体" w:cs="黑体"/>
          <w:color w:val="auto"/>
          <w:spacing w:val="-26"/>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44"/>
          <w:sz w:val="27"/>
          <w:szCs w:val="27"/>
          <w:highlight w:val="none"/>
        </w:rPr>
        <w:t xml:space="preserve"> </w:t>
      </w:r>
      <w:r>
        <w:rPr>
          <w:rFonts w:ascii="黑体" w:hAnsi="黑体" w:eastAsia="黑体" w:cs="黑体"/>
          <w:color w:val="auto"/>
          <w:spacing w:val="5"/>
          <w:sz w:val="27"/>
          <w:szCs w:val="27"/>
          <w:highlight w:val="none"/>
        </w:rPr>
        <w:t>（</w:t>
      </w:r>
      <w:r>
        <w:rPr>
          <w:rFonts w:ascii="黑体" w:hAnsi="黑体" w:eastAsia="黑体" w:cs="黑体"/>
          <w:color w:val="auto"/>
          <w:spacing w:val="-7"/>
          <w:sz w:val="27"/>
          <w:szCs w:val="27"/>
          <w:highlight w:val="none"/>
        </w:rPr>
        <w:t>签章）</w:t>
      </w:r>
    </w:p>
    <w:p w14:paraId="75EB6542">
      <w:pPr>
        <w:pStyle w:val="5"/>
        <w:spacing w:line="244" w:lineRule="auto"/>
        <w:rPr>
          <w:color w:val="auto"/>
          <w:highlight w:val="none"/>
        </w:rPr>
      </w:pPr>
    </w:p>
    <w:p w14:paraId="43256820">
      <w:pPr>
        <w:pStyle w:val="5"/>
        <w:spacing w:line="244" w:lineRule="auto"/>
        <w:rPr>
          <w:color w:val="auto"/>
          <w:highlight w:val="none"/>
        </w:rPr>
      </w:pPr>
    </w:p>
    <w:p w14:paraId="3EDBA647">
      <w:pPr>
        <w:tabs>
          <w:tab w:val="left" w:pos="3390"/>
        </w:tabs>
        <w:spacing w:before="88" w:line="226" w:lineRule="auto"/>
        <w:ind w:left="2555"/>
        <w:rPr>
          <w:rFonts w:ascii="黑体" w:hAnsi="黑体" w:eastAsia="黑体" w:cs="黑体"/>
          <w:color w:val="auto"/>
          <w:sz w:val="27"/>
          <w:szCs w:val="27"/>
          <w:highlight w:val="none"/>
        </w:rPr>
      </w:pPr>
      <w:r>
        <w:rPr>
          <w:rFonts w:ascii="黑体" w:hAnsi="黑体" w:eastAsia="黑体" w:cs="黑体"/>
          <w:color w:val="auto"/>
          <w:sz w:val="27"/>
          <w:szCs w:val="27"/>
          <w:highlight w:val="none"/>
          <w:u w:val="single" w:color="auto"/>
        </w:rPr>
        <w:tab/>
      </w:r>
      <w:r>
        <w:rPr>
          <w:rFonts w:ascii="黑体" w:hAnsi="黑体" w:eastAsia="黑体" w:cs="黑体"/>
          <w:color w:val="auto"/>
          <w:spacing w:val="-121"/>
          <w:sz w:val="27"/>
          <w:szCs w:val="27"/>
          <w:highlight w:val="none"/>
        </w:rPr>
        <w:t xml:space="preserve"> </w:t>
      </w:r>
      <w:r>
        <w:rPr>
          <w:rFonts w:ascii="黑体" w:hAnsi="黑体" w:eastAsia="黑体" w:cs="黑体"/>
          <w:color w:val="auto"/>
          <w:spacing w:val="-5"/>
          <w:sz w:val="27"/>
          <w:szCs w:val="27"/>
          <w:highlight w:val="none"/>
        </w:rPr>
        <w:t>年</w:t>
      </w:r>
      <w:r>
        <w:rPr>
          <w:rFonts w:ascii="黑体" w:hAnsi="黑体" w:eastAsia="黑体" w:cs="黑体"/>
          <w:color w:val="auto"/>
          <w:spacing w:val="-135"/>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113"/>
          <w:sz w:val="27"/>
          <w:szCs w:val="27"/>
          <w:highlight w:val="none"/>
        </w:rPr>
        <w:t xml:space="preserve"> </w:t>
      </w:r>
      <w:r>
        <w:rPr>
          <w:rFonts w:ascii="黑体" w:hAnsi="黑体" w:eastAsia="黑体" w:cs="黑体"/>
          <w:color w:val="auto"/>
          <w:spacing w:val="-5"/>
          <w:sz w:val="27"/>
          <w:szCs w:val="27"/>
          <w:highlight w:val="none"/>
        </w:rPr>
        <w:t>月</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79"/>
          <w:sz w:val="27"/>
          <w:szCs w:val="27"/>
          <w:highlight w:val="none"/>
        </w:rPr>
        <w:t xml:space="preserve"> </w:t>
      </w:r>
      <w:r>
        <w:rPr>
          <w:rFonts w:ascii="黑体" w:hAnsi="黑体" w:eastAsia="黑体" w:cs="黑体"/>
          <w:color w:val="auto"/>
          <w:spacing w:val="-5"/>
          <w:sz w:val="27"/>
          <w:szCs w:val="27"/>
          <w:highlight w:val="none"/>
        </w:rPr>
        <w:t>日</w:t>
      </w:r>
    </w:p>
    <w:p w14:paraId="5284D2AC">
      <w:pPr>
        <w:spacing w:line="226" w:lineRule="auto"/>
        <w:rPr>
          <w:rFonts w:ascii="黑体" w:hAnsi="黑体" w:eastAsia="黑体" w:cs="黑体"/>
          <w:color w:val="auto"/>
          <w:sz w:val="27"/>
          <w:szCs w:val="27"/>
          <w:highlight w:val="none"/>
        </w:rPr>
        <w:sectPr>
          <w:footerReference r:id="rId153" w:type="default"/>
          <w:pgSz w:w="11905" w:h="16839"/>
          <w:pgMar w:top="400" w:right="1785" w:bottom="1004" w:left="1785" w:header="0" w:footer="828" w:gutter="0"/>
          <w:pgNumType w:fmt="decimal"/>
          <w:cols w:space="720" w:num="1"/>
        </w:sectPr>
      </w:pPr>
    </w:p>
    <w:p w14:paraId="36077099">
      <w:pPr>
        <w:pStyle w:val="5"/>
        <w:spacing w:line="255" w:lineRule="auto"/>
        <w:rPr>
          <w:color w:val="auto"/>
          <w:highlight w:val="none"/>
        </w:rPr>
      </w:pPr>
    </w:p>
    <w:p w14:paraId="065877AE">
      <w:pPr>
        <w:pStyle w:val="5"/>
        <w:spacing w:line="256" w:lineRule="auto"/>
        <w:rPr>
          <w:color w:val="auto"/>
          <w:highlight w:val="none"/>
        </w:rPr>
      </w:pPr>
    </w:p>
    <w:p w14:paraId="0E78E2B5">
      <w:pPr>
        <w:pStyle w:val="5"/>
        <w:spacing w:line="256" w:lineRule="auto"/>
        <w:rPr>
          <w:color w:val="auto"/>
          <w:highlight w:val="none"/>
        </w:rPr>
      </w:pPr>
    </w:p>
    <w:p w14:paraId="68B81444">
      <w:pPr>
        <w:pStyle w:val="5"/>
        <w:spacing w:line="256" w:lineRule="auto"/>
        <w:rPr>
          <w:color w:val="auto"/>
          <w:highlight w:val="none"/>
        </w:rPr>
      </w:pPr>
    </w:p>
    <w:p w14:paraId="61450712">
      <w:pPr>
        <w:spacing w:before="88" w:line="225" w:lineRule="auto"/>
        <w:ind w:left="3792"/>
        <w:rPr>
          <w:rFonts w:ascii="黑体" w:hAnsi="黑体" w:eastAsia="黑体" w:cs="黑体"/>
          <w:color w:val="auto"/>
          <w:sz w:val="27"/>
          <w:szCs w:val="27"/>
          <w:highlight w:val="none"/>
        </w:rPr>
      </w:pPr>
      <w:r>
        <w:rPr>
          <w:rFonts w:ascii="黑体" w:hAnsi="黑体" w:eastAsia="黑体" w:cs="黑体"/>
          <w:color w:val="auto"/>
          <w:spacing w:val="-19"/>
          <w:sz w:val="27"/>
          <w:szCs w:val="27"/>
          <w:highlight w:val="none"/>
        </w:rPr>
        <w:t>目</w:t>
      </w:r>
      <w:r>
        <w:rPr>
          <w:rFonts w:ascii="黑体" w:hAnsi="黑体" w:eastAsia="黑体" w:cs="黑体"/>
          <w:color w:val="auto"/>
          <w:spacing w:val="15"/>
          <w:sz w:val="27"/>
          <w:szCs w:val="27"/>
          <w:highlight w:val="none"/>
        </w:rPr>
        <w:t xml:space="preserve">  </w:t>
      </w:r>
      <w:r>
        <w:rPr>
          <w:rFonts w:ascii="黑体" w:hAnsi="黑体" w:eastAsia="黑体" w:cs="黑体"/>
          <w:color w:val="auto"/>
          <w:spacing w:val="-19"/>
          <w:sz w:val="27"/>
          <w:szCs w:val="27"/>
          <w:highlight w:val="none"/>
        </w:rPr>
        <w:t>录</w:t>
      </w:r>
    </w:p>
    <w:p w14:paraId="05A5A697">
      <w:pPr>
        <w:pStyle w:val="5"/>
        <w:spacing w:line="272" w:lineRule="auto"/>
        <w:rPr>
          <w:color w:val="auto"/>
          <w:highlight w:val="none"/>
        </w:rPr>
      </w:pPr>
    </w:p>
    <w:p w14:paraId="0D8C9C67">
      <w:pPr>
        <w:pStyle w:val="5"/>
        <w:spacing w:line="273" w:lineRule="auto"/>
        <w:rPr>
          <w:color w:val="auto"/>
          <w:highlight w:val="none"/>
        </w:rPr>
      </w:pPr>
    </w:p>
    <w:p w14:paraId="1AB8C730">
      <w:pPr>
        <w:pStyle w:val="5"/>
        <w:spacing w:line="273" w:lineRule="auto"/>
        <w:rPr>
          <w:color w:val="auto"/>
          <w:highlight w:val="none"/>
        </w:rPr>
      </w:pPr>
    </w:p>
    <w:p w14:paraId="00B79626">
      <w:pPr>
        <w:spacing w:before="68" w:line="600" w:lineRule="exact"/>
        <w:ind w:left="21"/>
        <w:rPr>
          <w:rFonts w:ascii="宋体" w:hAnsi="宋体" w:eastAsia="宋体" w:cs="宋体"/>
          <w:color w:val="auto"/>
          <w:sz w:val="21"/>
          <w:szCs w:val="21"/>
          <w:highlight w:val="none"/>
        </w:rPr>
      </w:pPr>
      <w:r>
        <w:rPr>
          <w:rFonts w:ascii="宋体" w:hAnsi="宋体" w:eastAsia="宋体" w:cs="宋体"/>
          <w:color w:val="auto"/>
          <w:spacing w:val="-2"/>
          <w:position w:val="30"/>
          <w:sz w:val="21"/>
          <w:szCs w:val="21"/>
          <w:highlight w:val="none"/>
        </w:rPr>
        <w:t>一、投标函及投标函附录等</w:t>
      </w:r>
    </w:p>
    <w:p w14:paraId="5D12E4F5">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二、法定代表人身份证明</w:t>
      </w:r>
    </w:p>
    <w:p w14:paraId="3754A255">
      <w:pPr>
        <w:pStyle w:val="5"/>
        <w:spacing w:line="278" w:lineRule="auto"/>
        <w:rPr>
          <w:color w:val="auto"/>
          <w:highlight w:val="none"/>
        </w:rPr>
      </w:pPr>
    </w:p>
    <w:p w14:paraId="1772E49E">
      <w:pPr>
        <w:spacing w:before="69"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二、授权委托书</w:t>
      </w:r>
    </w:p>
    <w:p w14:paraId="5E5186EF">
      <w:pPr>
        <w:pStyle w:val="5"/>
        <w:spacing w:line="280" w:lineRule="auto"/>
        <w:rPr>
          <w:color w:val="auto"/>
          <w:highlight w:val="none"/>
        </w:rPr>
      </w:pPr>
    </w:p>
    <w:p w14:paraId="7E00B153">
      <w:pPr>
        <w:spacing w:before="6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三、投标保证金</w:t>
      </w:r>
    </w:p>
    <w:p w14:paraId="423D9297">
      <w:pPr>
        <w:pStyle w:val="5"/>
        <w:spacing w:line="278" w:lineRule="auto"/>
        <w:rPr>
          <w:color w:val="auto"/>
          <w:highlight w:val="none"/>
        </w:rPr>
      </w:pPr>
    </w:p>
    <w:p w14:paraId="47404CBD">
      <w:pPr>
        <w:spacing w:before="68" w:line="600" w:lineRule="exact"/>
        <w:ind w:left="38"/>
        <w:rPr>
          <w:rFonts w:ascii="宋体" w:hAnsi="宋体" w:eastAsia="宋体" w:cs="宋体"/>
          <w:color w:val="auto"/>
          <w:sz w:val="21"/>
          <w:szCs w:val="21"/>
          <w:highlight w:val="none"/>
        </w:rPr>
      </w:pPr>
      <w:r>
        <w:rPr>
          <w:rFonts w:ascii="宋体" w:hAnsi="宋体" w:eastAsia="宋体" w:cs="宋体"/>
          <w:color w:val="auto"/>
          <w:spacing w:val="-4"/>
          <w:position w:val="30"/>
          <w:sz w:val="21"/>
          <w:szCs w:val="21"/>
          <w:highlight w:val="none"/>
        </w:rPr>
        <w:t>四、联合体协议书（如有）</w:t>
      </w:r>
    </w:p>
    <w:p w14:paraId="68978CDF">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五、拟分包计划表（如有）</w:t>
      </w:r>
    </w:p>
    <w:p w14:paraId="0FF65B8C">
      <w:pPr>
        <w:pStyle w:val="5"/>
        <w:spacing w:line="280" w:lineRule="auto"/>
        <w:rPr>
          <w:color w:val="auto"/>
          <w:highlight w:val="none"/>
        </w:rPr>
      </w:pPr>
    </w:p>
    <w:p w14:paraId="0BBC5514">
      <w:pPr>
        <w:spacing w:before="69" w:line="600" w:lineRule="exact"/>
        <w:ind w:left="20"/>
        <w:rPr>
          <w:rFonts w:ascii="宋体" w:hAnsi="宋体" w:eastAsia="宋体" w:cs="宋体"/>
          <w:color w:val="auto"/>
          <w:sz w:val="21"/>
          <w:szCs w:val="21"/>
          <w:highlight w:val="none"/>
        </w:rPr>
      </w:pPr>
      <w:r>
        <w:rPr>
          <w:rFonts w:ascii="宋体" w:hAnsi="宋体" w:eastAsia="宋体" w:cs="宋体"/>
          <w:color w:val="auto"/>
          <w:spacing w:val="-1"/>
          <w:position w:val="30"/>
          <w:sz w:val="21"/>
          <w:szCs w:val="21"/>
          <w:highlight w:val="none"/>
        </w:rPr>
        <w:t>六、项目管理机构</w:t>
      </w:r>
    </w:p>
    <w:p w14:paraId="2D92D499">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七、资格审查资料</w:t>
      </w:r>
    </w:p>
    <w:p w14:paraId="1787D845">
      <w:pPr>
        <w:pStyle w:val="5"/>
        <w:spacing w:line="279" w:lineRule="auto"/>
        <w:rPr>
          <w:color w:val="auto"/>
          <w:highlight w:val="none"/>
        </w:rPr>
      </w:pPr>
    </w:p>
    <w:p w14:paraId="4EBF1084">
      <w:pPr>
        <w:spacing w:before="68" w:line="601" w:lineRule="exact"/>
        <w:ind w:left="21"/>
        <w:rPr>
          <w:rFonts w:ascii="宋体" w:hAnsi="宋体" w:eastAsia="宋体" w:cs="宋体"/>
          <w:color w:val="auto"/>
          <w:sz w:val="21"/>
          <w:szCs w:val="21"/>
          <w:highlight w:val="none"/>
        </w:rPr>
      </w:pPr>
      <w:r>
        <w:rPr>
          <w:rFonts w:ascii="宋体" w:hAnsi="宋体" w:eastAsia="宋体" w:cs="宋体"/>
          <w:color w:val="auto"/>
          <w:spacing w:val="-1"/>
          <w:position w:val="30"/>
          <w:sz w:val="21"/>
          <w:szCs w:val="21"/>
          <w:highlight w:val="none"/>
        </w:rPr>
        <w:t>八、已标价工程量清单</w:t>
      </w:r>
    </w:p>
    <w:p w14:paraId="3A3884A4">
      <w:pPr>
        <w:spacing w:line="222"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九、施工组织设计</w:t>
      </w:r>
    </w:p>
    <w:p w14:paraId="1FF9B168">
      <w:pPr>
        <w:pStyle w:val="5"/>
        <w:spacing w:line="277" w:lineRule="auto"/>
        <w:rPr>
          <w:color w:val="auto"/>
          <w:highlight w:val="none"/>
        </w:rPr>
      </w:pPr>
    </w:p>
    <w:p w14:paraId="2A6E2103">
      <w:pPr>
        <w:spacing w:before="68"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十、其他材料</w:t>
      </w:r>
    </w:p>
    <w:p w14:paraId="794C44AE">
      <w:pPr>
        <w:spacing w:line="220" w:lineRule="auto"/>
        <w:rPr>
          <w:rFonts w:ascii="宋体" w:hAnsi="宋体" w:eastAsia="宋体" w:cs="宋体"/>
          <w:color w:val="auto"/>
          <w:sz w:val="21"/>
          <w:szCs w:val="21"/>
          <w:highlight w:val="none"/>
        </w:rPr>
        <w:sectPr>
          <w:footerReference r:id="rId154" w:type="default"/>
          <w:pgSz w:w="11905" w:h="16839"/>
          <w:pgMar w:top="400" w:right="1785" w:bottom="1004" w:left="1785" w:header="0" w:footer="828" w:gutter="0"/>
          <w:pgNumType w:fmt="decimal"/>
          <w:cols w:space="720" w:num="1"/>
        </w:sectPr>
      </w:pPr>
    </w:p>
    <w:p w14:paraId="1D95F4C3">
      <w:pPr>
        <w:pStyle w:val="5"/>
        <w:spacing w:line="255" w:lineRule="auto"/>
        <w:rPr>
          <w:color w:val="auto"/>
          <w:highlight w:val="none"/>
        </w:rPr>
      </w:pPr>
    </w:p>
    <w:p w14:paraId="2943E76C">
      <w:pPr>
        <w:pStyle w:val="5"/>
        <w:spacing w:line="256" w:lineRule="auto"/>
        <w:rPr>
          <w:color w:val="auto"/>
          <w:highlight w:val="none"/>
        </w:rPr>
      </w:pPr>
    </w:p>
    <w:p w14:paraId="46A93A48">
      <w:pPr>
        <w:pStyle w:val="5"/>
        <w:spacing w:line="256" w:lineRule="auto"/>
        <w:rPr>
          <w:color w:val="auto"/>
          <w:highlight w:val="none"/>
        </w:rPr>
      </w:pPr>
    </w:p>
    <w:p w14:paraId="0428F573">
      <w:pPr>
        <w:pStyle w:val="5"/>
        <w:spacing w:line="256" w:lineRule="auto"/>
        <w:rPr>
          <w:color w:val="auto"/>
          <w:highlight w:val="none"/>
        </w:rPr>
      </w:pPr>
    </w:p>
    <w:p w14:paraId="29407842">
      <w:pPr>
        <w:spacing w:before="88" w:line="403" w:lineRule="exact"/>
        <w:ind w:left="2503"/>
        <w:rPr>
          <w:rFonts w:ascii="黑体" w:hAnsi="黑体" w:eastAsia="黑体" w:cs="黑体"/>
          <w:color w:val="auto"/>
          <w:sz w:val="27"/>
          <w:szCs w:val="27"/>
          <w:highlight w:val="none"/>
        </w:rPr>
      </w:pPr>
      <w:r>
        <w:rPr>
          <w:rFonts w:ascii="黑体" w:hAnsi="黑体" w:eastAsia="黑体" w:cs="黑体"/>
          <w:color w:val="auto"/>
          <w:spacing w:val="7"/>
          <w:position w:val="9"/>
          <w:sz w:val="27"/>
          <w:szCs w:val="27"/>
          <w:highlight w:val="none"/>
        </w:rPr>
        <w:t>一、投标函及投标函附录等</w:t>
      </w:r>
    </w:p>
    <w:p w14:paraId="7B293743">
      <w:pPr>
        <w:spacing w:line="225" w:lineRule="auto"/>
        <w:ind w:left="3361"/>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rPr>
        <w:t>（一）投标函</w:t>
      </w:r>
    </w:p>
    <w:p w14:paraId="55080909">
      <w:pPr>
        <w:tabs>
          <w:tab w:val="left" w:pos="1273"/>
        </w:tabs>
        <w:spacing w:before="160"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45A8B9D8">
      <w:pPr>
        <w:spacing w:before="189" w:line="387" w:lineRule="auto"/>
        <w:ind w:left="19" w:right="1" w:firstLine="43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我方已仔细研究了</w:t>
      </w:r>
      <w:r>
        <w:rPr>
          <w:rFonts w:ascii="宋体" w:hAnsi="宋体" w:eastAsia="宋体" w:cs="宋体"/>
          <w:color w:val="auto"/>
          <w:spacing w:val="-89"/>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23"/>
          <w:sz w:val="21"/>
          <w:szCs w:val="21"/>
          <w:highlight w:val="none"/>
        </w:rPr>
        <w:t xml:space="preserve"> </w:t>
      </w:r>
      <w:r>
        <w:rPr>
          <w:rFonts w:ascii="宋体" w:hAnsi="宋体" w:eastAsia="宋体" w:cs="宋体"/>
          <w:color w:val="auto"/>
          <w:spacing w:val="-6"/>
          <w:sz w:val="21"/>
          <w:szCs w:val="21"/>
          <w:highlight w:val="none"/>
        </w:rPr>
        <w:t>（标段名称） 项目招标文件的全部内容，愿意以【人民币</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 xml:space="preserve">（大写）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8"/>
          <w:sz w:val="21"/>
          <w:szCs w:val="21"/>
          <w:highlight w:val="none"/>
        </w:rPr>
        <w:t>元(</w:t>
      </w:r>
      <w:r>
        <w:rPr>
          <w:rFonts w:ascii="Times New Roman" w:hAnsi="Times New Roman" w:eastAsia="Times New Roman" w:cs="Times New Roman"/>
          <w:color w:val="auto"/>
          <w:spacing w:val="-8"/>
          <w:sz w:val="21"/>
          <w:szCs w:val="21"/>
          <w:highlight w:val="none"/>
        </w:rPr>
        <w:t>¥</w:t>
      </w:r>
      <w:r>
        <w:rPr>
          <w:rFonts w:ascii="Times New Roman" w:hAnsi="Times New Roman" w:eastAsia="Times New Roman" w:cs="Times New Roman"/>
          <w:color w:val="auto"/>
          <w:spacing w:val="-8"/>
          <w:sz w:val="21"/>
          <w:szCs w:val="21"/>
          <w:highlight w:val="none"/>
          <w:u w:val="single" w:color="auto"/>
        </w:rPr>
        <w:t xml:space="preserve">              </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8"/>
          <w:sz w:val="21"/>
          <w:szCs w:val="21"/>
          <w:highlight w:val="none"/>
        </w:rPr>
        <w:t>元）】【综合费率</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
          <w:sz w:val="21"/>
          <w:szCs w:val="21"/>
          <w:highlight w:val="none"/>
          <w:u w:val="single" w:color="auto"/>
        </w:rPr>
        <w:t xml:space="preserve">   </w:t>
      </w:r>
      <w:r>
        <w:rPr>
          <w:rFonts w:ascii="Times New Roman" w:hAnsi="Times New Roman" w:eastAsia="Times New Roman" w:cs="Times New Roman"/>
          <w:color w:val="auto"/>
          <w:spacing w:val="-9"/>
          <w:sz w:val="21"/>
          <w:szCs w:val="21"/>
          <w:highlight w:val="none"/>
        </w:rPr>
        <w:t>/</w:t>
      </w:r>
      <w:r>
        <w:rPr>
          <w:rFonts w:ascii="宋体" w:hAnsi="宋体" w:eastAsia="宋体" w:cs="宋体"/>
          <w:color w:val="auto"/>
          <w:spacing w:val="-9"/>
          <w:sz w:val="21"/>
          <w:szCs w:val="21"/>
          <w:highlight w:val="none"/>
        </w:rPr>
        <w:t>下浮率</w:t>
      </w:r>
      <w:r>
        <w:rPr>
          <w:rFonts w:ascii="宋体" w:hAnsi="宋体" w:eastAsia="宋体" w:cs="宋体"/>
          <w:color w:val="auto"/>
          <w:spacing w:val="-9"/>
          <w:sz w:val="21"/>
          <w:szCs w:val="21"/>
          <w:highlight w:val="none"/>
          <w:u w:val="single" w:color="auto"/>
        </w:rPr>
        <w:t xml:space="preserve">    </w:t>
      </w:r>
      <w:r>
        <w:rPr>
          <w:rFonts w:ascii="Times New Roman" w:hAnsi="Times New Roman" w:eastAsia="Times New Roman" w:cs="Times New Roman"/>
          <w:color w:val="auto"/>
          <w:spacing w:val="-9"/>
          <w:sz w:val="21"/>
          <w:szCs w:val="21"/>
          <w:highlight w:val="none"/>
        </w:rPr>
        <w:t>/</w:t>
      </w:r>
      <w:r>
        <w:rPr>
          <w:rFonts w:ascii="宋体" w:hAnsi="宋体" w:eastAsia="宋体" w:cs="宋体"/>
          <w:color w:val="auto"/>
          <w:spacing w:val="-9"/>
          <w:sz w:val="21"/>
          <w:szCs w:val="21"/>
          <w:highlight w:val="none"/>
        </w:rPr>
        <w:t>综合单价</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44"/>
          <w:sz w:val="21"/>
          <w:szCs w:val="21"/>
          <w:highlight w:val="none"/>
        </w:rPr>
        <w:t xml:space="preserve"> </w:t>
      </w:r>
      <w:r>
        <w:rPr>
          <w:rFonts w:ascii="宋体" w:hAnsi="宋体" w:eastAsia="宋体" w:cs="宋体"/>
          <w:color w:val="auto"/>
          <w:spacing w:val="-9"/>
          <w:sz w:val="21"/>
          <w:szCs w:val="21"/>
          <w:highlight w:val="none"/>
        </w:rPr>
        <w:t>（如有）】的投</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标报价，</w:t>
      </w:r>
      <w:r>
        <w:rPr>
          <w:rFonts w:ascii="宋体" w:hAnsi="宋体" w:eastAsia="宋体" w:cs="宋体"/>
          <w:color w:val="auto"/>
          <w:spacing w:val="20"/>
          <w:sz w:val="21"/>
          <w:szCs w:val="21"/>
          <w:highlight w:val="none"/>
        </w:rPr>
        <w:t xml:space="preserve"> </w:t>
      </w:r>
      <w:r>
        <w:rPr>
          <w:rFonts w:ascii="宋体" w:hAnsi="宋体" w:eastAsia="宋体" w:cs="宋体"/>
          <w:color w:val="auto"/>
          <w:spacing w:val="-11"/>
          <w:sz w:val="21"/>
          <w:szCs w:val="21"/>
          <w:highlight w:val="none"/>
        </w:rPr>
        <w:t>工期</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1"/>
          <w:sz w:val="21"/>
          <w:szCs w:val="21"/>
          <w:highlight w:val="none"/>
        </w:rPr>
        <w:t>日历天， 按合同约定实施和完成承包工程，</w:t>
      </w:r>
      <w:r>
        <w:rPr>
          <w:rFonts w:ascii="宋体" w:hAnsi="宋体" w:eastAsia="宋体" w:cs="宋体"/>
          <w:color w:val="auto"/>
          <w:spacing w:val="51"/>
          <w:sz w:val="21"/>
          <w:szCs w:val="21"/>
          <w:highlight w:val="none"/>
        </w:rPr>
        <w:t xml:space="preserve"> </w:t>
      </w:r>
      <w:r>
        <w:rPr>
          <w:rFonts w:ascii="宋体" w:hAnsi="宋体" w:eastAsia="宋体" w:cs="宋体"/>
          <w:color w:val="auto"/>
          <w:spacing w:val="-11"/>
          <w:sz w:val="21"/>
          <w:szCs w:val="21"/>
          <w:highlight w:val="none"/>
        </w:rPr>
        <w:t>修补工程中</w:t>
      </w:r>
      <w:r>
        <w:rPr>
          <w:rFonts w:ascii="宋体" w:hAnsi="宋体" w:eastAsia="宋体" w:cs="宋体"/>
          <w:color w:val="auto"/>
          <w:spacing w:val="-12"/>
          <w:sz w:val="21"/>
          <w:szCs w:val="21"/>
          <w:highlight w:val="none"/>
        </w:rPr>
        <w:t>的任何缺陷，工</w:t>
      </w:r>
    </w:p>
    <w:p w14:paraId="2DE04E5F">
      <w:pPr>
        <w:spacing w:before="1" w:line="221"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程质量达到</w:t>
      </w:r>
      <w:r>
        <w:rPr>
          <w:rFonts w:ascii="宋体" w:hAnsi="宋体" w:eastAsia="宋体" w:cs="宋体"/>
          <w:color w:val="auto"/>
          <w:spacing w:val="-101"/>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w:t>
      </w:r>
    </w:p>
    <w:p w14:paraId="73E48821">
      <w:pPr>
        <w:spacing w:before="219" w:line="422" w:lineRule="auto"/>
        <w:ind w:right="1"/>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在我方的上述投标总报价中， 包括：安全文明施工费 </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3"/>
          <w:sz w:val="21"/>
          <w:szCs w:val="21"/>
          <w:highlight w:val="none"/>
        </w:rPr>
        <w:t>元；暂列金额</w:t>
      </w:r>
    </w:p>
    <w:p w14:paraId="5E2F8892">
      <w:pPr>
        <w:spacing w:line="219" w:lineRule="auto"/>
        <w:ind w:left="1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
          <w:sz w:val="21"/>
          <w:szCs w:val="21"/>
          <w:highlight w:val="none"/>
        </w:rPr>
        <w:t xml:space="preserve">元；专业工程暂估价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
          <w:sz w:val="21"/>
          <w:szCs w:val="21"/>
          <w:highlight w:val="none"/>
        </w:rPr>
        <w:t>元。</w:t>
      </w:r>
    </w:p>
    <w:p w14:paraId="7004FA48">
      <w:pPr>
        <w:spacing w:before="231" w:line="397" w:lineRule="auto"/>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我方拟派的项目经理</w:t>
      </w:r>
      <w:r>
        <w:rPr>
          <w:rFonts w:ascii="宋体" w:hAnsi="宋体" w:eastAsia="宋体" w:cs="宋体"/>
          <w:color w:val="auto"/>
          <w:spacing w:val="-20"/>
          <w:sz w:val="21"/>
          <w:szCs w:val="21"/>
          <w:highlight w:val="none"/>
        </w:rPr>
        <w:t>：</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姓名</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证书名称</w:t>
      </w:r>
      <w:r>
        <w:rPr>
          <w:rFonts w:ascii="宋体" w:hAnsi="宋体" w:eastAsia="宋体" w:cs="宋体"/>
          <w:color w:val="auto"/>
          <w:spacing w:val="-20"/>
          <w:sz w:val="21"/>
          <w:szCs w:val="21"/>
          <w:highlight w:val="none"/>
        </w:rPr>
        <w:t>：</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77"/>
          <w:sz w:val="21"/>
          <w:szCs w:val="21"/>
          <w:highlight w:val="none"/>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证书编号：</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047259FD">
      <w:pPr>
        <w:spacing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我方承诺在投标有效期</w:t>
      </w:r>
      <w:r>
        <w:rPr>
          <w:rFonts w:ascii="宋体" w:hAnsi="宋体" w:eastAsia="宋体" w:cs="宋体"/>
          <w:color w:val="auto"/>
          <w:spacing w:val="-93"/>
          <w:sz w:val="21"/>
          <w:szCs w:val="21"/>
          <w:highlight w:val="none"/>
        </w:rPr>
        <w:t xml:space="preserve"> </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2"/>
          <w:sz w:val="21"/>
          <w:szCs w:val="21"/>
          <w:highlight w:val="none"/>
        </w:rPr>
        <w:t>天内不修改、撤销投标文件。</w:t>
      </w:r>
    </w:p>
    <w:p w14:paraId="11CAC76A">
      <w:pPr>
        <w:spacing w:before="187" w:line="388"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随同本投标函提交投标保证金一份，</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金额为人民币（大</w:t>
      </w:r>
      <w:r>
        <w:rPr>
          <w:rFonts w:ascii="宋体" w:hAnsi="宋体" w:eastAsia="宋体" w:cs="宋体"/>
          <w:color w:val="auto"/>
          <w:spacing w:val="-3"/>
          <w:sz w:val="21"/>
          <w:szCs w:val="21"/>
          <w:highlight w:val="none"/>
        </w:rPr>
        <w:t xml:space="preserve">写）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元(</w:t>
      </w:r>
      <w:r>
        <w:rPr>
          <w:rFonts w:ascii="Times New Roman" w:hAnsi="Times New Roman" w:eastAsia="Times New Roman" w:cs="Times New Roman"/>
          <w:color w:val="auto"/>
          <w:spacing w:val="-3"/>
          <w:sz w:val="21"/>
          <w:szCs w:val="21"/>
          <w:highlight w:val="none"/>
        </w:rPr>
        <w:t>¥</w:t>
      </w:r>
      <w:r>
        <w:rPr>
          <w:rFonts w:ascii="Times New Roman" w:hAnsi="Times New Roman" w:eastAsia="Times New Roman" w:cs="Times New Roman"/>
          <w:color w:val="auto"/>
          <w:spacing w:val="-3"/>
          <w:sz w:val="21"/>
          <w:szCs w:val="21"/>
          <w:highlight w:val="none"/>
          <w:u w:val="single" w:color="auto"/>
        </w:rPr>
        <w:t xml:space="preserve">            </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3"/>
          <w:sz w:val="21"/>
          <w:szCs w:val="21"/>
          <w:highlight w:val="none"/>
        </w:rPr>
        <w:t>)。</w:t>
      </w:r>
    </w:p>
    <w:p w14:paraId="3019B668">
      <w:pPr>
        <w:spacing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如我方中标：</w:t>
      </w:r>
    </w:p>
    <w:p w14:paraId="6CF98B0F">
      <w:pPr>
        <w:spacing w:before="190" w:line="437" w:lineRule="exact"/>
        <w:ind w:left="447"/>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1</w:t>
      </w:r>
      <w:r>
        <w:rPr>
          <w:rFonts w:ascii="宋体" w:hAnsi="宋体" w:eastAsia="宋体" w:cs="宋体"/>
          <w:color w:val="auto"/>
          <w:position w:val="17"/>
          <w:sz w:val="21"/>
          <w:szCs w:val="21"/>
          <w:highlight w:val="none"/>
        </w:rPr>
        <w:t>）我方承诺在收到中标通知书后，在中标通知书规定</w:t>
      </w:r>
      <w:r>
        <w:rPr>
          <w:rFonts w:ascii="宋体" w:hAnsi="宋体" w:eastAsia="宋体" w:cs="宋体"/>
          <w:color w:val="auto"/>
          <w:spacing w:val="-1"/>
          <w:position w:val="17"/>
          <w:sz w:val="21"/>
          <w:szCs w:val="21"/>
          <w:highlight w:val="none"/>
        </w:rPr>
        <w:t>的期限内与你方签订合同。</w:t>
      </w:r>
    </w:p>
    <w:p w14:paraId="7155A8E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）随同本投标函递交的投标函附录属于合同文件的组成部分。</w:t>
      </w:r>
    </w:p>
    <w:p w14:paraId="39008056">
      <w:pPr>
        <w:spacing w:before="191"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）我方承诺按照招标文件规定向你方递交履约保证金。</w:t>
      </w:r>
    </w:p>
    <w:p w14:paraId="00010D1A">
      <w:pPr>
        <w:spacing w:before="191" w:line="436" w:lineRule="exact"/>
        <w:ind w:left="447"/>
        <w:rPr>
          <w:rFonts w:ascii="宋体" w:hAnsi="宋体" w:eastAsia="宋体" w:cs="宋体"/>
          <w:color w:val="auto"/>
          <w:sz w:val="21"/>
          <w:szCs w:val="21"/>
          <w:highlight w:val="none"/>
        </w:rPr>
      </w:pPr>
      <w:r>
        <w:rPr>
          <w:rFonts w:ascii="宋体" w:hAnsi="宋体" w:eastAsia="宋体" w:cs="宋体"/>
          <w:color w:val="auto"/>
          <w:spacing w:val="-1"/>
          <w:position w:val="17"/>
          <w:sz w:val="21"/>
          <w:szCs w:val="21"/>
          <w:highlight w:val="none"/>
        </w:rPr>
        <w:t>（</w:t>
      </w:r>
      <w:r>
        <w:rPr>
          <w:rFonts w:ascii="Times New Roman" w:hAnsi="Times New Roman" w:eastAsia="Times New Roman" w:cs="Times New Roman"/>
          <w:color w:val="auto"/>
          <w:spacing w:val="-1"/>
          <w:position w:val="17"/>
          <w:sz w:val="21"/>
          <w:szCs w:val="21"/>
          <w:highlight w:val="none"/>
        </w:rPr>
        <w:t>4</w:t>
      </w:r>
      <w:r>
        <w:rPr>
          <w:rFonts w:ascii="宋体" w:hAnsi="宋体" w:eastAsia="宋体" w:cs="宋体"/>
          <w:color w:val="auto"/>
          <w:spacing w:val="-1"/>
          <w:position w:val="17"/>
          <w:sz w:val="21"/>
          <w:szCs w:val="21"/>
          <w:highlight w:val="none"/>
        </w:rPr>
        <w:t>）我方承诺在合同约定的期限内完成并</w:t>
      </w:r>
      <w:r>
        <w:rPr>
          <w:rFonts w:ascii="宋体" w:hAnsi="宋体" w:eastAsia="宋体" w:cs="宋体"/>
          <w:color w:val="auto"/>
          <w:spacing w:val="-2"/>
          <w:position w:val="17"/>
          <w:sz w:val="21"/>
          <w:szCs w:val="21"/>
          <w:highlight w:val="none"/>
        </w:rPr>
        <w:t>移交全部合同工程。</w:t>
      </w:r>
    </w:p>
    <w:p w14:paraId="2BE1E8CB">
      <w:pPr>
        <w:spacing w:before="1" w:line="232"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w:t>
      </w:r>
    </w:p>
    <w:p w14:paraId="77687EE7">
      <w:pPr>
        <w:spacing w:before="178" w:line="441"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7"/>
          <w:sz w:val="21"/>
          <w:szCs w:val="21"/>
          <w:highlight w:val="none"/>
        </w:rPr>
        <w:t>6.</w:t>
      </w:r>
      <w:r>
        <w:rPr>
          <w:rFonts w:ascii="宋体" w:hAnsi="宋体" w:eastAsia="宋体" w:cs="宋体"/>
          <w:color w:val="auto"/>
          <w:spacing w:val="4"/>
          <w:position w:val="17"/>
          <w:sz w:val="21"/>
          <w:szCs w:val="21"/>
          <w:highlight w:val="none"/>
        </w:rPr>
        <w:t>我方在此声明，所递交的投标文件及有关资料内容完整、真实和准确，且不存在第</w:t>
      </w:r>
    </w:p>
    <w:p w14:paraId="1B943620">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二章“投标人须知”第</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项规定的任何一种情形。</w:t>
      </w:r>
    </w:p>
    <w:p w14:paraId="156CE6C3">
      <w:pPr>
        <w:spacing w:before="186"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52"/>
          <w:sz w:val="21"/>
          <w:szCs w:val="21"/>
          <w:highlight w:val="none"/>
        </w:rPr>
        <w:t xml:space="preserve"> </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（其他补充说明）。</w:t>
      </w:r>
    </w:p>
    <w:p w14:paraId="7BBA3C87">
      <w:pPr>
        <w:spacing w:before="191" w:line="388" w:lineRule="auto"/>
        <w:ind w:left="3699"/>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投</w:t>
      </w:r>
      <w:r>
        <w:rPr>
          <w:rFonts w:ascii="宋体" w:hAnsi="宋体" w:eastAsia="宋体" w:cs="宋体"/>
          <w:color w:val="auto"/>
          <w:spacing w:val="-42"/>
          <w:sz w:val="21"/>
          <w:szCs w:val="21"/>
          <w:highlight w:val="none"/>
        </w:rPr>
        <w:t xml:space="preserve"> </w:t>
      </w:r>
      <w:r>
        <w:rPr>
          <w:rFonts w:ascii="宋体" w:hAnsi="宋体" w:eastAsia="宋体" w:cs="宋体"/>
          <w:color w:val="auto"/>
          <w:spacing w:val="-24"/>
          <w:sz w:val="21"/>
          <w:szCs w:val="21"/>
          <w:highlight w:val="none"/>
        </w:rPr>
        <w:t>标</w:t>
      </w:r>
      <w:r>
        <w:rPr>
          <w:rFonts w:ascii="宋体" w:hAnsi="宋体" w:eastAsia="宋体" w:cs="宋体"/>
          <w:color w:val="auto"/>
          <w:spacing w:val="-43"/>
          <w:sz w:val="21"/>
          <w:szCs w:val="21"/>
          <w:highlight w:val="none"/>
        </w:rPr>
        <w:t xml:space="preserve"> </w:t>
      </w:r>
      <w:r>
        <w:rPr>
          <w:rFonts w:ascii="宋体" w:hAnsi="宋体" w:eastAsia="宋体" w:cs="宋体"/>
          <w:color w:val="auto"/>
          <w:spacing w:val="-24"/>
          <w:sz w:val="21"/>
          <w:szCs w:val="21"/>
          <w:highlight w:val="none"/>
        </w:rPr>
        <w:t>人</w:t>
      </w:r>
      <w:r>
        <w:rPr>
          <w:rFonts w:ascii="宋体" w:hAnsi="宋体" w:eastAsia="宋体" w:cs="宋体"/>
          <w:color w:val="auto"/>
          <w:spacing w:val="2"/>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24"/>
          <w:sz w:val="21"/>
          <w:szCs w:val="21"/>
          <w:highlight w:val="none"/>
        </w:rPr>
        <w:t>盖单位章）</w:t>
      </w:r>
    </w:p>
    <w:p w14:paraId="0916E5EB">
      <w:pPr>
        <w:spacing w:before="1" w:line="219" w:lineRule="auto"/>
        <w:ind w:left="243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7"/>
          <w:sz w:val="21"/>
          <w:szCs w:val="21"/>
          <w:highlight w:val="none"/>
        </w:rPr>
        <w:t>签章）</w:t>
      </w:r>
    </w:p>
    <w:p w14:paraId="356B7C79">
      <w:pPr>
        <w:tabs>
          <w:tab w:val="left" w:pos="6844"/>
        </w:tabs>
        <w:spacing w:before="189" w:line="387" w:lineRule="auto"/>
        <w:ind w:left="3694" w:right="1488" w:firstLine="1"/>
        <w:jc w:val="both"/>
        <w:rPr>
          <w:rFonts w:ascii="宋体" w:hAnsi="宋体" w:eastAsia="宋体" w:cs="宋体"/>
          <w:color w:val="auto"/>
          <w:sz w:val="21"/>
          <w:szCs w:val="21"/>
          <w:highlight w:val="none"/>
        </w:rPr>
      </w:pPr>
      <w:r>
        <w:rPr>
          <w:rFonts w:ascii="宋体" w:hAnsi="宋体" w:eastAsia="宋体" w:cs="宋体"/>
          <w:color w:val="auto"/>
          <w:spacing w:val="-28"/>
          <w:w w:val="96"/>
          <w:sz w:val="21"/>
          <w:szCs w:val="21"/>
          <w:highlight w:val="none"/>
        </w:rPr>
        <w:t>地址：</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35"/>
          <w:sz w:val="21"/>
          <w:szCs w:val="21"/>
          <w:highlight w:val="none"/>
        </w:rPr>
        <w:t>网址：</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30"/>
          <w:w w:val="97"/>
          <w:sz w:val="21"/>
          <w:szCs w:val="21"/>
          <w:highlight w:val="none"/>
        </w:rPr>
        <w:t>电话：</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6"/>
          <w:w w:val="95"/>
          <w:sz w:val="21"/>
          <w:szCs w:val="21"/>
          <w:highlight w:val="none"/>
        </w:rPr>
        <w:t>传真：</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u w:val="single" w:color="auto"/>
        </w:rPr>
        <w:t xml:space="preserve">                         </w:t>
      </w:r>
    </w:p>
    <w:p w14:paraId="3E3A571C">
      <w:pPr>
        <w:spacing w:line="220" w:lineRule="auto"/>
        <w:ind w:left="3712"/>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6"/>
          <w:sz w:val="21"/>
          <w:szCs w:val="21"/>
          <w:highlight w:val="none"/>
        </w:rPr>
        <w:t xml:space="preserve"> </w:t>
      </w:r>
      <w:r>
        <w:rPr>
          <w:rFonts w:ascii="宋体" w:hAnsi="宋体" w:eastAsia="宋体" w:cs="宋体"/>
          <w:color w:val="auto"/>
          <w:sz w:val="21"/>
          <w:szCs w:val="21"/>
          <w:highlight w:val="none"/>
          <w:u w:val="single" w:color="auto"/>
        </w:rPr>
        <w:t xml:space="preserve">                     </w:t>
      </w:r>
    </w:p>
    <w:p w14:paraId="39F01647">
      <w:pPr>
        <w:tabs>
          <w:tab w:val="left" w:pos="5580"/>
        </w:tabs>
        <w:spacing w:before="191" w:line="221" w:lineRule="auto"/>
        <w:ind w:left="515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1EE8BCFB">
      <w:pPr>
        <w:spacing w:line="221" w:lineRule="auto"/>
        <w:rPr>
          <w:rFonts w:ascii="宋体" w:hAnsi="宋体" w:eastAsia="宋体" w:cs="宋体"/>
          <w:color w:val="auto"/>
          <w:sz w:val="21"/>
          <w:szCs w:val="21"/>
          <w:highlight w:val="none"/>
        </w:rPr>
        <w:sectPr>
          <w:footerReference r:id="rId155" w:type="default"/>
          <w:pgSz w:w="11905" w:h="16839"/>
          <w:pgMar w:top="400" w:right="1785" w:bottom="1004" w:left="1785" w:header="0" w:footer="828" w:gutter="0"/>
          <w:pgNumType w:fmt="decimal"/>
          <w:cols w:space="720" w:num="1"/>
        </w:sectPr>
      </w:pPr>
    </w:p>
    <w:p w14:paraId="27604D88">
      <w:pPr>
        <w:pStyle w:val="5"/>
        <w:spacing w:line="257" w:lineRule="auto"/>
        <w:rPr>
          <w:color w:val="auto"/>
          <w:highlight w:val="none"/>
        </w:rPr>
      </w:pPr>
    </w:p>
    <w:p w14:paraId="55DE7FD4">
      <w:pPr>
        <w:pStyle w:val="5"/>
        <w:spacing w:line="257" w:lineRule="auto"/>
        <w:rPr>
          <w:color w:val="auto"/>
          <w:highlight w:val="none"/>
        </w:rPr>
      </w:pPr>
    </w:p>
    <w:p w14:paraId="0966D744">
      <w:pPr>
        <w:pStyle w:val="5"/>
        <w:spacing w:line="257" w:lineRule="auto"/>
        <w:rPr>
          <w:color w:val="auto"/>
          <w:highlight w:val="none"/>
        </w:rPr>
      </w:pPr>
    </w:p>
    <w:p w14:paraId="62ABBF25">
      <w:pPr>
        <w:pStyle w:val="5"/>
        <w:spacing w:line="257" w:lineRule="auto"/>
        <w:rPr>
          <w:color w:val="auto"/>
          <w:highlight w:val="none"/>
        </w:rPr>
      </w:pPr>
    </w:p>
    <w:p w14:paraId="1797D2A6">
      <w:pPr>
        <w:spacing w:before="87" w:line="225" w:lineRule="auto"/>
        <w:ind w:left="3390"/>
        <w:rPr>
          <w:rFonts w:ascii="黑体" w:hAnsi="黑体" w:eastAsia="黑体" w:cs="黑体"/>
          <w:color w:val="auto"/>
          <w:sz w:val="27"/>
          <w:szCs w:val="27"/>
          <w:highlight w:val="none"/>
        </w:rPr>
      </w:pPr>
      <w:r>
        <w:rPr>
          <w:rFonts w:ascii="黑体" w:hAnsi="黑体" w:eastAsia="黑体" w:cs="黑体"/>
          <w:color w:val="auto"/>
          <w:spacing w:val="3"/>
          <w:sz w:val="27"/>
          <w:szCs w:val="27"/>
          <w:highlight w:val="none"/>
        </w:rPr>
        <w:t>（二）投标函附录</w:t>
      </w:r>
    </w:p>
    <w:p w14:paraId="3014A402">
      <w:pPr>
        <w:spacing w:before="291" w:line="214" w:lineRule="auto"/>
        <w:ind w:left="330"/>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tbl>
      <w:tblPr>
        <w:tblStyle w:val="17"/>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32AB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20BE94FB">
            <w:pPr>
              <w:pStyle w:val="18"/>
              <w:spacing w:before="178" w:line="222" w:lineRule="auto"/>
              <w:ind w:left="160"/>
              <w:rPr>
                <w:color w:val="auto"/>
                <w:highlight w:val="none"/>
              </w:rPr>
            </w:pPr>
            <w:r>
              <w:rPr>
                <w:color w:val="auto"/>
                <w:spacing w:val="-2"/>
                <w:highlight w:val="none"/>
              </w:rPr>
              <w:t>序号</w:t>
            </w:r>
          </w:p>
        </w:tc>
        <w:tc>
          <w:tcPr>
            <w:tcW w:w="2400" w:type="dxa"/>
            <w:vAlign w:val="top"/>
          </w:tcPr>
          <w:p w14:paraId="2E4E816D">
            <w:pPr>
              <w:pStyle w:val="18"/>
              <w:spacing w:before="178" w:line="221" w:lineRule="auto"/>
              <w:ind w:left="787"/>
              <w:rPr>
                <w:color w:val="auto"/>
                <w:highlight w:val="none"/>
              </w:rPr>
            </w:pPr>
            <w:r>
              <w:rPr>
                <w:color w:val="auto"/>
                <w:spacing w:val="-1"/>
                <w:highlight w:val="none"/>
              </w:rPr>
              <w:t>条款内容</w:t>
            </w:r>
          </w:p>
        </w:tc>
        <w:tc>
          <w:tcPr>
            <w:tcW w:w="1315" w:type="dxa"/>
            <w:vAlign w:val="top"/>
          </w:tcPr>
          <w:p w14:paraId="520ACB74">
            <w:pPr>
              <w:pStyle w:val="18"/>
              <w:spacing w:before="178" w:line="221" w:lineRule="auto"/>
              <w:ind w:left="135"/>
              <w:rPr>
                <w:color w:val="auto"/>
                <w:highlight w:val="none"/>
              </w:rPr>
            </w:pPr>
            <w:r>
              <w:rPr>
                <w:color w:val="auto"/>
                <w:spacing w:val="-1"/>
                <w:highlight w:val="none"/>
              </w:rPr>
              <w:t>合同条款号</w:t>
            </w:r>
          </w:p>
        </w:tc>
        <w:tc>
          <w:tcPr>
            <w:tcW w:w="3786" w:type="dxa"/>
            <w:vAlign w:val="top"/>
          </w:tcPr>
          <w:p w14:paraId="1A177D79">
            <w:pPr>
              <w:pStyle w:val="18"/>
              <w:spacing w:before="178" w:line="221" w:lineRule="auto"/>
              <w:ind w:left="1479"/>
              <w:rPr>
                <w:color w:val="auto"/>
                <w:highlight w:val="none"/>
              </w:rPr>
            </w:pPr>
            <w:r>
              <w:rPr>
                <w:color w:val="auto"/>
                <w:spacing w:val="-2"/>
                <w:highlight w:val="none"/>
              </w:rPr>
              <w:t>约定内容</w:t>
            </w:r>
          </w:p>
        </w:tc>
        <w:tc>
          <w:tcPr>
            <w:tcW w:w="729" w:type="dxa"/>
            <w:vAlign w:val="top"/>
          </w:tcPr>
          <w:p w14:paraId="044566AB">
            <w:pPr>
              <w:pStyle w:val="18"/>
              <w:spacing w:before="178" w:line="222" w:lineRule="auto"/>
              <w:ind w:left="159"/>
              <w:rPr>
                <w:color w:val="auto"/>
                <w:highlight w:val="none"/>
              </w:rPr>
            </w:pPr>
            <w:r>
              <w:rPr>
                <w:color w:val="auto"/>
                <w:spacing w:val="-3"/>
                <w:highlight w:val="none"/>
              </w:rPr>
              <w:t>备注</w:t>
            </w:r>
          </w:p>
        </w:tc>
      </w:tr>
      <w:tr w14:paraId="210E4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14:paraId="0C56F64B">
            <w:pPr>
              <w:pStyle w:val="18"/>
              <w:spacing w:before="155" w:line="183" w:lineRule="auto"/>
              <w:ind w:left="330"/>
              <w:rPr>
                <w:color w:val="auto"/>
                <w:highlight w:val="none"/>
              </w:rPr>
            </w:pPr>
            <w:r>
              <w:rPr>
                <w:color w:val="auto"/>
                <w:highlight w:val="none"/>
              </w:rPr>
              <w:t>1</w:t>
            </w:r>
          </w:p>
        </w:tc>
        <w:tc>
          <w:tcPr>
            <w:tcW w:w="2400" w:type="dxa"/>
            <w:vAlign w:val="top"/>
          </w:tcPr>
          <w:p w14:paraId="4D2ECEE3">
            <w:pPr>
              <w:pStyle w:val="18"/>
              <w:spacing w:before="121" w:line="221" w:lineRule="auto"/>
              <w:ind w:left="117"/>
              <w:rPr>
                <w:color w:val="auto"/>
                <w:highlight w:val="none"/>
              </w:rPr>
            </w:pPr>
            <w:r>
              <w:rPr>
                <w:color w:val="auto"/>
                <w:spacing w:val="-2"/>
                <w:highlight w:val="none"/>
              </w:rPr>
              <w:t>项目经理</w:t>
            </w:r>
          </w:p>
        </w:tc>
        <w:tc>
          <w:tcPr>
            <w:tcW w:w="1315" w:type="dxa"/>
            <w:vAlign w:val="top"/>
          </w:tcPr>
          <w:p w14:paraId="162CF09E">
            <w:pPr>
              <w:pStyle w:val="18"/>
              <w:spacing w:before="179" w:line="183" w:lineRule="auto"/>
              <w:ind w:left="308"/>
              <w:rPr>
                <w:color w:val="auto"/>
                <w:highlight w:val="none"/>
              </w:rPr>
            </w:pPr>
            <w:r>
              <w:rPr>
                <w:color w:val="auto"/>
                <w:highlight w:val="none"/>
              </w:rPr>
              <w:fldChar w:fldCharType="begin"/>
            </w:r>
            <w:r>
              <w:rPr>
                <w:color w:val="auto"/>
                <w:highlight w:val="none"/>
              </w:rPr>
              <w:instrText xml:space="preserve"> HYPERLINK "1.1.2.8" </w:instrText>
            </w:r>
            <w:r>
              <w:rPr>
                <w:color w:val="auto"/>
                <w:highlight w:val="none"/>
              </w:rPr>
              <w:fldChar w:fldCharType="separate"/>
            </w:r>
            <w:r>
              <w:rPr>
                <w:color w:val="auto"/>
                <w:spacing w:val="-3"/>
                <w:highlight w:val="none"/>
              </w:rPr>
              <w:t>1.1.2.8</w:t>
            </w:r>
            <w:r>
              <w:rPr>
                <w:color w:val="auto"/>
                <w:spacing w:val="-3"/>
                <w:highlight w:val="none"/>
              </w:rPr>
              <w:fldChar w:fldCharType="end"/>
            </w:r>
          </w:p>
        </w:tc>
        <w:tc>
          <w:tcPr>
            <w:tcW w:w="3786" w:type="dxa"/>
            <w:vAlign w:val="top"/>
          </w:tcPr>
          <w:p w14:paraId="0892F8FE">
            <w:pPr>
              <w:pStyle w:val="18"/>
              <w:spacing w:before="120" w:line="221" w:lineRule="auto"/>
              <w:ind w:left="117"/>
              <w:rPr>
                <w:color w:val="auto"/>
                <w:highlight w:val="none"/>
              </w:rPr>
            </w:pPr>
            <w:r>
              <w:rPr>
                <w:color w:val="auto"/>
                <w:spacing w:val="-5"/>
                <w:highlight w:val="none"/>
              </w:rPr>
              <w:t>（见投标函）</w:t>
            </w:r>
          </w:p>
        </w:tc>
        <w:tc>
          <w:tcPr>
            <w:tcW w:w="729" w:type="dxa"/>
            <w:vAlign w:val="top"/>
          </w:tcPr>
          <w:p w14:paraId="50D4FEC9">
            <w:pPr>
              <w:rPr>
                <w:rFonts w:ascii="Arial"/>
                <w:color w:val="auto"/>
                <w:sz w:val="21"/>
                <w:highlight w:val="none"/>
              </w:rPr>
            </w:pPr>
          </w:p>
        </w:tc>
      </w:tr>
      <w:tr w14:paraId="43301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64A78398">
            <w:pPr>
              <w:pStyle w:val="18"/>
              <w:spacing w:before="137" w:line="182" w:lineRule="auto"/>
              <w:ind w:left="317"/>
              <w:rPr>
                <w:color w:val="auto"/>
                <w:highlight w:val="none"/>
              </w:rPr>
            </w:pPr>
            <w:r>
              <w:rPr>
                <w:color w:val="auto"/>
                <w:highlight w:val="none"/>
              </w:rPr>
              <w:t>2</w:t>
            </w:r>
          </w:p>
        </w:tc>
        <w:tc>
          <w:tcPr>
            <w:tcW w:w="2400" w:type="dxa"/>
            <w:vAlign w:val="top"/>
          </w:tcPr>
          <w:p w14:paraId="13388AAF">
            <w:pPr>
              <w:pStyle w:val="18"/>
              <w:spacing w:before="102" w:line="221" w:lineRule="auto"/>
              <w:ind w:left="116"/>
              <w:rPr>
                <w:color w:val="auto"/>
                <w:highlight w:val="none"/>
              </w:rPr>
            </w:pPr>
            <w:r>
              <w:rPr>
                <w:color w:val="auto"/>
                <w:spacing w:val="-3"/>
                <w:highlight w:val="none"/>
              </w:rPr>
              <w:t>工期</w:t>
            </w:r>
          </w:p>
        </w:tc>
        <w:tc>
          <w:tcPr>
            <w:tcW w:w="1315" w:type="dxa"/>
            <w:vAlign w:val="top"/>
          </w:tcPr>
          <w:p w14:paraId="0B2F8429">
            <w:pPr>
              <w:pStyle w:val="18"/>
              <w:spacing w:before="165" w:line="183" w:lineRule="auto"/>
              <w:ind w:left="308"/>
              <w:rPr>
                <w:color w:val="auto"/>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color w:val="auto"/>
                <w:spacing w:val="-3"/>
                <w:highlight w:val="none"/>
              </w:rPr>
              <w:t>1.1.4.3</w:t>
            </w:r>
            <w:r>
              <w:rPr>
                <w:color w:val="auto"/>
                <w:spacing w:val="-3"/>
                <w:highlight w:val="none"/>
              </w:rPr>
              <w:fldChar w:fldCharType="end"/>
            </w:r>
          </w:p>
        </w:tc>
        <w:tc>
          <w:tcPr>
            <w:tcW w:w="3786" w:type="dxa"/>
            <w:vAlign w:val="top"/>
          </w:tcPr>
          <w:p w14:paraId="6D8625FF">
            <w:pPr>
              <w:pStyle w:val="18"/>
              <w:spacing w:before="101" w:line="221" w:lineRule="auto"/>
              <w:ind w:left="117"/>
              <w:rPr>
                <w:color w:val="auto"/>
                <w:highlight w:val="none"/>
              </w:rPr>
            </w:pPr>
            <w:r>
              <w:rPr>
                <w:color w:val="auto"/>
                <w:spacing w:val="-5"/>
                <w:highlight w:val="none"/>
              </w:rPr>
              <w:t>（见投标函）</w:t>
            </w:r>
          </w:p>
        </w:tc>
        <w:tc>
          <w:tcPr>
            <w:tcW w:w="729" w:type="dxa"/>
            <w:vAlign w:val="top"/>
          </w:tcPr>
          <w:p w14:paraId="2F964580">
            <w:pPr>
              <w:rPr>
                <w:rFonts w:ascii="Arial"/>
                <w:color w:val="auto"/>
                <w:sz w:val="21"/>
                <w:highlight w:val="none"/>
              </w:rPr>
            </w:pPr>
          </w:p>
        </w:tc>
      </w:tr>
      <w:tr w14:paraId="01D98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018C9990">
            <w:pPr>
              <w:pStyle w:val="18"/>
              <w:spacing w:before="137" w:line="182" w:lineRule="auto"/>
              <w:ind w:left="319"/>
              <w:rPr>
                <w:color w:val="auto"/>
                <w:highlight w:val="none"/>
              </w:rPr>
            </w:pPr>
            <w:r>
              <w:rPr>
                <w:color w:val="auto"/>
                <w:highlight w:val="none"/>
              </w:rPr>
              <w:t>3</w:t>
            </w:r>
          </w:p>
        </w:tc>
        <w:tc>
          <w:tcPr>
            <w:tcW w:w="2400" w:type="dxa"/>
            <w:vAlign w:val="top"/>
          </w:tcPr>
          <w:p w14:paraId="74F208AC">
            <w:pPr>
              <w:pStyle w:val="18"/>
              <w:spacing w:before="101" w:line="221" w:lineRule="auto"/>
              <w:ind w:left="113"/>
              <w:rPr>
                <w:color w:val="auto"/>
                <w:highlight w:val="none"/>
              </w:rPr>
            </w:pPr>
            <w:r>
              <w:rPr>
                <w:color w:val="auto"/>
                <w:spacing w:val="-1"/>
                <w:highlight w:val="none"/>
              </w:rPr>
              <w:t>缺陷责任期</w:t>
            </w:r>
          </w:p>
        </w:tc>
        <w:tc>
          <w:tcPr>
            <w:tcW w:w="1315" w:type="dxa"/>
            <w:vAlign w:val="top"/>
          </w:tcPr>
          <w:p w14:paraId="0CBFB2A1">
            <w:pPr>
              <w:pStyle w:val="18"/>
              <w:spacing w:before="160" w:line="183" w:lineRule="auto"/>
              <w:ind w:left="336"/>
              <w:rPr>
                <w:color w:val="auto"/>
                <w:highlight w:val="none"/>
              </w:rPr>
            </w:pPr>
            <w:r>
              <w:rPr>
                <w:color w:val="auto"/>
                <w:highlight w:val="none"/>
              </w:rPr>
              <w:fldChar w:fldCharType="begin"/>
            </w:r>
            <w:r>
              <w:rPr>
                <w:color w:val="auto"/>
                <w:highlight w:val="none"/>
              </w:rPr>
              <w:instrText xml:space="preserve"> HYPERLINK "1.1.4.4" </w:instrText>
            </w:r>
            <w:r>
              <w:rPr>
                <w:color w:val="auto"/>
                <w:highlight w:val="none"/>
              </w:rPr>
              <w:fldChar w:fldCharType="separate"/>
            </w:r>
            <w:r>
              <w:rPr>
                <w:color w:val="auto"/>
                <w:spacing w:val="-3"/>
                <w:highlight w:val="none"/>
              </w:rPr>
              <w:t>1.1.4.4</w:t>
            </w:r>
            <w:r>
              <w:rPr>
                <w:color w:val="auto"/>
                <w:spacing w:val="-3"/>
                <w:highlight w:val="none"/>
              </w:rPr>
              <w:fldChar w:fldCharType="end"/>
            </w:r>
          </w:p>
        </w:tc>
        <w:tc>
          <w:tcPr>
            <w:tcW w:w="3786" w:type="dxa"/>
            <w:vAlign w:val="top"/>
          </w:tcPr>
          <w:p w14:paraId="1D6A76F4">
            <w:pPr>
              <w:rPr>
                <w:rFonts w:ascii="Arial"/>
                <w:color w:val="auto"/>
                <w:sz w:val="21"/>
                <w:highlight w:val="none"/>
              </w:rPr>
            </w:pPr>
          </w:p>
        </w:tc>
        <w:tc>
          <w:tcPr>
            <w:tcW w:w="729" w:type="dxa"/>
            <w:vAlign w:val="top"/>
          </w:tcPr>
          <w:p w14:paraId="6D59886E">
            <w:pPr>
              <w:rPr>
                <w:rFonts w:ascii="Arial"/>
                <w:color w:val="auto"/>
                <w:sz w:val="21"/>
                <w:highlight w:val="none"/>
              </w:rPr>
            </w:pPr>
          </w:p>
        </w:tc>
      </w:tr>
      <w:tr w14:paraId="01D8B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752343C8">
            <w:pPr>
              <w:pStyle w:val="18"/>
              <w:spacing w:before="210" w:line="182" w:lineRule="auto"/>
              <w:ind w:left="314"/>
              <w:rPr>
                <w:color w:val="auto"/>
                <w:highlight w:val="none"/>
              </w:rPr>
            </w:pPr>
            <w:r>
              <w:rPr>
                <w:color w:val="auto"/>
                <w:highlight w:val="none"/>
              </w:rPr>
              <w:t>4</w:t>
            </w:r>
          </w:p>
        </w:tc>
        <w:tc>
          <w:tcPr>
            <w:tcW w:w="2400" w:type="dxa"/>
            <w:vAlign w:val="top"/>
          </w:tcPr>
          <w:p w14:paraId="5D33EADB">
            <w:pPr>
              <w:pStyle w:val="18"/>
              <w:spacing w:before="40" w:line="229" w:lineRule="auto"/>
              <w:ind w:left="113" w:right="102" w:firstLine="4"/>
              <w:rPr>
                <w:color w:val="auto"/>
                <w:highlight w:val="none"/>
              </w:rPr>
            </w:pPr>
            <w:r>
              <w:rPr>
                <w:color w:val="auto"/>
                <w:spacing w:val="7"/>
                <w:highlight w:val="none"/>
              </w:rPr>
              <w:t>项目经理每月在施工现</w:t>
            </w:r>
            <w:r>
              <w:rPr>
                <w:color w:val="auto"/>
                <w:spacing w:val="3"/>
                <w:highlight w:val="none"/>
              </w:rPr>
              <w:t xml:space="preserve"> </w:t>
            </w:r>
            <w:r>
              <w:rPr>
                <w:color w:val="auto"/>
                <w:spacing w:val="-1"/>
                <w:highlight w:val="none"/>
              </w:rPr>
              <w:t>场的时间</w:t>
            </w:r>
          </w:p>
        </w:tc>
        <w:tc>
          <w:tcPr>
            <w:tcW w:w="1315" w:type="dxa"/>
            <w:vAlign w:val="top"/>
          </w:tcPr>
          <w:p w14:paraId="0A5D9DA9">
            <w:pPr>
              <w:pStyle w:val="18"/>
              <w:spacing w:before="233" w:line="183" w:lineRule="auto"/>
              <w:ind w:left="431"/>
              <w:rPr>
                <w:color w:val="auto"/>
                <w:highlight w:val="none"/>
              </w:rPr>
            </w:pPr>
            <w:r>
              <w:rPr>
                <w:color w:val="auto"/>
                <w:spacing w:val="-2"/>
                <w:highlight w:val="none"/>
              </w:rPr>
              <w:t>3.2.1</w:t>
            </w:r>
          </w:p>
        </w:tc>
        <w:tc>
          <w:tcPr>
            <w:tcW w:w="3786" w:type="dxa"/>
            <w:vAlign w:val="top"/>
          </w:tcPr>
          <w:p w14:paraId="7C2CC04C">
            <w:pPr>
              <w:rPr>
                <w:rFonts w:ascii="Arial"/>
                <w:color w:val="auto"/>
                <w:sz w:val="21"/>
                <w:highlight w:val="none"/>
              </w:rPr>
            </w:pPr>
          </w:p>
        </w:tc>
        <w:tc>
          <w:tcPr>
            <w:tcW w:w="729" w:type="dxa"/>
            <w:vAlign w:val="top"/>
          </w:tcPr>
          <w:p w14:paraId="3E55231A">
            <w:pPr>
              <w:rPr>
                <w:rFonts w:ascii="Arial"/>
                <w:color w:val="auto"/>
                <w:sz w:val="21"/>
                <w:highlight w:val="none"/>
              </w:rPr>
            </w:pPr>
          </w:p>
        </w:tc>
      </w:tr>
      <w:tr w14:paraId="07B19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6A60ADD4">
            <w:pPr>
              <w:pStyle w:val="18"/>
              <w:spacing w:before="211" w:line="181" w:lineRule="auto"/>
              <w:ind w:left="319"/>
              <w:rPr>
                <w:color w:val="auto"/>
                <w:highlight w:val="none"/>
              </w:rPr>
            </w:pPr>
            <w:r>
              <w:rPr>
                <w:color w:val="auto"/>
                <w:highlight w:val="none"/>
              </w:rPr>
              <w:t>5</w:t>
            </w:r>
          </w:p>
        </w:tc>
        <w:tc>
          <w:tcPr>
            <w:tcW w:w="2400" w:type="dxa"/>
            <w:vAlign w:val="top"/>
          </w:tcPr>
          <w:p w14:paraId="152C160E">
            <w:pPr>
              <w:pStyle w:val="18"/>
              <w:spacing w:before="40" w:line="229" w:lineRule="auto"/>
              <w:ind w:left="115" w:right="102" w:firstLine="1"/>
              <w:rPr>
                <w:color w:val="auto"/>
                <w:highlight w:val="none"/>
              </w:rPr>
            </w:pPr>
            <w:r>
              <w:rPr>
                <w:color w:val="auto"/>
                <w:spacing w:val="7"/>
                <w:highlight w:val="none"/>
              </w:rPr>
              <w:t>项目经理擅自离开施工</w:t>
            </w:r>
            <w:r>
              <w:rPr>
                <w:color w:val="auto"/>
                <w:spacing w:val="3"/>
                <w:highlight w:val="none"/>
              </w:rPr>
              <w:t xml:space="preserve"> </w:t>
            </w:r>
            <w:r>
              <w:rPr>
                <w:color w:val="auto"/>
                <w:spacing w:val="-1"/>
                <w:highlight w:val="none"/>
              </w:rPr>
              <w:t>现场的违约责任</w:t>
            </w:r>
          </w:p>
        </w:tc>
        <w:tc>
          <w:tcPr>
            <w:tcW w:w="1315" w:type="dxa"/>
            <w:vAlign w:val="top"/>
          </w:tcPr>
          <w:p w14:paraId="538DB474">
            <w:pPr>
              <w:pStyle w:val="18"/>
              <w:spacing w:before="233" w:line="183" w:lineRule="auto"/>
              <w:ind w:left="431"/>
              <w:rPr>
                <w:color w:val="auto"/>
                <w:highlight w:val="none"/>
              </w:rPr>
            </w:pPr>
            <w:r>
              <w:rPr>
                <w:color w:val="auto"/>
                <w:spacing w:val="-2"/>
                <w:highlight w:val="none"/>
              </w:rPr>
              <w:t>3.2.1</w:t>
            </w:r>
          </w:p>
        </w:tc>
        <w:tc>
          <w:tcPr>
            <w:tcW w:w="3786" w:type="dxa"/>
            <w:vAlign w:val="top"/>
          </w:tcPr>
          <w:p w14:paraId="037ADBFD">
            <w:pPr>
              <w:rPr>
                <w:rFonts w:ascii="Arial"/>
                <w:color w:val="auto"/>
                <w:sz w:val="21"/>
                <w:highlight w:val="none"/>
              </w:rPr>
            </w:pPr>
          </w:p>
        </w:tc>
        <w:tc>
          <w:tcPr>
            <w:tcW w:w="729" w:type="dxa"/>
            <w:vAlign w:val="top"/>
          </w:tcPr>
          <w:p w14:paraId="71C2326F">
            <w:pPr>
              <w:rPr>
                <w:rFonts w:ascii="Arial"/>
                <w:color w:val="auto"/>
                <w:sz w:val="21"/>
                <w:highlight w:val="none"/>
              </w:rPr>
            </w:pPr>
          </w:p>
        </w:tc>
      </w:tr>
      <w:tr w14:paraId="32C7F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0F34723A">
            <w:pPr>
              <w:pStyle w:val="18"/>
              <w:spacing w:before="215" w:line="182" w:lineRule="auto"/>
              <w:ind w:left="316"/>
              <w:rPr>
                <w:color w:val="auto"/>
                <w:highlight w:val="none"/>
              </w:rPr>
            </w:pPr>
            <w:r>
              <w:rPr>
                <w:color w:val="auto"/>
                <w:highlight w:val="none"/>
              </w:rPr>
              <w:t>6</w:t>
            </w:r>
          </w:p>
        </w:tc>
        <w:tc>
          <w:tcPr>
            <w:tcW w:w="2400" w:type="dxa"/>
            <w:vAlign w:val="top"/>
          </w:tcPr>
          <w:p w14:paraId="7DBB76D2">
            <w:pPr>
              <w:pStyle w:val="18"/>
              <w:spacing w:before="40" w:line="229" w:lineRule="auto"/>
              <w:ind w:left="118" w:right="102" w:hanging="4"/>
              <w:rPr>
                <w:color w:val="auto"/>
                <w:highlight w:val="none"/>
              </w:rPr>
            </w:pPr>
            <w:r>
              <w:rPr>
                <w:color w:val="auto"/>
                <w:spacing w:val="7"/>
                <w:highlight w:val="none"/>
              </w:rPr>
              <w:t>擅自更换项目经理的违</w:t>
            </w:r>
            <w:r>
              <w:rPr>
                <w:color w:val="auto"/>
                <w:spacing w:val="6"/>
                <w:highlight w:val="none"/>
              </w:rPr>
              <w:t xml:space="preserve"> </w:t>
            </w:r>
            <w:r>
              <w:rPr>
                <w:color w:val="auto"/>
                <w:spacing w:val="-3"/>
                <w:highlight w:val="none"/>
              </w:rPr>
              <w:t>约责任</w:t>
            </w:r>
          </w:p>
        </w:tc>
        <w:tc>
          <w:tcPr>
            <w:tcW w:w="1315" w:type="dxa"/>
            <w:vAlign w:val="top"/>
          </w:tcPr>
          <w:p w14:paraId="64315953">
            <w:pPr>
              <w:pStyle w:val="18"/>
              <w:spacing w:before="239" w:line="182" w:lineRule="auto"/>
              <w:ind w:left="431"/>
              <w:rPr>
                <w:color w:val="auto"/>
                <w:highlight w:val="none"/>
              </w:rPr>
            </w:pPr>
            <w:r>
              <w:rPr>
                <w:color w:val="auto"/>
                <w:spacing w:val="-2"/>
                <w:highlight w:val="none"/>
              </w:rPr>
              <w:t>3.2.3</w:t>
            </w:r>
          </w:p>
        </w:tc>
        <w:tc>
          <w:tcPr>
            <w:tcW w:w="3786" w:type="dxa"/>
            <w:vAlign w:val="top"/>
          </w:tcPr>
          <w:p w14:paraId="017E9D46">
            <w:pPr>
              <w:rPr>
                <w:rFonts w:ascii="Arial"/>
                <w:color w:val="auto"/>
                <w:sz w:val="21"/>
                <w:highlight w:val="none"/>
              </w:rPr>
            </w:pPr>
          </w:p>
        </w:tc>
        <w:tc>
          <w:tcPr>
            <w:tcW w:w="729" w:type="dxa"/>
            <w:vAlign w:val="top"/>
          </w:tcPr>
          <w:p w14:paraId="26237D24">
            <w:pPr>
              <w:rPr>
                <w:rFonts w:ascii="Arial"/>
                <w:color w:val="auto"/>
                <w:sz w:val="21"/>
                <w:highlight w:val="none"/>
              </w:rPr>
            </w:pPr>
          </w:p>
        </w:tc>
      </w:tr>
      <w:tr w14:paraId="683AD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1B3D8F8A">
            <w:pPr>
              <w:pStyle w:val="18"/>
              <w:spacing w:before="216" w:line="181" w:lineRule="auto"/>
              <w:ind w:left="320"/>
              <w:rPr>
                <w:color w:val="auto"/>
                <w:highlight w:val="none"/>
              </w:rPr>
            </w:pPr>
            <w:r>
              <w:rPr>
                <w:color w:val="auto"/>
                <w:highlight w:val="none"/>
              </w:rPr>
              <w:t>7</w:t>
            </w:r>
          </w:p>
        </w:tc>
        <w:tc>
          <w:tcPr>
            <w:tcW w:w="2400" w:type="dxa"/>
            <w:vAlign w:val="top"/>
          </w:tcPr>
          <w:p w14:paraId="64EFE5BF">
            <w:pPr>
              <w:pStyle w:val="18"/>
              <w:spacing w:before="40" w:line="231" w:lineRule="auto"/>
              <w:ind w:left="153" w:right="102" w:hanging="38"/>
              <w:rPr>
                <w:color w:val="auto"/>
                <w:highlight w:val="none"/>
              </w:rPr>
            </w:pPr>
            <w:r>
              <w:rPr>
                <w:color w:val="auto"/>
                <w:spacing w:val="7"/>
                <w:highlight w:val="none"/>
              </w:rPr>
              <w:t>无正当理由拒绝更换项</w:t>
            </w:r>
            <w:r>
              <w:rPr>
                <w:color w:val="auto"/>
                <w:spacing w:val="5"/>
                <w:highlight w:val="none"/>
              </w:rPr>
              <w:t xml:space="preserve"> </w:t>
            </w:r>
            <w:r>
              <w:rPr>
                <w:color w:val="auto"/>
                <w:spacing w:val="-6"/>
                <w:highlight w:val="none"/>
              </w:rPr>
              <w:t>目经理的违约责任</w:t>
            </w:r>
          </w:p>
        </w:tc>
        <w:tc>
          <w:tcPr>
            <w:tcW w:w="1315" w:type="dxa"/>
            <w:vAlign w:val="top"/>
          </w:tcPr>
          <w:p w14:paraId="6D811C01">
            <w:pPr>
              <w:pStyle w:val="18"/>
              <w:spacing w:before="239" w:line="182" w:lineRule="auto"/>
              <w:ind w:left="431"/>
              <w:rPr>
                <w:color w:val="auto"/>
                <w:highlight w:val="none"/>
              </w:rPr>
            </w:pPr>
            <w:r>
              <w:rPr>
                <w:color w:val="auto"/>
                <w:spacing w:val="-2"/>
                <w:highlight w:val="none"/>
              </w:rPr>
              <w:t>3.2.4</w:t>
            </w:r>
          </w:p>
        </w:tc>
        <w:tc>
          <w:tcPr>
            <w:tcW w:w="3786" w:type="dxa"/>
            <w:vAlign w:val="top"/>
          </w:tcPr>
          <w:p w14:paraId="1D9D2756">
            <w:pPr>
              <w:rPr>
                <w:rFonts w:ascii="Arial"/>
                <w:color w:val="auto"/>
                <w:sz w:val="21"/>
                <w:highlight w:val="none"/>
              </w:rPr>
            </w:pPr>
          </w:p>
        </w:tc>
        <w:tc>
          <w:tcPr>
            <w:tcW w:w="729" w:type="dxa"/>
            <w:vAlign w:val="top"/>
          </w:tcPr>
          <w:p w14:paraId="059C47FE">
            <w:pPr>
              <w:rPr>
                <w:rFonts w:ascii="Arial"/>
                <w:color w:val="auto"/>
                <w:sz w:val="21"/>
                <w:highlight w:val="none"/>
              </w:rPr>
            </w:pPr>
          </w:p>
        </w:tc>
      </w:tr>
      <w:tr w14:paraId="0D6C2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14:paraId="50F4C809">
            <w:pPr>
              <w:pStyle w:val="18"/>
              <w:spacing w:before="119" w:line="182" w:lineRule="auto"/>
              <w:ind w:left="316"/>
              <w:rPr>
                <w:color w:val="auto"/>
                <w:highlight w:val="none"/>
              </w:rPr>
            </w:pPr>
            <w:r>
              <w:rPr>
                <w:color w:val="auto"/>
                <w:highlight w:val="none"/>
              </w:rPr>
              <w:t>8</w:t>
            </w:r>
          </w:p>
        </w:tc>
        <w:tc>
          <w:tcPr>
            <w:tcW w:w="2400" w:type="dxa"/>
            <w:vAlign w:val="top"/>
          </w:tcPr>
          <w:p w14:paraId="5ED48048">
            <w:pPr>
              <w:pStyle w:val="18"/>
              <w:spacing w:before="83" w:line="221" w:lineRule="auto"/>
              <w:ind w:left="113"/>
              <w:rPr>
                <w:color w:val="auto"/>
                <w:highlight w:val="none"/>
              </w:rPr>
            </w:pPr>
            <w:r>
              <w:rPr>
                <w:color w:val="auto"/>
                <w:spacing w:val="-1"/>
                <w:highlight w:val="none"/>
              </w:rPr>
              <w:t>承包人履约担保金额</w:t>
            </w:r>
          </w:p>
        </w:tc>
        <w:tc>
          <w:tcPr>
            <w:tcW w:w="1315" w:type="dxa"/>
            <w:vAlign w:val="top"/>
          </w:tcPr>
          <w:p w14:paraId="12A7D7C5">
            <w:pPr>
              <w:pStyle w:val="18"/>
              <w:spacing w:before="119" w:line="182" w:lineRule="auto"/>
              <w:ind w:left="536"/>
              <w:rPr>
                <w:color w:val="auto"/>
                <w:highlight w:val="none"/>
              </w:rPr>
            </w:pPr>
            <w:r>
              <w:rPr>
                <w:color w:val="auto"/>
                <w:spacing w:val="-3"/>
                <w:highlight w:val="none"/>
              </w:rPr>
              <w:t>3.7</w:t>
            </w:r>
          </w:p>
        </w:tc>
        <w:tc>
          <w:tcPr>
            <w:tcW w:w="3786" w:type="dxa"/>
            <w:vAlign w:val="top"/>
          </w:tcPr>
          <w:p w14:paraId="085B90B5">
            <w:pPr>
              <w:rPr>
                <w:rFonts w:ascii="Arial"/>
                <w:color w:val="auto"/>
                <w:sz w:val="21"/>
                <w:highlight w:val="none"/>
              </w:rPr>
            </w:pPr>
          </w:p>
        </w:tc>
        <w:tc>
          <w:tcPr>
            <w:tcW w:w="729" w:type="dxa"/>
            <w:vAlign w:val="top"/>
          </w:tcPr>
          <w:p w14:paraId="6A38D1A2">
            <w:pPr>
              <w:rPr>
                <w:rFonts w:ascii="Arial"/>
                <w:color w:val="auto"/>
                <w:sz w:val="21"/>
                <w:highlight w:val="none"/>
              </w:rPr>
            </w:pPr>
          </w:p>
        </w:tc>
      </w:tr>
      <w:tr w14:paraId="2A00C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14:paraId="541E4FBC">
            <w:pPr>
              <w:pStyle w:val="18"/>
              <w:spacing w:before="104" w:line="182" w:lineRule="auto"/>
              <w:ind w:left="316"/>
              <w:rPr>
                <w:color w:val="auto"/>
                <w:highlight w:val="none"/>
              </w:rPr>
            </w:pPr>
            <w:r>
              <w:rPr>
                <w:color w:val="auto"/>
                <w:highlight w:val="none"/>
              </w:rPr>
              <w:t>9</w:t>
            </w:r>
          </w:p>
        </w:tc>
        <w:tc>
          <w:tcPr>
            <w:tcW w:w="2400" w:type="dxa"/>
            <w:vAlign w:val="top"/>
          </w:tcPr>
          <w:p w14:paraId="4BBA1BAC">
            <w:pPr>
              <w:pStyle w:val="18"/>
              <w:spacing w:before="69" w:line="221" w:lineRule="auto"/>
              <w:ind w:left="116"/>
              <w:rPr>
                <w:color w:val="auto"/>
                <w:highlight w:val="none"/>
              </w:rPr>
            </w:pPr>
            <w:r>
              <w:rPr>
                <w:color w:val="auto"/>
                <w:spacing w:val="-3"/>
                <w:highlight w:val="none"/>
              </w:rPr>
              <w:t>分包</w:t>
            </w:r>
          </w:p>
        </w:tc>
        <w:tc>
          <w:tcPr>
            <w:tcW w:w="1315" w:type="dxa"/>
            <w:vAlign w:val="top"/>
          </w:tcPr>
          <w:p w14:paraId="383BECA2">
            <w:pPr>
              <w:pStyle w:val="18"/>
              <w:spacing w:before="104" w:line="182" w:lineRule="auto"/>
              <w:ind w:left="431"/>
              <w:rPr>
                <w:color w:val="auto"/>
                <w:highlight w:val="none"/>
              </w:rPr>
            </w:pPr>
            <w:r>
              <w:rPr>
                <w:color w:val="auto"/>
                <w:spacing w:val="-2"/>
                <w:highlight w:val="none"/>
              </w:rPr>
              <w:t>3.5.2</w:t>
            </w:r>
          </w:p>
        </w:tc>
        <w:tc>
          <w:tcPr>
            <w:tcW w:w="3786" w:type="dxa"/>
            <w:vAlign w:val="top"/>
          </w:tcPr>
          <w:p w14:paraId="20E87D79">
            <w:pPr>
              <w:pStyle w:val="18"/>
              <w:spacing w:before="69" w:line="220" w:lineRule="auto"/>
              <w:ind w:left="114"/>
              <w:rPr>
                <w:color w:val="auto"/>
                <w:highlight w:val="none"/>
              </w:rPr>
            </w:pPr>
            <w:r>
              <w:rPr>
                <w:color w:val="auto"/>
                <w:spacing w:val="-1"/>
                <w:highlight w:val="none"/>
              </w:rPr>
              <w:t>见拟分包计划表</w:t>
            </w:r>
          </w:p>
        </w:tc>
        <w:tc>
          <w:tcPr>
            <w:tcW w:w="729" w:type="dxa"/>
            <w:vAlign w:val="top"/>
          </w:tcPr>
          <w:p w14:paraId="4D5B4B9B">
            <w:pPr>
              <w:rPr>
                <w:rFonts w:ascii="Arial"/>
                <w:color w:val="auto"/>
                <w:sz w:val="21"/>
                <w:highlight w:val="none"/>
              </w:rPr>
            </w:pPr>
          </w:p>
        </w:tc>
      </w:tr>
      <w:tr w14:paraId="3D693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5EFE1E60">
            <w:pPr>
              <w:pStyle w:val="18"/>
              <w:spacing w:before="137" w:line="183" w:lineRule="auto"/>
              <w:ind w:left="278"/>
              <w:rPr>
                <w:color w:val="auto"/>
                <w:highlight w:val="none"/>
              </w:rPr>
            </w:pPr>
            <w:r>
              <w:rPr>
                <w:color w:val="auto"/>
                <w:spacing w:val="-6"/>
                <w:highlight w:val="none"/>
              </w:rPr>
              <w:t>10</w:t>
            </w:r>
          </w:p>
        </w:tc>
        <w:tc>
          <w:tcPr>
            <w:tcW w:w="2400" w:type="dxa"/>
            <w:vAlign w:val="top"/>
          </w:tcPr>
          <w:p w14:paraId="57497EE0">
            <w:pPr>
              <w:pStyle w:val="18"/>
              <w:spacing w:before="102" w:line="221" w:lineRule="auto"/>
              <w:ind w:left="112"/>
              <w:rPr>
                <w:color w:val="auto"/>
                <w:highlight w:val="none"/>
              </w:rPr>
            </w:pPr>
            <w:r>
              <w:rPr>
                <w:color w:val="auto"/>
                <w:spacing w:val="-1"/>
                <w:highlight w:val="none"/>
              </w:rPr>
              <w:t>逾期竣工违约金</w:t>
            </w:r>
          </w:p>
        </w:tc>
        <w:tc>
          <w:tcPr>
            <w:tcW w:w="1315" w:type="dxa"/>
            <w:vAlign w:val="top"/>
          </w:tcPr>
          <w:p w14:paraId="0C798ACA">
            <w:pPr>
              <w:pStyle w:val="18"/>
              <w:spacing w:before="138" w:line="182" w:lineRule="auto"/>
              <w:ind w:left="432"/>
              <w:rPr>
                <w:color w:val="auto"/>
                <w:highlight w:val="none"/>
              </w:rPr>
            </w:pPr>
            <w:r>
              <w:rPr>
                <w:color w:val="auto"/>
                <w:spacing w:val="-2"/>
                <w:highlight w:val="none"/>
              </w:rPr>
              <w:t>7.5.2</w:t>
            </w:r>
          </w:p>
        </w:tc>
        <w:tc>
          <w:tcPr>
            <w:tcW w:w="3786" w:type="dxa"/>
            <w:vAlign w:val="top"/>
          </w:tcPr>
          <w:p w14:paraId="6C718C6D">
            <w:pPr>
              <w:pStyle w:val="18"/>
              <w:tabs>
                <w:tab w:val="left" w:pos="1259"/>
              </w:tabs>
              <w:spacing w:before="103" w:line="221" w:lineRule="auto"/>
              <w:ind w:left="102"/>
              <w:rPr>
                <w:color w:val="auto"/>
                <w:highlight w:val="none"/>
              </w:rPr>
            </w:pPr>
            <w:r>
              <w:rPr>
                <w:color w:val="auto"/>
                <w:highlight w:val="none"/>
                <w:u w:val="single" w:color="auto"/>
              </w:rPr>
              <w:tab/>
            </w:r>
            <w:r>
              <w:rPr>
                <w:color w:val="auto"/>
                <w:spacing w:val="-94"/>
                <w:highlight w:val="none"/>
              </w:rPr>
              <w:t xml:space="preserve"> </w:t>
            </w:r>
            <w:r>
              <w:rPr>
                <w:color w:val="auto"/>
                <w:spacing w:val="-3"/>
                <w:highlight w:val="none"/>
              </w:rPr>
              <w:t>元/天</w:t>
            </w:r>
          </w:p>
        </w:tc>
        <w:tc>
          <w:tcPr>
            <w:tcW w:w="729" w:type="dxa"/>
            <w:vAlign w:val="top"/>
          </w:tcPr>
          <w:p w14:paraId="7AD4256B">
            <w:pPr>
              <w:rPr>
                <w:rFonts w:ascii="Arial"/>
                <w:color w:val="auto"/>
                <w:sz w:val="21"/>
                <w:highlight w:val="none"/>
              </w:rPr>
            </w:pPr>
          </w:p>
        </w:tc>
      </w:tr>
      <w:tr w14:paraId="23E7F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37D8E6DE">
            <w:pPr>
              <w:pStyle w:val="18"/>
              <w:spacing w:before="137" w:line="183" w:lineRule="auto"/>
              <w:ind w:left="278"/>
              <w:rPr>
                <w:color w:val="auto"/>
                <w:highlight w:val="none"/>
              </w:rPr>
            </w:pPr>
            <w:r>
              <w:rPr>
                <w:color w:val="auto"/>
                <w:spacing w:val="-6"/>
                <w:highlight w:val="none"/>
              </w:rPr>
              <w:t>11</w:t>
            </w:r>
          </w:p>
        </w:tc>
        <w:tc>
          <w:tcPr>
            <w:tcW w:w="2400" w:type="dxa"/>
            <w:vAlign w:val="top"/>
          </w:tcPr>
          <w:p w14:paraId="4ADEE838">
            <w:pPr>
              <w:pStyle w:val="18"/>
              <w:spacing w:before="102" w:line="221" w:lineRule="auto"/>
              <w:ind w:left="112"/>
              <w:rPr>
                <w:color w:val="auto"/>
                <w:highlight w:val="none"/>
              </w:rPr>
            </w:pPr>
            <w:r>
              <w:rPr>
                <w:color w:val="auto"/>
                <w:spacing w:val="-1"/>
                <w:highlight w:val="none"/>
              </w:rPr>
              <w:t>逾期竣工违约金的上限</w:t>
            </w:r>
          </w:p>
        </w:tc>
        <w:tc>
          <w:tcPr>
            <w:tcW w:w="1315" w:type="dxa"/>
            <w:vAlign w:val="top"/>
          </w:tcPr>
          <w:p w14:paraId="42398410">
            <w:pPr>
              <w:pStyle w:val="18"/>
              <w:spacing w:before="138" w:line="182" w:lineRule="auto"/>
              <w:ind w:left="432"/>
              <w:rPr>
                <w:color w:val="auto"/>
                <w:highlight w:val="none"/>
              </w:rPr>
            </w:pPr>
            <w:r>
              <w:rPr>
                <w:color w:val="auto"/>
                <w:spacing w:val="-2"/>
                <w:highlight w:val="none"/>
              </w:rPr>
              <w:t>7.5.2</w:t>
            </w:r>
          </w:p>
        </w:tc>
        <w:tc>
          <w:tcPr>
            <w:tcW w:w="3786" w:type="dxa"/>
            <w:vAlign w:val="top"/>
          </w:tcPr>
          <w:p w14:paraId="4400F831">
            <w:pPr>
              <w:rPr>
                <w:rFonts w:ascii="Arial"/>
                <w:color w:val="auto"/>
                <w:sz w:val="21"/>
                <w:highlight w:val="none"/>
              </w:rPr>
            </w:pPr>
            <w:r>
              <w:rPr>
                <w:color w:val="auto"/>
                <w:highlight w:val="none"/>
              </w:rPr>
              <w:pict>
                <v:rect id="_x0000_s2075" o:spid="_x0000_s2075" o:spt="1" style="position:absolute;left:0pt;margin-left:5.3pt;margin-top:15.9pt;height:0.5pt;width:68.2pt;mso-position-horizontal-relative:page;mso-position-vertical-relative:page;z-index:251698176;mso-width-relative:page;mso-height-relative:page;" fillcolor="#000000" filled="t" stroked="f" coordsize="21600,21600">
                  <v:path/>
                  <v:fill on="t" focussize="0,0"/>
                  <v:stroke on="f"/>
                  <v:imagedata o:title=""/>
                  <o:lock v:ext="edit"/>
                </v:rect>
              </w:pict>
            </w:r>
          </w:p>
        </w:tc>
        <w:tc>
          <w:tcPr>
            <w:tcW w:w="729" w:type="dxa"/>
            <w:vAlign w:val="top"/>
          </w:tcPr>
          <w:p w14:paraId="46BD2B55">
            <w:pPr>
              <w:rPr>
                <w:rFonts w:ascii="Arial"/>
                <w:color w:val="auto"/>
                <w:sz w:val="21"/>
                <w:highlight w:val="none"/>
              </w:rPr>
            </w:pPr>
          </w:p>
        </w:tc>
      </w:tr>
      <w:tr w14:paraId="79444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14:paraId="68DD3C6B">
            <w:pPr>
              <w:pStyle w:val="18"/>
              <w:spacing w:before="214" w:line="183" w:lineRule="auto"/>
              <w:ind w:left="278"/>
              <w:rPr>
                <w:color w:val="auto"/>
                <w:highlight w:val="none"/>
              </w:rPr>
            </w:pPr>
            <w:r>
              <w:rPr>
                <w:color w:val="auto"/>
                <w:spacing w:val="-6"/>
                <w:highlight w:val="none"/>
              </w:rPr>
              <w:t>12</w:t>
            </w:r>
          </w:p>
        </w:tc>
        <w:tc>
          <w:tcPr>
            <w:tcW w:w="2400" w:type="dxa"/>
            <w:vAlign w:val="top"/>
          </w:tcPr>
          <w:p w14:paraId="2266504F">
            <w:pPr>
              <w:pStyle w:val="18"/>
              <w:spacing w:before="180" w:line="219" w:lineRule="auto"/>
              <w:ind w:left="114"/>
              <w:rPr>
                <w:color w:val="auto"/>
                <w:highlight w:val="none"/>
              </w:rPr>
            </w:pPr>
            <w:r>
              <w:rPr>
                <w:color w:val="auto"/>
                <w:spacing w:val="-1"/>
                <w:highlight w:val="none"/>
              </w:rPr>
              <w:t>价格调整的差额计算</w:t>
            </w:r>
          </w:p>
        </w:tc>
        <w:tc>
          <w:tcPr>
            <w:tcW w:w="1315" w:type="dxa"/>
            <w:vAlign w:val="top"/>
          </w:tcPr>
          <w:p w14:paraId="5655175C">
            <w:pPr>
              <w:pStyle w:val="18"/>
              <w:spacing w:before="214" w:line="183" w:lineRule="auto"/>
              <w:ind w:left="495"/>
              <w:rPr>
                <w:color w:val="auto"/>
                <w:highlight w:val="none"/>
              </w:rPr>
            </w:pPr>
            <w:r>
              <w:rPr>
                <w:color w:val="auto"/>
                <w:spacing w:val="-5"/>
                <w:highlight w:val="none"/>
              </w:rPr>
              <w:t>11.1</w:t>
            </w:r>
          </w:p>
        </w:tc>
        <w:tc>
          <w:tcPr>
            <w:tcW w:w="3786" w:type="dxa"/>
            <w:vAlign w:val="top"/>
          </w:tcPr>
          <w:p w14:paraId="27833A10">
            <w:pPr>
              <w:pStyle w:val="18"/>
              <w:spacing w:before="46" w:line="228" w:lineRule="auto"/>
              <w:ind w:left="112" w:right="101" w:hanging="3"/>
              <w:rPr>
                <w:color w:val="auto"/>
                <w:highlight w:val="none"/>
              </w:rPr>
            </w:pPr>
            <w:r>
              <w:rPr>
                <w:color w:val="auto"/>
                <w:spacing w:val="-6"/>
                <w:highlight w:val="none"/>
              </w:rPr>
              <w:t>采用价格指数进行价格调整时， 见价格</w:t>
            </w:r>
            <w:r>
              <w:rPr>
                <w:color w:val="auto"/>
                <w:spacing w:val="1"/>
                <w:highlight w:val="none"/>
              </w:rPr>
              <w:t xml:space="preserve"> </w:t>
            </w:r>
            <w:r>
              <w:rPr>
                <w:color w:val="auto"/>
                <w:spacing w:val="-1"/>
                <w:highlight w:val="none"/>
              </w:rPr>
              <w:t>指数权重表</w:t>
            </w:r>
          </w:p>
        </w:tc>
        <w:tc>
          <w:tcPr>
            <w:tcW w:w="729" w:type="dxa"/>
            <w:vAlign w:val="top"/>
          </w:tcPr>
          <w:p w14:paraId="5BD82183">
            <w:pPr>
              <w:rPr>
                <w:rFonts w:ascii="Arial"/>
                <w:color w:val="auto"/>
                <w:sz w:val="21"/>
                <w:highlight w:val="none"/>
              </w:rPr>
            </w:pPr>
          </w:p>
        </w:tc>
      </w:tr>
      <w:tr w14:paraId="5244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14:paraId="0FB24372">
            <w:pPr>
              <w:pStyle w:val="18"/>
              <w:spacing w:before="148" w:line="183" w:lineRule="auto"/>
              <w:ind w:left="278"/>
              <w:rPr>
                <w:color w:val="auto"/>
                <w:highlight w:val="none"/>
              </w:rPr>
            </w:pPr>
            <w:r>
              <w:rPr>
                <w:color w:val="auto"/>
                <w:spacing w:val="-6"/>
                <w:highlight w:val="none"/>
              </w:rPr>
              <w:t>13</w:t>
            </w:r>
          </w:p>
        </w:tc>
        <w:tc>
          <w:tcPr>
            <w:tcW w:w="2400" w:type="dxa"/>
            <w:vAlign w:val="top"/>
          </w:tcPr>
          <w:p w14:paraId="746888A0">
            <w:pPr>
              <w:pStyle w:val="18"/>
              <w:spacing w:before="113" w:line="221" w:lineRule="auto"/>
              <w:ind w:left="115"/>
              <w:rPr>
                <w:color w:val="auto"/>
                <w:highlight w:val="none"/>
              </w:rPr>
            </w:pPr>
            <w:r>
              <w:rPr>
                <w:color w:val="auto"/>
                <w:spacing w:val="-1"/>
                <w:highlight w:val="none"/>
              </w:rPr>
              <w:t>预付款支付比例或金额</w:t>
            </w:r>
          </w:p>
        </w:tc>
        <w:tc>
          <w:tcPr>
            <w:tcW w:w="1315" w:type="dxa"/>
            <w:vAlign w:val="top"/>
          </w:tcPr>
          <w:p w14:paraId="2CFFAB4F">
            <w:pPr>
              <w:pStyle w:val="18"/>
              <w:spacing w:before="148" w:line="183" w:lineRule="auto"/>
              <w:ind w:left="389"/>
              <w:rPr>
                <w:color w:val="auto"/>
                <w:highlight w:val="none"/>
              </w:rPr>
            </w:pPr>
            <w:r>
              <w:rPr>
                <w:color w:val="auto"/>
                <w:spacing w:val="-3"/>
                <w:highlight w:val="none"/>
              </w:rPr>
              <w:t>12.2.1</w:t>
            </w:r>
          </w:p>
        </w:tc>
        <w:tc>
          <w:tcPr>
            <w:tcW w:w="3786" w:type="dxa"/>
            <w:vAlign w:val="top"/>
          </w:tcPr>
          <w:p w14:paraId="49534C2A">
            <w:pPr>
              <w:rPr>
                <w:rFonts w:ascii="Arial"/>
                <w:color w:val="auto"/>
                <w:sz w:val="21"/>
                <w:highlight w:val="none"/>
              </w:rPr>
            </w:pPr>
          </w:p>
        </w:tc>
        <w:tc>
          <w:tcPr>
            <w:tcW w:w="729" w:type="dxa"/>
            <w:vAlign w:val="top"/>
          </w:tcPr>
          <w:p w14:paraId="45D9291C">
            <w:pPr>
              <w:rPr>
                <w:rFonts w:ascii="Arial"/>
                <w:color w:val="auto"/>
                <w:sz w:val="21"/>
                <w:highlight w:val="none"/>
              </w:rPr>
            </w:pPr>
          </w:p>
        </w:tc>
      </w:tr>
      <w:tr w14:paraId="002D3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5" w:type="dxa"/>
            <w:vAlign w:val="top"/>
          </w:tcPr>
          <w:p w14:paraId="48F32540">
            <w:pPr>
              <w:pStyle w:val="18"/>
              <w:spacing w:before="181" w:line="183" w:lineRule="auto"/>
              <w:ind w:left="278"/>
              <w:rPr>
                <w:color w:val="auto"/>
                <w:highlight w:val="none"/>
              </w:rPr>
            </w:pPr>
            <w:r>
              <w:rPr>
                <w:color w:val="auto"/>
                <w:spacing w:val="-6"/>
                <w:highlight w:val="none"/>
              </w:rPr>
              <w:t>14</w:t>
            </w:r>
          </w:p>
        </w:tc>
        <w:tc>
          <w:tcPr>
            <w:tcW w:w="2400" w:type="dxa"/>
            <w:vAlign w:val="top"/>
          </w:tcPr>
          <w:p w14:paraId="4D307160">
            <w:pPr>
              <w:pStyle w:val="18"/>
              <w:spacing w:before="113" w:line="221" w:lineRule="auto"/>
              <w:ind w:left="114"/>
              <w:rPr>
                <w:color w:val="auto"/>
                <w:highlight w:val="none"/>
              </w:rPr>
            </w:pPr>
            <w:r>
              <w:rPr>
                <w:color w:val="auto"/>
                <w:spacing w:val="-1"/>
                <w:highlight w:val="none"/>
              </w:rPr>
              <w:t>质量保证金额度</w:t>
            </w:r>
          </w:p>
        </w:tc>
        <w:tc>
          <w:tcPr>
            <w:tcW w:w="1315" w:type="dxa"/>
            <w:vAlign w:val="top"/>
          </w:tcPr>
          <w:p w14:paraId="67F998A5">
            <w:pPr>
              <w:pStyle w:val="18"/>
              <w:spacing w:before="148" w:line="183" w:lineRule="auto"/>
              <w:ind w:left="389"/>
              <w:rPr>
                <w:color w:val="auto"/>
                <w:highlight w:val="none"/>
              </w:rPr>
            </w:pPr>
            <w:r>
              <w:rPr>
                <w:color w:val="auto"/>
                <w:spacing w:val="-3"/>
                <w:highlight w:val="none"/>
              </w:rPr>
              <w:t>15.3.1</w:t>
            </w:r>
          </w:p>
        </w:tc>
        <w:tc>
          <w:tcPr>
            <w:tcW w:w="3786" w:type="dxa"/>
            <w:vAlign w:val="top"/>
          </w:tcPr>
          <w:p w14:paraId="6F2CDFA5">
            <w:pPr>
              <w:rPr>
                <w:rFonts w:ascii="Arial"/>
                <w:color w:val="auto"/>
                <w:sz w:val="21"/>
                <w:highlight w:val="none"/>
              </w:rPr>
            </w:pPr>
          </w:p>
        </w:tc>
        <w:tc>
          <w:tcPr>
            <w:tcW w:w="729" w:type="dxa"/>
            <w:vAlign w:val="top"/>
          </w:tcPr>
          <w:p w14:paraId="3FBCFE38">
            <w:pPr>
              <w:rPr>
                <w:rFonts w:ascii="Arial"/>
                <w:color w:val="auto"/>
                <w:sz w:val="21"/>
                <w:highlight w:val="none"/>
              </w:rPr>
            </w:pPr>
          </w:p>
        </w:tc>
      </w:tr>
      <w:tr w14:paraId="62213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00097F10">
            <w:pPr>
              <w:pStyle w:val="18"/>
              <w:spacing w:before="139" w:line="183" w:lineRule="auto"/>
              <w:ind w:left="278"/>
              <w:rPr>
                <w:color w:val="auto"/>
                <w:highlight w:val="none"/>
              </w:rPr>
            </w:pPr>
            <w:r>
              <w:rPr>
                <w:color w:val="auto"/>
                <w:spacing w:val="-6"/>
                <w:highlight w:val="none"/>
              </w:rPr>
              <w:t>15</w:t>
            </w:r>
          </w:p>
        </w:tc>
        <w:tc>
          <w:tcPr>
            <w:tcW w:w="2400" w:type="dxa"/>
            <w:vAlign w:val="top"/>
          </w:tcPr>
          <w:p w14:paraId="1DF7B800">
            <w:pPr>
              <w:pStyle w:val="18"/>
              <w:spacing w:before="105" w:line="221" w:lineRule="auto"/>
              <w:ind w:left="114"/>
              <w:rPr>
                <w:color w:val="auto"/>
                <w:highlight w:val="none"/>
              </w:rPr>
            </w:pPr>
            <w:r>
              <w:rPr>
                <w:color w:val="auto"/>
                <w:spacing w:val="-1"/>
                <w:highlight w:val="none"/>
              </w:rPr>
              <w:t>质量保证金的扣留方式</w:t>
            </w:r>
          </w:p>
        </w:tc>
        <w:tc>
          <w:tcPr>
            <w:tcW w:w="1315" w:type="dxa"/>
            <w:vAlign w:val="top"/>
          </w:tcPr>
          <w:p w14:paraId="5DE508E2">
            <w:pPr>
              <w:pStyle w:val="18"/>
              <w:spacing w:before="139" w:line="183" w:lineRule="auto"/>
              <w:ind w:left="389"/>
              <w:rPr>
                <w:color w:val="auto"/>
                <w:highlight w:val="none"/>
              </w:rPr>
            </w:pPr>
            <w:r>
              <w:rPr>
                <w:color w:val="auto"/>
                <w:spacing w:val="-3"/>
                <w:highlight w:val="none"/>
              </w:rPr>
              <w:t>15.3.2</w:t>
            </w:r>
          </w:p>
        </w:tc>
        <w:tc>
          <w:tcPr>
            <w:tcW w:w="3786" w:type="dxa"/>
            <w:vAlign w:val="top"/>
          </w:tcPr>
          <w:p w14:paraId="1C7D1C87">
            <w:pPr>
              <w:rPr>
                <w:rFonts w:ascii="Arial"/>
                <w:color w:val="auto"/>
                <w:sz w:val="21"/>
                <w:highlight w:val="none"/>
              </w:rPr>
            </w:pPr>
          </w:p>
        </w:tc>
        <w:tc>
          <w:tcPr>
            <w:tcW w:w="729" w:type="dxa"/>
            <w:vAlign w:val="top"/>
          </w:tcPr>
          <w:p w14:paraId="762D5A0E">
            <w:pPr>
              <w:rPr>
                <w:rFonts w:ascii="Arial"/>
                <w:color w:val="auto"/>
                <w:sz w:val="21"/>
                <w:highlight w:val="none"/>
              </w:rPr>
            </w:pPr>
          </w:p>
        </w:tc>
      </w:tr>
      <w:tr w14:paraId="03817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14:paraId="0D2F6351">
            <w:pPr>
              <w:pStyle w:val="18"/>
              <w:spacing w:before="231" w:line="183" w:lineRule="auto"/>
              <w:ind w:left="278"/>
              <w:rPr>
                <w:color w:val="auto"/>
                <w:highlight w:val="none"/>
              </w:rPr>
            </w:pPr>
            <w:r>
              <w:rPr>
                <w:color w:val="auto"/>
                <w:spacing w:val="-6"/>
                <w:highlight w:val="none"/>
              </w:rPr>
              <w:t>16</w:t>
            </w:r>
          </w:p>
        </w:tc>
        <w:tc>
          <w:tcPr>
            <w:tcW w:w="2400" w:type="dxa"/>
            <w:vAlign w:val="top"/>
          </w:tcPr>
          <w:p w14:paraId="045156C2">
            <w:pPr>
              <w:pStyle w:val="18"/>
              <w:spacing w:before="196" w:line="221" w:lineRule="auto"/>
              <w:ind w:left="114"/>
              <w:rPr>
                <w:color w:val="auto"/>
                <w:highlight w:val="none"/>
              </w:rPr>
            </w:pPr>
            <w:r>
              <w:rPr>
                <w:color w:val="auto"/>
                <w:spacing w:val="-1"/>
                <w:highlight w:val="none"/>
              </w:rPr>
              <w:t>技术标准和要求</w:t>
            </w:r>
          </w:p>
        </w:tc>
        <w:tc>
          <w:tcPr>
            <w:tcW w:w="1315" w:type="dxa"/>
            <w:vAlign w:val="top"/>
          </w:tcPr>
          <w:p w14:paraId="2623F596">
            <w:pPr>
              <w:rPr>
                <w:rFonts w:ascii="Arial"/>
                <w:color w:val="auto"/>
                <w:sz w:val="21"/>
                <w:highlight w:val="none"/>
              </w:rPr>
            </w:pPr>
          </w:p>
        </w:tc>
        <w:tc>
          <w:tcPr>
            <w:tcW w:w="3786" w:type="dxa"/>
            <w:vAlign w:val="top"/>
          </w:tcPr>
          <w:p w14:paraId="23DC96B7">
            <w:pPr>
              <w:pStyle w:val="18"/>
              <w:spacing w:before="196" w:line="220" w:lineRule="auto"/>
              <w:ind w:left="112"/>
              <w:rPr>
                <w:color w:val="auto"/>
                <w:highlight w:val="none"/>
              </w:rPr>
            </w:pPr>
            <w:r>
              <w:rPr>
                <w:color w:val="auto"/>
                <w:spacing w:val="-1"/>
                <w:highlight w:val="none"/>
              </w:rPr>
              <w:t>符合第七章“技术标准和要求”规定</w:t>
            </w:r>
          </w:p>
        </w:tc>
        <w:tc>
          <w:tcPr>
            <w:tcW w:w="729" w:type="dxa"/>
            <w:vAlign w:val="top"/>
          </w:tcPr>
          <w:p w14:paraId="14B4478B">
            <w:pPr>
              <w:rPr>
                <w:rFonts w:ascii="Arial"/>
                <w:color w:val="auto"/>
                <w:sz w:val="21"/>
                <w:highlight w:val="none"/>
              </w:rPr>
            </w:pPr>
          </w:p>
        </w:tc>
      </w:tr>
      <w:tr w14:paraId="6F57E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14:paraId="34A17459">
            <w:pPr>
              <w:pStyle w:val="18"/>
              <w:spacing w:before="116" w:line="230" w:lineRule="auto"/>
              <w:ind w:left="134" w:right="106" w:hanging="14"/>
              <w:rPr>
                <w:color w:val="auto"/>
                <w:highlight w:val="none"/>
              </w:rPr>
            </w:pPr>
            <w:r>
              <w:rPr>
                <w:color w:val="auto"/>
                <w:highlight w:val="none"/>
              </w:rPr>
              <w:t>备注： 投标人在响应招标文件中规定的实质性要求和条件的基础上，可做出其他有利于招标人</w:t>
            </w:r>
            <w:r>
              <w:rPr>
                <w:color w:val="auto"/>
                <w:spacing w:val="6"/>
                <w:highlight w:val="none"/>
              </w:rPr>
              <w:t xml:space="preserve"> </w:t>
            </w:r>
            <w:r>
              <w:rPr>
                <w:color w:val="auto"/>
                <w:spacing w:val="-3"/>
                <w:highlight w:val="none"/>
              </w:rPr>
              <w:t>的承诺。此类承诺可在本表中予以补充填写。</w:t>
            </w:r>
          </w:p>
        </w:tc>
      </w:tr>
    </w:tbl>
    <w:p w14:paraId="7C26ADB6">
      <w:pPr>
        <w:pStyle w:val="5"/>
        <w:spacing w:line="269" w:lineRule="auto"/>
        <w:rPr>
          <w:color w:val="auto"/>
          <w:highlight w:val="none"/>
        </w:rPr>
      </w:pPr>
    </w:p>
    <w:p w14:paraId="2CD31C80">
      <w:pPr>
        <w:pStyle w:val="5"/>
        <w:spacing w:line="270" w:lineRule="auto"/>
        <w:rPr>
          <w:color w:val="auto"/>
          <w:highlight w:val="none"/>
        </w:rPr>
      </w:pPr>
    </w:p>
    <w:p w14:paraId="75966C29">
      <w:pPr>
        <w:spacing w:before="69" w:line="388" w:lineRule="auto"/>
        <w:ind w:left="4010"/>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投</w:t>
      </w:r>
      <w:r>
        <w:rPr>
          <w:rFonts w:ascii="宋体" w:hAnsi="宋体" w:eastAsia="宋体" w:cs="宋体"/>
          <w:color w:val="auto"/>
          <w:spacing w:val="-43"/>
          <w:sz w:val="21"/>
          <w:szCs w:val="21"/>
          <w:highlight w:val="none"/>
        </w:rPr>
        <w:t xml:space="preserve"> </w:t>
      </w:r>
      <w:r>
        <w:rPr>
          <w:rFonts w:ascii="宋体" w:hAnsi="宋体" w:eastAsia="宋体" w:cs="宋体"/>
          <w:color w:val="auto"/>
          <w:spacing w:val="-22"/>
          <w:sz w:val="21"/>
          <w:szCs w:val="21"/>
          <w:highlight w:val="none"/>
        </w:rPr>
        <w:t>标</w:t>
      </w:r>
      <w:r>
        <w:rPr>
          <w:rFonts w:ascii="宋体" w:hAnsi="宋体" w:eastAsia="宋体" w:cs="宋体"/>
          <w:color w:val="auto"/>
          <w:spacing w:val="-43"/>
          <w:sz w:val="21"/>
          <w:szCs w:val="21"/>
          <w:highlight w:val="none"/>
        </w:rPr>
        <w:t xml:space="preserve"> </w:t>
      </w:r>
      <w:r>
        <w:rPr>
          <w:rFonts w:ascii="宋体" w:hAnsi="宋体" w:eastAsia="宋体" w:cs="宋体"/>
          <w:color w:val="auto"/>
          <w:spacing w:val="-22"/>
          <w:sz w:val="21"/>
          <w:szCs w:val="21"/>
          <w:highlight w:val="none"/>
        </w:rPr>
        <w:t>人</w:t>
      </w:r>
      <w:r>
        <w:rPr>
          <w:rFonts w:ascii="宋体" w:hAnsi="宋体" w:eastAsia="宋体" w:cs="宋体"/>
          <w:color w:val="auto"/>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2"/>
          <w:sz w:val="21"/>
          <w:szCs w:val="21"/>
          <w:highlight w:val="none"/>
        </w:rPr>
        <w:t>盖单位章）</w:t>
      </w:r>
    </w:p>
    <w:p w14:paraId="695545BB">
      <w:pPr>
        <w:spacing w:line="219" w:lineRule="auto"/>
        <w:ind w:left="27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法定代表人或授权委托人</w:t>
      </w:r>
      <w:r>
        <w:rPr>
          <w:rFonts w:ascii="宋体" w:hAnsi="宋体" w:eastAsia="宋体" w:cs="宋体"/>
          <w:color w:val="auto"/>
          <w:spacing w:val="-10"/>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1"/>
          <w:sz w:val="21"/>
          <w:szCs w:val="21"/>
          <w:highlight w:val="none"/>
        </w:rPr>
        <w:t>签章）</w:t>
      </w:r>
    </w:p>
    <w:p w14:paraId="6B25EA10">
      <w:pPr>
        <w:tabs>
          <w:tab w:val="left" w:pos="5839"/>
        </w:tabs>
        <w:spacing w:before="191" w:line="221" w:lineRule="auto"/>
        <w:ind w:left="536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372788FA">
      <w:pPr>
        <w:spacing w:line="221" w:lineRule="auto"/>
        <w:rPr>
          <w:rFonts w:ascii="宋体" w:hAnsi="宋体" w:eastAsia="宋体" w:cs="宋体"/>
          <w:color w:val="auto"/>
          <w:sz w:val="21"/>
          <w:szCs w:val="21"/>
          <w:highlight w:val="none"/>
        </w:rPr>
        <w:sectPr>
          <w:footerReference r:id="rId156" w:type="default"/>
          <w:pgSz w:w="11905" w:h="16839"/>
          <w:pgMar w:top="400" w:right="1469" w:bottom="1004" w:left="1474" w:header="0" w:footer="828" w:gutter="0"/>
          <w:pgNumType w:fmt="decimal"/>
          <w:cols w:space="720" w:num="1"/>
        </w:sectPr>
      </w:pPr>
    </w:p>
    <w:p w14:paraId="6C5484DC">
      <w:pPr>
        <w:pStyle w:val="5"/>
        <w:spacing w:line="257" w:lineRule="auto"/>
        <w:rPr>
          <w:color w:val="auto"/>
          <w:highlight w:val="none"/>
        </w:rPr>
      </w:pPr>
    </w:p>
    <w:p w14:paraId="70DCF7A0">
      <w:pPr>
        <w:pStyle w:val="5"/>
        <w:spacing w:line="257" w:lineRule="auto"/>
        <w:rPr>
          <w:color w:val="auto"/>
          <w:highlight w:val="none"/>
        </w:rPr>
      </w:pPr>
    </w:p>
    <w:p w14:paraId="656E44FD">
      <w:pPr>
        <w:pStyle w:val="5"/>
        <w:spacing w:line="257" w:lineRule="auto"/>
        <w:rPr>
          <w:color w:val="auto"/>
          <w:highlight w:val="none"/>
        </w:rPr>
      </w:pPr>
    </w:p>
    <w:p w14:paraId="4B815C33">
      <w:pPr>
        <w:pStyle w:val="5"/>
        <w:spacing w:line="258" w:lineRule="auto"/>
        <w:rPr>
          <w:color w:val="auto"/>
          <w:highlight w:val="none"/>
        </w:rPr>
      </w:pPr>
    </w:p>
    <w:p w14:paraId="0D0024EA">
      <w:pPr>
        <w:spacing w:before="87" w:line="225" w:lineRule="auto"/>
        <w:ind w:left="3078"/>
        <w:rPr>
          <w:rFonts w:ascii="黑体" w:hAnsi="黑体" w:eastAsia="黑体" w:cs="黑体"/>
          <w:color w:val="auto"/>
          <w:sz w:val="27"/>
          <w:szCs w:val="27"/>
          <w:highlight w:val="none"/>
        </w:rPr>
      </w:pPr>
      <w:bookmarkStart w:id="1743" w:name="bookmark298"/>
      <w:bookmarkEnd w:id="1743"/>
      <w:r>
        <w:rPr>
          <w:rFonts w:ascii="黑体" w:hAnsi="黑体" w:eastAsia="黑体" w:cs="黑体"/>
          <w:color w:val="auto"/>
          <w:spacing w:val="3"/>
          <w:sz w:val="27"/>
          <w:szCs w:val="27"/>
          <w:highlight w:val="none"/>
        </w:rPr>
        <w:t>（三）告知承诺函</w:t>
      </w:r>
    </w:p>
    <w:p w14:paraId="041042D4">
      <w:pPr>
        <w:spacing w:before="161" w:line="386" w:lineRule="auto"/>
        <w:ind w:left="19" w:right="153"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我单位参与</w:t>
      </w:r>
      <w:r>
        <w:rPr>
          <w:rFonts w:ascii="宋体" w:hAnsi="宋体" w:eastAsia="宋体" w:cs="宋体"/>
          <w:color w:val="auto"/>
          <w:sz w:val="21"/>
          <w:szCs w:val="21"/>
          <w:highlight w:val="none"/>
          <w:u w:val="single" w:color="auto"/>
        </w:rPr>
        <w:t xml:space="preserve">  （标段名称 ）  </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的投标。根据《中华</w:t>
      </w:r>
      <w:r>
        <w:rPr>
          <w:rFonts w:ascii="宋体" w:hAnsi="宋体" w:eastAsia="宋体" w:cs="宋体"/>
          <w:color w:val="auto"/>
          <w:spacing w:val="-1"/>
          <w:sz w:val="21"/>
          <w:szCs w:val="21"/>
          <w:highlight w:val="none"/>
        </w:rPr>
        <w:t>人民共和国招标投标法》等法律法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规的规定，我已知悉本单位相关权利义务，作为法定代表人（或授权委托人</w:t>
      </w:r>
      <w:r>
        <w:rPr>
          <w:rFonts w:ascii="宋体" w:hAnsi="宋体" w:eastAsia="宋体" w:cs="宋体"/>
          <w:color w:val="auto"/>
          <w:spacing w:val="-30"/>
          <w:sz w:val="21"/>
          <w:szCs w:val="21"/>
          <w:highlight w:val="none"/>
        </w:rPr>
        <w:t>），</w:t>
      </w:r>
      <w:r>
        <w:rPr>
          <w:rFonts w:ascii="宋体" w:hAnsi="宋体" w:eastAsia="宋体" w:cs="宋体"/>
          <w:color w:val="auto"/>
          <w:spacing w:val="-1"/>
          <w:sz w:val="21"/>
          <w:szCs w:val="21"/>
          <w:highlight w:val="none"/>
        </w:rPr>
        <w:t>本人清楚知</w:t>
      </w:r>
    </w:p>
    <w:p w14:paraId="61E48988">
      <w:pPr>
        <w:spacing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晓我单位在本项目投标活动的情况。本人已详细阅读告知承诺函的内容，并在此郑重承诺：</w:t>
      </w:r>
    </w:p>
    <w:p w14:paraId="63D25D04">
      <w:pPr>
        <w:spacing w:before="192" w:line="441" w:lineRule="exact"/>
        <w:ind w:left="444"/>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一、我单位和我本人遵循公开、公平、公正、诚实守信的原则，  依法依规参与本项目</w:t>
      </w:r>
    </w:p>
    <w:p w14:paraId="125BF810">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投标。</w:t>
      </w:r>
    </w:p>
    <w:p w14:paraId="6882836A">
      <w:pPr>
        <w:spacing w:before="185" w:line="442" w:lineRule="exact"/>
        <w:ind w:left="444"/>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二、我单位具有参与本次投标的资质和能力，公司运营状况良好，</w:t>
      </w:r>
      <w:r>
        <w:rPr>
          <w:rFonts w:ascii="宋体" w:hAnsi="宋体" w:eastAsia="宋体" w:cs="宋体"/>
          <w:color w:val="auto"/>
          <w:spacing w:val="-4"/>
          <w:position w:val="17"/>
          <w:sz w:val="21"/>
          <w:szCs w:val="21"/>
          <w:highlight w:val="none"/>
        </w:rPr>
        <w:t xml:space="preserve">  不存在挂靠投标、</w:t>
      </w:r>
    </w:p>
    <w:p w14:paraId="2EBA30F5">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不受让、租借、出租、出借资格或资质证书，无处罚期内的不良行为。</w:t>
      </w:r>
    </w:p>
    <w:p w14:paraId="5CECD241">
      <w:pPr>
        <w:spacing w:before="192" w:line="436" w:lineRule="exact"/>
        <w:ind w:left="441"/>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三、我单位在本项目投标过程中从招标公告</w:t>
      </w:r>
      <w:r>
        <w:rPr>
          <w:rFonts w:ascii="Times New Roman" w:hAnsi="Times New Roman" w:eastAsia="Times New Roman" w:cs="Times New Roman"/>
          <w:color w:val="auto"/>
          <w:spacing w:val="1"/>
          <w:position w:val="16"/>
          <w:sz w:val="21"/>
          <w:szCs w:val="21"/>
          <w:highlight w:val="none"/>
        </w:rPr>
        <w:t>/</w:t>
      </w:r>
      <w:r>
        <w:rPr>
          <w:rFonts w:ascii="宋体" w:hAnsi="宋体" w:eastAsia="宋体" w:cs="宋体"/>
          <w:color w:val="auto"/>
          <w:spacing w:val="1"/>
          <w:position w:val="16"/>
          <w:sz w:val="21"/>
          <w:szCs w:val="21"/>
          <w:highlight w:val="none"/>
        </w:rPr>
        <w:t>投标邀请书列明的渠道获取招标文件，没</w:t>
      </w:r>
    </w:p>
    <w:p w14:paraId="242E3FF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有通过其他不正当渠道获取招标文件。</w:t>
      </w:r>
    </w:p>
    <w:p w14:paraId="031DC0D8">
      <w:pPr>
        <w:spacing w:before="191" w:line="442" w:lineRule="exact"/>
        <w:ind w:left="461"/>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四、我单位承诺投标文件由本单位员工独立编</w:t>
      </w:r>
      <w:r>
        <w:rPr>
          <w:rFonts w:ascii="宋体" w:hAnsi="宋体" w:eastAsia="宋体" w:cs="宋体"/>
          <w:color w:val="auto"/>
          <w:spacing w:val="2"/>
          <w:position w:val="17"/>
          <w:sz w:val="21"/>
          <w:szCs w:val="21"/>
          <w:highlight w:val="none"/>
        </w:rPr>
        <w:t>制，严格遵守保密义务。所提供的一切</w:t>
      </w:r>
    </w:p>
    <w:p w14:paraId="7D52CAA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投标相关材料都是真实、有效、合法的。</w:t>
      </w:r>
    </w:p>
    <w:p w14:paraId="36B80E4C">
      <w:pPr>
        <w:spacing w:before="187" w:line="441" w:lineRule="exact"/>
        <w:ind w:left="444"/>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五、我单位不与其他投标人相互串通投标报价， 不恶意压低或抬高投标报价，不排挤</w:t>
      </w:r>
    </w:p>
    <w:p w14:paraId="6BEEE72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其他投标人的公平竞争，不损害招标人或其他投标人</w:t>
      </w:r>
      <w:r>
        <w:rPr>
          <w:rFonts w:ascii="宋体" w:hAnsi="宋体" w:eastAsia="宋体" w:cs="宋体"/>
          <w:color w:val="auto"/>
          <w:spacing w:val="-1"/>
          <w:sz w:val="21"/>
          <w:szCs w:val="21"/>
          <w:highlight w:val="none"/>
        </w:rPr>
        <w:t>的合法权益。</w:t>
      </w:r>
    </w:p>
    <w:p w14:paraId="3585AB99">
      <w:pPr>
        <w:spacing w:before="190" w:line="43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六、我单位不与招标人或招标代理机构串通投标，损害国家利益、社会公共利益或者</w:t>
      </w:r>
    </w:p>
    <w:p w14:paraId="17BE5F2C">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他人的合法权益。</w:t>
      </w:r>
    </w:p>
    <w:p w14:paraId="1DB95CAC">
      <w:pPr>
        <w:spacing w:before="191" w:line="442" w:lineRule="exact"/>
        <w:ind w:left="440"/>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七、我单位不向招标人或者评标委员会成员行贿以牟取中标，不在开标后进行虚假恶</w:t>
      </w:r>
    </w:p>
    <w:p w14:paraId="0581ED9E">
      <w:pPr>
        <w:spacing w:line="221" w:lineRule="auto"/>
        <w:ind w:left="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意投诉。</w:t>
      </w:r>
    </w:p>
    <w:p w14:paraId="384F2F79">
      <w:pPr>
        <w:spacing w:before="185" w:line="387" w:lineRule="auto"/>
        <w:ind w:left="20" w:right="156"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八、我单位和我个人清楚并知晓《中华人民共和国刑法》第二百二十三条“投标人相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互串通投标报价， 损害招标人或者其他投标人利益</w:t>
      </w:r>
      <w:r>
        <w:rPr>
          <w:rFonts w:ascii="宋体" w:hAnsi="宋体" w:eastAsia="宋体" w:cs="宋体"/>
          <w:color w:val="auto"/>
          <w:spacing w:val="-3"/>
          <w:sz w:val="21"/>
          <w:szCs w:val="21"/>
          <w:highlight w:val="none"/>
        </w:rPr>
        <w:t>，情节严重的， 处三年以下有期徒刑或</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者拘役，并处或者单处罚金。投标人与招标人串通投标，损害国家、集体</w:t>
      </w:r>
      <w:r>
        <w:rPr>
          <w:rFonts w:ascii="宋体" w:hAnsi="宋体" w:eastAsia="宋体" w:cs="宋体"/>
          <w:color w:val="auto"/>
          <w:spacing w:val="2"/>
          <w:sz w:val="21"/>
          <w:szCs w:val="21"/>
          <w:highlight w:val="none"/>
        </w:rPr>
        <w:t>、公民的合法利</w:t>
      </w:r>
    </w:p>
    <w:p w14:paraId="4D6132C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益的，依照前款的规定处罚”的规定。</w:t>
      </w:r>
    </w:p>
    <w:p w14:paraId="6F1C04B2">
      <w:pPr>
        <w:spacing w:before="191" w:line="443" w:lineRule="exact"/>
        <w:ind w:left="446"/>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九、我单位如在本项目招标投标活动评标工作中存在串通投标、弄</w:t>
      </w:r>
      <w:r>
        <w:rPr>
          <w:rFonts w:ascii="宋体" w:hAnsi="宋体" w:eastAsia="宋体" w:cs="宋体"/>
          <w:color w:val="auto"/>
          <w:spacing w:val="2"/>
          <w:position w:val="17"/>
          <w:sz w:val="21"/>
          <w:szCs w:val="21"/>
          <w:highlight w:val="none"/>
        </w:rPr>
        <w:t>虚作假等行为的，</w:t>
      </w:r>
    </w:p>
    <w:p w14:paraId="3BA042A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本单位及本人自愿承担法律责任，接受相应刑事、纪律和行政处罚以及失信惩戒。</w:t>
      </w:r>
    </w:p>
    <w:p w14:paraId="79EDCB31">
      <w:pPr>
        <w:spacing w:before="187"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十、本承诺函由我单位盖章及法定代表人（授权委托人）本人亲自盖章</w:t>
      </w:r>
      <w:r>
        <w:rPr>
          <w:rFonts w:ascii="宋体" w:hAnsi="宋体" w:eastAsia="宋体" w:cs="宋体"/>
          <w:color w:val="auto"/>
          <w:spacing w:val="-1"/>
          <w:sz w:val="21"/>
          <w:szCs w:val="21"/>
          <w:highlight w:val="none"/>
        </w:rPr>
        <w:t>或签字确认。</w:t>
      </w:r>
    </w:p>
    <w:p w14:paraId="7A667E49">
      <w:pPr>
        <w:pStyle w:val="5"/>
        <w:spacing w:line="280" w:lineRule="auto"/>
        <w:rPr>
          <w:color w:val="auto"/>
          <w:highlight w:val="none"/>
        </w:rPr>
      </w:pPr>
    </w:p>
    <w:p w14:paraId="6A8B41A1">
      <w:pPr>
        <w:pStyle w:val="5"/>
        <w:spacing w:line="281" w:lineRule="auto"/>
        <w:rPr>
          <w:color w:val="auto"/>
          <w:highlight w:val="none"/>
        </w:rPr>
      </w:pPr>
    </w:p>
    <w:p w14:paraId="6DE00184">
      <w:pPr>
        <w:spacing w:before="69" w:line="437" w:lineRule="exact"/>
        <w:ind w:left="5166"/>
        <w:rPr>
          <w:rFonts w:ascii="宋体" w:hAnsi="宋体" w:eastAsia="宋体" w:cs="宋体"/>
          <w:color w:val="auto"/>
          <w:sz w:val="21"/>
          <w:szCs w:val="21"/>
          <w:highlight w:val="none"/>
        </w:rPr>
      </w:pPr>
      <w:r>
        <w:rPr>
          <w:rFonts w:ascii="宋体" w:hAnsi="宋体" w:eastAsia="宋体" w:cs="宋体"/>
          <w:color w:val="auto"/>
          <w:spacing w:val="-11"/>
          <w:position w:val="17"/>
          <w:sz w:val="21"/>
          <w:szCs w:val="21"/>
          <w:highlight w:val="none"/>
        </w:rPr>
        <w:t>承诺单位</w:t>
      </w:r>
      <w:r>
        <w:rPr>
          <w:rFonts w:ascii="宋体" w:hAnsi="宋体" w:eastAsia="宋体" w:cs="宋体"/>
          <w:color w:val="auto"/>
          <w:spacing w:val="-5"/>
          <w:position w:val="17"/>
          <w:sz w:val="21"/>
          <w:szCs w:val="21"/>
          <w:highlight w:val="none"/>
        </w:rPr>
        <w:t>：（</w:t>
      </w:r>
      <w:r>
        <w:rPr>
          <w:rFonts w:ascii="宋体" w:hAnsi="宋体" w:eastAsia="宋体" w:cs="宋体"/>
          <w:color w:val="auto"/>
          <w:spacing w:val="-11"/>
          <w:position w:val="17"/>
          <w:sz w:val="21"/>
          <w:szCs w:val="21"/>
          <w:highlight w:val="none"/>
        </w:rPr>
        <w:t>盖单位章）</w:t>
      </w:r>
    </w:p>
    <w:p w14:paraId="68EF01C3">
      <w:pPr>
        <w:spacing w:before="1" w:line="219" w:lineRule="auto"/>
        <w:ind w:left="411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签章）</w:t>
      </w:r>
    </w:p>
    <w:p w14:paraId="4D4EF1CC">
      <w:pPr>
        <w:spacing w:before="191" w:line="221" w:lineRule="auto"/>
        <w:ind w:left="4441"/>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承诺时间：</w:t>
      </w:r>
      <w:r>
        <w:rPr>
          <w:rFonts w:ascii="宋体" w:hAnsi="宋体" w:eastAsia="宋体" w:cs="宋体"/>
          <w:color w:val="auto"/>
          <w:spacing w:val="30"/>
          <w:sz w:val="21"/>
          <w:szCs w:val="21"/>
          <w:highlight w:val="none"/>
        </w:rPr>
        <w:t xml:space="preserve">  </w:t>
      </w:r>
      <w:r>
        <w:rPr>
          <w:rFonts w:ascii="宋体" w:hAnsi="宋体" w:eastAsia="宋体" w:cs="宋体"/>
          <w:color w:val="auto"/>
          <w:spacing w:val="-17"/>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7"/>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7"/>
          <w:sz w:val="21"/>
          <w:szCs w:val="21"/>
          <w:highlight w:val="none"/>
        </w:rPr>
        <w:t>日</w:t>
      </w:r>
    </w:p>
    <w:p w14:paraId="459B0CFE">
      <w:pPr>
        <w:spacing w:line="221" w:lineRule="auto"/>
        <w:rPr>
          <w:rFonts w:ascii="宋体" w:hAnsi="宋体" w:eastAsia="宋体" w:cs="宋体"/>
          <w:color w:val="auto"/>
          <w:sz w:val="21"/>
          <w:szCs w:val="21"/>
          <w:highlight w:val="none"/>
        </w:rPr>
        <w:sectPr>
          <w:footerReference r:id="rId157" w:type="default"/>
          <w:pgSz w:w="11905" w:h="16839"/>
          <w:pgMar w:top="400" w:right="1635" w:bottom="1004" w:left="1785" w:header="0" w:footer="828" w:gutter="0"/>
          <w:pgNumType w:fmt="decimal"/>
          <w:cols w:space="720" w:num="1"/>
        </w:sectPr>
      </w:pPr>
    </w:p>
    <w:p w14:paraId="4CA3F243">
      <w:pPr>
        <w:pStyle w:val="5"/>
        <w:spacing w:line="257" w:lineRule="auto"/>
        <w:rPr>
          <w:color w:val="auto"/>
          <w:highlight w:val="none"/>
        </w:rPr>
      </w:pPr>
    </w:p>
    <w:p w14:paraId="114707FE">
      <w:pPr>
        <w:pStyle w:val="5"/>
        <w:spacing w:line="257" w:lineRule="auto"/>
        <w:rPr>
          <w:color w:val="auto"/>
          <w:highlight w:val="none"/>
        </w:rPr>
      </w:pPr>
    </w:p>
    <w:p w14:paraId="0BDD6067">
      <w:pPr>
        <w:pStyle w:val="5"/>
        <w:spacing w:line="257" w:lineRule="auto"/>
        <w:rPr>
          <w:color w:val="auto"/>
          <w:highlight w:val="none"/>
        </w:rPr>
      </w:pPr>
    </w:p>
    <w:p w14:paraId="28F10729">
      <w:pPr>
        <w:pStyle w:val="5"/>
        <w:spacing w:line="257" w:lineRule="auto"/>
        <w:rPr>
          <w:color w:val="auto"/>
          <w:highlight w:val="none"/>
        </w:rPr>
      </w:pPr>
    </w:p>
    <w:p w14:paraId="1D0687D6">
      <w:pPr>
        <w:spacing w:before="88" w:line="224" w:lineRule="auto"/>
        <w:ind w:left="3361"/>
        <w:rPr>
          <w:rFonts w:ascii="黑体" w:hAnsi="黑体" w:eastAsia="黑体" w:cs="黑体"/>
          <w:color w:val="auto"/>
          <w:sz w:val="27"/>
          <w:szCs w:val="27"/>
          <w:highlight w:val="none"/>
        </w:rPr>
      </w:pPr>
      <w:bookmarkStart w:id="1744" w:name="bookmark301"/>
      <w:bookmarkEnd w:id="1744"/>
      <w:bookmarkStart w:id="1745" w:name="bookmark300"/>
      <w:bookmarkEnd w:id="1745"/>
      <w:bookmarkStart w:id="1746" w:name="bookmark299"/>
      <w:bookmarkEnd w:id="1746"/>
      <w:r>
        <w:rPr>
          <w:rFonts w:ascii="黑体" w:hAnsi="黑体" w:eastAsia="黑体" w:cs="黑体"/>
          <w:color w:val="auto"/>
          <w:spacing w:val="-2"/>
          <w:sz w:val="27"/>
          <w:szCs w:val="27"/>
          <w:highlight w:val="none"/>
        </w:rPr>
        <w:t>（四）声明函</w:t>
      </w:r>
    </w:p>
    <w:p w14:paraId="6BABDD18">
      <w:pPr>
        <w:pStyle w:val="5"/>
        <w:spacing w:line="266" w:lineRule="auto"/>
        <w:rPr>
          <w:color w:val="auto"/>
          <w:highlight w:val="none"/>
        </w:rPr>
      </w:pPr>
    </w:p>
    <w:p w14:paraId="3BAF52E9">
      <w:pPr>
        <w:pStyle w:val="5"/>
        <w:spacing w:line="266" w:lineRule="auto"/>
        <w:rPr>
          <w:color w:val="auto"/>
          <w:highlight w:val="none"/>
        </w:rPr>
      </w:pPr>
    </w:p>
    <w:p w14:paraId="400E1AF3">
      <w:pPr>
        <w:spacing w:before="69" w:line="220" w:lineRule="auto"/>
        <w:ind w:left="440"/>
        <w:rPr>
          <w:rFonts w:ascii="宋体" w:hAnsi="宋体" w:eastAsia="宋体" w:cs="宋体"/>
          <w:color w:val="auto"/>
          <w:sz w:val="21"/>
          <w:szCs w:val="21"/>
          <w:highlight w:val="none"/>
        </w:rPr>
      </w:pPr>
      <w:r>
        <w:rPr>
          <w:rFonts w:ascii="宋体" w:hAnsi="宋体" w:eastAsia="宋体" w:cs="宋体"/>
          <w:color w:val="auto"/>
          <w:sz w:val="21"/>
          <w:szCs w:val="21"/>
          <w:highlight w:val="none"/>
        </w:rPr>
        <w:t>在本项目编制投标文件过程中，我单位声明</w:t>
      </w:r>
      <w:r>
        <w:rPr>
          <w:rFonts w:ascii="宋体" w:hAnsi="宋体" w:eastAsia="宋体" w:cs="宋体"/>
          <w:color w:val="auto"/>
          <w:spacing w:val="-1"/>
          <w:sz w:val="21"/>
          <w:szCs w:val="21"/>
          <w:highlight w:val="none"/>
        </w:rPr>
        <w:t>如下：</w:t>
      </w:r>
    </w:p>
    <w:p w14:paraId="13CF6E01">
      <w:pPr>
        <w:spacing w:before="186" w:line="220"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一、未与本标段其他投标人委托同一单位或同</w:t>
      </w:r>
      <w:r>
        <w:rPr>
          <w:rFonts w:ascii="宋体" w:hAnsi="宋体" w:eastAsia="宋体" w:cs="宋体"/>
          <w:color w:val="auto"/>
          <w:spacing w:val="-1"/>
          <w:sz w:val="21"/>
          <w:szCs w:val="21"/>
          <w:highlight w:val="none"/>
        </w:rPr>
        <w:t>一人编制投标文件；</w:t>
      </w:r>
    </w:p>
    <w:p w14:paraId="52037957">
      <w:pPr>
        <w:spacing w:before="191" w:line="219"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二、未与本标段其他投标人协商投标报价；</w:t>
      </w:r>
    </w:p>
    <w:p w14:paraId="521736A9">
      <w:pPr>
        <w:spacing w:before="192"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三、未与本标段其他投标人使用同一电脑等电子设备编制投标文</w:t>
      </w:r>
      <w:r>
        <w:rPr>
          <w:rFonts w:ascii="宋体" w:hAnsi="宋体" w:eastAsia="宋体" w:cs="宋体"/>
          <w:color w:val="auto"/>
          <w:spacing w:val="-2"/>
          <w:sz w:val="21"/>
          <w:szCs w:val="21"/>
          <w:highlight w:val="none"/>
        </w:rPr>
        <w:t>件；</w:t>
      </w:r>
    </w:p>
    <w:p w14:paraId="6E7DFC56">
      <w:pPr>
        <w:spacing w:before="186" w:line="220"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四、未使用“网络虚拟设备”等无法识别电子设备归属的电脑编制投标文件；</w:t>
      </w:r>
    </w:p>
    <w:p w14:paraId="71D470F9">
      <w:pPr>
        <w:spacing w:before="192" w:line="386" w:lineRule="auto"/>
        <w:ind w:left="39" w:right="428"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五、本项目技术标（施工组织设计）是针对本项目现场实际、技术特点以及施工 </w:t>
      </w:r>
      <w:r>
        <w:rPr>
          <w:rFonts w:ascii="宋体" w:hAnsi="宋体" w:eastAsia="宋体" w:cs="宋体"/>
          <w:color w:val="auto"/>
          <w:sz w:val="21"/>
          <w:szCs w:val="21"/>
          <w:highlight w:val="none"/>
        </w:rPr>
        <w:t>图纸而编制的相应的技术方案， 在编制过程中未抄袭、摘</w:t>
      </w:r>
      <w:r>
        <w:rPr>
          <w:rFonts w:ascii="宋体" w:hAnsi="宋体" w:eastAsia="宋体" w:cs="宋体"/>
          <w:color w:val="auto"/>
          <w:spacing w:val="-1"/>
          <w:sz w:val="21"/>
          <w:szCs w:val="21"/>
          <w:highlight w:val="none"/>
        </w:rPr>
        <w:t>抄网络或其他项目相关技术</w:t>
      </w:r>
    </w:p>
    <w:p w14:paraId="6FB9EF41">
      <w:pPr>
        <w:spacing w:before="1" w:line="220" w:lineRule="auto"/>
        <w:ind w:left="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资料，对文件内容具有独立自主知识产权；</w:t>
      </w:r>
    </w:p>
    <w:p w14:paraId="0042A6A1">
      <w:pPr>
        <w:spacing w:before="190" w:line="443" w:lineRule="exact"/>
        <w:ind w:left="442"/>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六、本项目经济标（投标报价）是依据本项目给定的图纸、工程量清单、最高投</w:t>
      </w:r>
    </w:p>
    <w:p w14:paraId="3D8A607E">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标限价以及现场实际独立编制的，对投标报价编制的完整性、</w:t>
      </w:r>
      <w:r>
        <w:rPr>
          <w:rFonts w:ascii="宋体" w:hAnsi="宋体" w:eastAsia="宋体" w:cs="宋体"/>
          <w:color w:val="auto"/>
          <w:spacing w:val="-1"/>
          <w:sz w:val="21"/>
          <w:szCs w:val="21"/>
          <w:highlight w:val="none"/>
        </w:rPr>
        <w:t>准确性负责；</w:t>
      </w:r>
    </w:p>
    <w:p w14:paraId="0614B375">
      <w:pPr>
        <w:spacing w:before="187" w:line="387" w:lineRule="auto"/>
        <w:ind w:left="18" w:right="425"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七、本项目资信标提供的材料均为我单位真实、有效和完整的材料， 不存在任何</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弄虚作假行为。投标文件所附的各类材料均为我单位提供相关材料和填写的内容在主 体信息库依据规则生成，我单位已对材料进行确认，并认可提供材料的有效性、真实</w:t>
      </w:r>
    </w:p>
    <w:p w14:paraId="6EBA08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性和完整性。</w:t>
      </w:r>
    </w:p>
    <w:p w14:paraId="2E56BAB0">
      <w:pPr>
        <w:spacing w:before="191" w:line="386" w:lineRule="auto"/>
        <w:ind w:left="19" w:right="428"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我单位对以上声明内容完全负责， 如违反以上任一一款，评标委员会有权依据招</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标文件相应条款否决我单位投标文件，招标人有权依据相关法律不接受我单位投标并</w:t>
      </w:r>
    </w:p>
    <w:p w14:paraId="41D270DA">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没收我单位投标保证金，由此造成的一切法律责任和经济损失我单位均予以承担。</w:t>
      </w:r>
    </w:p>
    <w:p w14:paraId="7835A53C">
      <w:pPr>
        <w:spacing w:before="191" w:line="221" w:lineRule="auto"/>
        <w:ind w:left="44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特此声明！</w:t>
      </w:r>
    </w:p>
    <w:p w14:paraId="7FC13E9D">
      <w:pPr>
        <w:pStyle w:val="5"/>
        <w:spacing w:line="286" w:lineRule="auto"/>
        <w:rPr>
          <w:color w:val="auto"/>
          <w:highlight w:val="none"/>
        </w:rPr>
      </w:pPr>
    </w:p>
    <w:p w14:paraId="4A0EF29A">
      <w:pPr>
        <w:pStyle w:val="5"/>
        <w:spacing w:line="287" w:lineRule="auto"/>
        <w:rPr>
          <w:color w:val="auto"/>
          <w:highlight w:val="none"/>
        </w:rPr>
      </w:pPr>
    </w:p>
    <w:p w14:paraId="02B00976">
      <w:pPr>
        <w:pStyle w:val="5"/>
        <w:spacing w:line="287" w:lineRule="auto"/>
        <w:rPr>
          <w:color w:val="auto"/>
          <w:highlight w:val="none"/>
        </w:rPr>
      </w:pPr>
    </w:p>
    <w:p w14:paraId="3F8B65DA">
      <w:pPr>
        <w:pStyle w:val="5"/>
        <w:spacing w:line="287" w:lineRule="auto"/>
        <w:rPr>
          <w:color w:val="auto"/>
          <w:highlight w:val="none"/>
        </w:rPr>
      </w:pPr>
    </w:p>
    <w:p w14:paraId="100563F1">
      <w:pPr>
        <w:pStyle w:val="5"/>
        <w:spacing w:line="287" w:lineRule="auto"/>
        <w:rPr>
          <w:color w:val="auto"/>
          <w:highlight w:val="none"/>
        </w:rPr>
      </w:pPr>
    </w:p>
    <w:p w14:paraId="4FDBD72E">
      <w:pPr>
        <w:spacing w:before="68" w:line="220" w:lineRule="auto"/>
        <w:ind w:left="4118"/>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声明单位</w:t>
      </w:r>
      <w:r>
        <w:rPr>
          <w:rFonts w:ascii="宋体" w:hAnsi="宋体" w:eastAsia="宋体" w:cs="宋体"/>
          <w:color w:val="auto"/>
          <w:spacing w:val="-7"/>
          <w:sz w:val="21"/>
          <w:szCs w:val="21"/>
          <w:highlight w:val="none"/>
        </w:rPr>
        <w:t>：（</w:t>
      </w:r>
      <w:r>
        <w:rPr>
          <w:rFonts w:ascii="宋体" w:hAnsi="宋体" w:eastAsia="宋体" w:cs="宋体"/>
          <w:color w:val="auto"/>
          <w:spacing w:val="-11"/>
          <w:sz w:val="21"/>
          <w:szCs w:val="21"/>
          <w:highlight w:val="none"/>
        </w:rPr>
        <w:t>盖单位章）</w:t>
      </w:r>
    </w:p>
    <w:p w14:paraId="71C6C8BE">
      <w:pPr>
        <w:spacing w:before="187" w:line="220" w:lineRule="auto"/>
        <w:ind w:left="411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签章）</w:t>
      </w:r>
    </w:p>
    <w:p w14:paraId="430DC9EB">
      <w:pPr>
        <w:spacing w:before="191" w:line="221" w:lineRule="auto"/>
        <w:ind w:left="4133"/>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声明时间：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5"/>
          <w:sz w:val="21"/>
          <w:szCs w:val="21"/>
          <w:highlight w:val="none"/>
        </w:rPr>
        <w:t xml:space="preserve">   </w:t>
      </w:r>
      <w:r>
        <w:rPr>
          <w:rFonts w:ascii="宋体" w:hAnsi="宋体" w:eastAsia="宋体" w:cs="宋体"/>
          <w:color w:val="auto"/>
          <w:spacing w:val="-19"/>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9"/>
          <w:sz w:val="21"/>
          <w:szCs w:val="21"/>
          <w:highlight w:val="none"/>
        </w:rPr>
        <w:t>日</w:t>
      </w:r>
    </w:p>
    <w:p w14:paraId="09F0A004">
      <w:pPr>
        <w:spacing w:line="221" w:lineRule="auto"/>
        <w:rPr>
          <w:rFonts w:ascii="宋体" w:hAnsi="宋体" w:eastAsia="宋体" w:cs="宋体"/>
          <w:color w:val="auto"/>
          <w:sz w:val="21"/>
          <w:szCs w:val="21"/>
          <w:highlight w:val="none"/>
        </w:rPr>
        <w:sectPr>
          <w:footerReference r:id="rId158" w:type="default"/>
          <w:pgSz w:w="11905" w:h="16839"/>
          <w:pgMar w:top="400" w:right="1785" w:bottom="1004" w:left="1785" w:header="0" w:footer="828" w:gutter="0"/>
          <w:pgNumType w:fmt="decimal"/>
          <w:cols w:space="720" w:num="1"/>
        </w:sectPr>
      </w:pPr>
    </w:p>
    <w:p w14:paraId="5F4CA4FA">
      <w:pPr>
        <w:pStyle w:val="5"/>
        <w:spacing w:line="255" w:lineRule="auto"/>
        <w:rPr>
          <w:color w:val="auto"/>
          <w:highlight w:val="none"/>
        </w:rPr>
      </w:pPr>
    </w:p>
    <w:p w14:paraId="06E761E2">
      <w:pPr>
        <w:pStyle w:val="5"/>
        <w:spacing w:line="256" w:lineRule="auto"/>
        <w:rPr>
          <w:color w:val="auto"/>
          <w:highlight w:val="none"/>
        </w:rPr>
      </w:pPr>
    </w:p>
    <w:p w14:paraId="1749E70C">
      <w:pPr>
        <w:pStyle w:val="5"/>
        <w:spacing w:line="256" w:lineRule="auto"/>
        <w:rPr>
          <w:color w:val="auto"/>
          <w:highlight w:val="none"/>
        </w:rPr>
      </w:pPr>
    </w:p>
    <w:p w14:paraId="4CACFDD5">
      <w:pPr>
        <w:pStyle w:val="5"/>
        <w:spacing w:line="256" w:lineRule="auto"/>
        <w:rPr>
          <w:color w:val="auto"/>
          <w:highlight w:val="none"/>
        </w:rPr>
      </w:pPr>
    </w:p>
    <w:p w14:paraId="3B48E0D3">
      <w:pPr>
        <w:spacing w:before="88" w:line="224" w:lineRule="auto"/>
        <w:ind w:left="2642"/>
        <w:rPr>
          <w:rFonts w:ascii="黑体" w:hAnsi="黑体" w:eastAsia="黑体" w:cs="黑体"/>
          <w:color w:val="auto"/>
          <w:sz w:val="27"/>
          <w:szCs w:val="27"/>
          <w:highlight w:val="none"/>
        </w:rPr>
      </w:pPr>
      <w:bookmarkStart w:id="1747" w:name="bookmark302"/>
      <w:bookmarkEnd w:id="1747"/>
      <w:r>
        <w:rPr>
          <w:rFonts w:ascii="黑体" w:hAnsi="黑体" w:eastAsia="黑体" w:cs="黑体"/>
          <w:color w:val="auto"/>
          <w:spacing w:val="8"/>
          <w:sz w:val="27"/>
          <w:szCs w:val="27"/>
          <w:highlight w:val="none"/>
        </w:rPr>
        <w:t>二、法定代表人身份证明</w:t>
      </w:r>
    </w:p>
    <w:p w14:paraId="3FAA9101">
      <w:pPr>
        <w:tabs>
          <w:tab w:val="left" w:pos="6939"/>
        </w:tabs>
        <w:spacing w:before="211" w:line="440" w:lineRule="auto"/>
        <w:ind w:left="18" w:right="1393" w:firstLine="2"/>
        <w:jc w:val="both"/>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1"/>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3"/>
          <w:w w:val="96"/>
          <w:sz w:val="21"/>
          <w:szCs w:val="21"/>
          <w:highlight w:val="none"/>
        </w:rPr>
        <w:t>单位性质：</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66FE400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成立时间：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19"/>
          <w:sz w:val="21"/>
          <w:szCs w:val="21"/>
          <w:highlight w:val="none"/>
        </w:rPr>
        <w:t>月</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19"/>
          <w:sz w:val="21"/>
          <w:szCs w:val="21"/>
          <w:highlight w:val="none"/>
        </w:rPr>
        <w:t>日</w:t>
      </w:r>
    </w:p>
    <w:p w14:paraId="67EB2524">
      <w:pPr>
        <w:spacing w:before="248" w:line="221" w:lineRule="auto"/>
        <w:ind w:left="2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经营期限：</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u w:val="single" w:color="auto"/>
        </w:rPr>
        <w:t xml:space="preserve">                                                        </w:t>
      </w:r>
    </w:p>
    <w:p w14:paraId="0296FA23">
      <w:pPr>
        <w:spacing w:before="248" w:line="221" w:lineRule="auto"/>
        <w:ind w:left="18"/>
        <w:rPr>
          <w:rFonts w:ascii="宋体" w:hAnsi="宋体" w:eastAsia="宋体" w:cs="宋体"/>
          <w:color w:val="auto"/>
          <w:sz w:val="21"/>
          <w:szCs w:val="21"/>
          <w:highlight w:val="none"/>
        </w:rPr>
      </w:pPr>
      <w:r>
        <w:rPr>
          <w:rFonts w:ascii="宋体" w:hAnsi="宋体" w:eastAsia="宋体" w:cs="宋体"/>
          <w:color w:val="auto"/>
          <w:spacing w:val="-30"/>
          <w:sz w:val="21"/>
          <w:szCs w:val="21"/>
          <w:highlight w:val="none"/>
        </w:rPr>
        <w:t>姓</w:t>
      </w:r>
      <w:r>
        <w:rPr>
          <w:rFonts w:ascii="宋体" w:hAnsi="宋体" w:eastAsia="宋体" w:cs="宋体"/>
          <w:color w:val="auto"/>
          <w:spacing w:val="3"/>
          <w:sz w:val="21"/>
          <w:szCs w:val="21"/>
          <w:highlight w:val="none"/>
        </w:rPr>
        <w:t xml:space="preserve">    </w:t>
      </w:r>
      <w:r>
        <w:rPr>
          <w:rFonts w:ascii="宋体" w:hAnsi="宋体" w:eastAsia="宋体" w:cs="宋体"/>
          <w:color w:val="auto"/>
          <w:spacing w:val="-30"/>
          <w:sz w:val="21"/>
          <w:szCs w:val="21"/>
          <w:highlight w:val="none"/>
        </w:rPr>
        <w:t>名：</w:t>
      </w:r>
      <w:r>
        <w:rPr>
          <w:rFonts w:ascii="宋体" w:hAnsi="宋体" w:eastAsia="宋体" w:cs="宋体"/>
          <w:color w:val="auto"/>
          <w:spacing w:val="-3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0"/>
          <w:sz w:val="21"/>
          <w:szCs w:val="21"/>
          <w:highlight w:val="none"/>
        </w:rPr>
        <w:t>性</w:t>
      </w:r>
      <w:r>
        <w:rPr>
          <w:rFonts w:ascii="宋体" w:hAnsi="宋体" w:eastAsia="宋体" w:cs="宋体"/>
          <w:color w:val="auto"/>
          <w:sz w:val="21"/>
          <w:szCs w:val="21"/>
          <w:highlight w:val="none"/>
        </w:rPr>
        <w:t xml:space="preserve">        </w:t>
      </w:r>
      <w:r>
        <w:rPr>
          <w:rFonts w:ascii="宋体" w:hAnsi="宋体" w:eastAsia="宋体" w:cs="宋体"/>
          <w:color w:val="auto"/>
          <w:spacing w:val="-30"/>
          <w:sz w:val="21"/>
          <w:szCs w:val="21"/>
          <w:highlight w:val="none"/>
        </w:rPr>
        <w:t>别：</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u w:val="single" w:color="auto"/>
        </w:rPr>
        <w:t xml:space="preserve">                </w:t>
      </w:r>
    </w:p>
    <w:p w14:paraId="05C7CAE4">
      <w:pPr>
        <w:spacing w:before="247" w:line="221" w:lineRule="auto"/>
        <w:ind w:left="19"/>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龄：</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29"/>
          <w:w w:val="99"/>
          <w:sz w:val="21"/>
          <w:szCs w:val="21"/>
          <w:highlight w:val="none"/>
        </w:rPr>
        <w:t>职</w:t>
      </w:r>
      <w:r>
        <w:rPr>
          <w:rFonts w:ascii="宋体" w:hAnsi="宋体" w:eastAsia="宋体" w:cs="宋体"/>
          <w:color w:val="auto"/>
          <w:sz w:val="21"/>
          <w:szCs w:val="21"/>
          <w:highlight w:val="none"/>
        </w:rPr>
        <w:t xml:space="preserve">        </w:t>
      </w:r>
      <w:r>
        <w:rPr>
          <w:rFonts w:ascii="宋体" w:hAnsi="宋体" w:eastAsia="宋体" w:cs="宋体"/>
          <w:color w:val="auto"/>
          <w:spacing w:val="-29"/>
          <w:w w:val="99"/>
          <w:sz w:val="21"/>
          <w:szCs w:val="21"/>
          <w:highlight w:val="none"/>
        </w:rPr>
        <w:t>务：</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u w:val="single" w:color="auto"/>
        </w:rPr>
        <w:t xml:space="preserve">                </w:t>
      </w:r>
    </w:p>
    <w:p w14:paraId="57182E84">
      <w:pPr>
        <w:spacing w:before="254" w:line="439" w:lineRule="auto"/>
        <w:ind w:left="22"/>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系</w:t>
      </w:r>
      <w:r>
        <w:rPr>
          <w:rFonts w:ascii="宋体" w:hAnsi="宋体" w:eastAsia="宋体" w:cs="宋体"/>
          <w:color w:val="auto"/>
          <w:spacing w:val="-9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w:t>
      </w:r>
      <w:r>
        <w:rPr>
          <w:rFonts w:ascii="宋体" w:hAnsi="宋体" w:eastAsia="宋体" w:cs="宋体"/>
          <w:color w:val="auto"/>
          <w:spacing w:val="-17"/>
          <w:sz w:val="21"/>
          <w:szCs w:val="21"/>
          <w:highlight w:val="none"/>
        </w:rPr>
        <w:t>（投标人名称）</w:t>
      </w:r>
      <w:r>
        <w:rPr>
          <w:rFonts w:ascii="宋体" w:hAnsi="宋体" w:eastAsia="宋体" w:cs="宋体"/>
          <w:color w:val="auto"/>
          <w:spacing w:val="35"/>
          <w:sz w:val="21"/>
          <w:szCs w:val="21"/>
          <w:highlight w:val="none"/>
        </w:rPr>
        <w:t xml:space="preserve"> </w:t>
      </w:r>
      <w:r>
        <w:rPr>
          <w:rFonts w:ascii="宋体" w:hAnsi="宋体" w:eastAsia="宋体" w:cs="宋体"/>
          <w:color w:val="auto"/>
          <w:spacing w:val="-17"/>
          <w:sz w:val="21"/>
          <w:szCs w:val="21"/>
          <w:highlight w:val="none"/>
        </w:rPr>
        <w:t>的法定代表人。</w:t>
      </w:r>
    </w:p>
    <w:p w14:paraId="731486E5">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特此证明。</w:t>
      </w:r>
    </w:p>
    <w:p w14:paraId="59913685">
      <w:pPr>
        <w:pStyle w:val="5"/>
        <w:spacing w:line="292" w:lineRule="auto"/>
        <w:rPr>
          <w:color w:val="auto"/>
          <w:highlight w:val="none"/>
        </w:rPr>
      </w:pPr>
    </w:p>
    <w:p w14:paraId="54B14888">
      <w:pPr>
        <w:pStyle w:val="5"/>
        <w:spacing w:line="293" w:lineRule="auto"/>
        <w:rPr>
          <w:color w:val="auto"/>
          <w:highlight w:val="none"/>
        </w:rPr>
      </w:pPr>
    </w:p>
    <w:p w14:paraId="42662FD7">
      <w:pPr>
        <w:pStyle w:val="5"/>
        <w:spacing w:line="293" w:lineRule="auto"/>
        <w:rPr>
          <w:color w:val="auto"/>
          <w:highlight w:val="none"/>
        </w:rPr>
      </w:pPr>
    </w:p>
    <w:p w14:paraId="4A95D93A">
      <w:pPr>
        <w:pStyle w:val="5"/>
        <w:spacing w:line="293" w:lineRule="auto"/>
        <w:rPr>
          <w:color w:val="auto"/>
          <w:highlight w:val="none"/>
        </w:rPr>
      </w:pPr>
    </w:p>
    <w:p w14:paraId="47B56104">
      <w:pPr>
        <w:spacing w:before="68" w:line="439" w:lineRule="auto"/>
        <w:ind w:right="11"/>
        <w:jc w:val="right"/>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pacing w:val="-16"/>
          <w:sz w:val="21"/>
          <w:szCs w:val="21"/>
          <w:highlight w:val="none"/>
        </w:rPr>
        <w:t>：</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7"/>
          <w:sz w:val="21"/>
          <w:szCs w:val="21"/>
          <w:highlight w:val="none"/>
        </w:rPr>
        <w:t xml:space="preserve"> </w:t>
      </w:r>
      <w:r>
        <w:rPr>
          <w:rFonts w:ascii="宋体" w:hAnsi="宋体" w:eastAsia="宋体" w:cs="宋体"/>
          <w:color w:val="auto"/>
          <w:spacing w:val="-16"/>
          <w:sz w:val="21"/>
          <w:szCs w:val="21"/>
          <w:highlight w:val="none"/>
        </w:rPr>
        <w:t>（</w:t>
      </w:r>
      <w:r>
        <w:rPr>
          <w:rFonts w:ascii="宋体" w:hAnsi="宋体" w:eastAsia="宋体" w:cs="宋体"/>
          <w:color w:val="auto"/>
          <w:spacing w:val="-23"/>
          <w:w w:val="98"/>
          <w:sz w:val="21"/>
          <w:szCs w:val="21"/>
          <w:highlight w:val="none"/>
        </w:rPr>
        <w:t>盖单位章）</w:t>
      </w:r>
    </w:p>
    <w:p w14:paraId="77E06089">
      <w:pPr>
        <w:tabs>
          <w:tab w:val="left" w:pos="5915"/>
        </w:tabs>
        <w:spacing w:before="1" w:line="220" w:lineRule="auto"/>
        <w:ind w:left="496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22ECF52F">
      <w:pPr>
        <w:spacing w:line="220" w:lineRule="auto"/>
        <w:rPr>
          <w:rFonts w:ascii="宋体" w:hAnsi="宋体" w:eastAsia="宋体" w:cs="宋体"/>
          <w:color w:val="auto"/>
          <w:sz w:val="21"/>
          <w:szCs w:val="21"/>
          <w:highlight w:val="none"/>
        </w:rPr>
        <w:sectPr>
          <w:footerReference r:id="rId159" w:type="default"/>
          <w:pgSz w:w="11905" w:h="16839"/>
          <w:pgMar w:top="400" w:right="1785" w:bottom="1004" w:left="1785" w:header="0" w:footer="828" w:gutter="0"/>
          <w:pgNumType w:fmt="decimal"/>
          <w:cols w:space="720" w:num="1"/>
        </w:sectPr>
      </w:pPr>
    </w:p>
    <w:p w14:paraId="6AEFCEF3">
      <w:pPr>
        <w:pStyle w:val="5"/>
        <w:spacing w:line="256" w:lineRule="auto"/>
        <w:rPr>
          <w:color w:val="auto"/>
          <w:highlight w:val="none"/>
        </w:rPr>
      </w:pPr>
    </w:p>
    <w:p w14:paraId="193C9775">
      <w:pPr>
        <w:pStyle w:val="5"/>
        <w:spacing w:line="256" w:lineRule="auto"/>
        <w:rPr>
          <w:color w:val="auto"/>
          <w:highlight w:val="none"/>
        </w:rPr>
      </w:pPr>
    </w:p>
    <w:p w14:paraId="7FDA7E2C">
      <w:pPr>
        <w:pStyle w:val="5"/>
        <w:spacing w:line="256" w:lineRule="auto"/>
        <w:rPr>
          <w:color w:val="auto"/>
          <w:highlight w:val="none"/>
        </w:rPr>
      </w:pPr>
    </w:p>
    <w:p w14:paraId="0A301CCF">
      <w:pPr>
        <w:pStyle w:val="5"/>
        <w:spacing w:line="256" w:lineRule="auto"/>
        <w:rPr>
          <w:color w:val="auto"/>
          <w:highlight w:val="none"/>
        </w:rPr>
      </w:pPr>
    </w:p>
    <w:p w14:paraId="5B025143">
      <w:pPr>
        <w:spacing w:before="88" w:line="225" w:lineRule="auto"/>
        <w:ind w:left="3204"/>
        <w:rPr>
          <w:rFonts w:ascii="黑体" w:hAnsi="黑体" w:eastAsia="黑体" w:cs="黑体"/>
          <w:color w:val="auto"/>
          <w:sz w:val="27"/>
          <w:szCs w:val="27"/>
          <w:highlight w:val="none"/>
        </w:rPr>
      </w:pPr>
      <w:bookmarkStart w:id="1748" w:name="bookmark303"/>
      <w:bookmarkEnd w:id="1748"/>
      <w:r>
        <w:rPr>
          <w:rFonts w:ascii="黑体" w:hAnsi="黑体" w:eastAsia="黑体" w:cs="黑体"/>
          <w:color w:val="auto"/>
          <w:spacing w:val="6"/>
          <w:sz w:val="27"/>
          <w:szCs w:val="27"/>
          <w:highlight w:val="none"/>
        </w:rPr>
        <w:t>二、授权委托书</w:t>
      </w:r>
    </w:p>
    <w:p w14:paraId="52ED1904">
      <w:pPr>
        <w:pStyle w:val="5"/>
        <w:spacing w:line="320" w:lineRule="auto"/>
        <w:rPr>
          <w:color w:val="auto"/>
          <w:highlight w:val="none"/>
        </w:rPr>
      </w:pPr>
    </w:p>
    <w:p w14:paraId="69F9804F">
      <w:pPr>
        <w:pStyle w:val="5"/>
        <w:spacing w:line="320" w:lineRule="auto"/>
        <w:rPr>
          <w:color w:val="auto"/>
          <w:highlight w:val="none"/>
        </w:rPr>
      </w:pPr>
    </w:p>
    <w:p w14:paraId="5C7A7DAD">
      <w:pPr>
        <w:spacing w:before="68" w:line="439" w:lineRule="auto"/>
        <w:ind w:left="18" w:firstLine="423"/>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本人</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10"/>
          <w:sz w:val="21"/>
          <w:szCs w:val="21"/>
          <w:highlight w:val="none"/>
        </w:rPr>
        <w:t xml:space="preserve"> （姓名）系</w:t>
      </w:r>
      <w:r>
        <w:rPr>
          <w:rFonts w:ascii="宋体" w:hAnsi="宋体" w:eastAsia="宋体" w:cs="宋体"/>
          <w:color w:val="auto"/>
          <w:spacing w:val="-70"/>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17"/>
          <w:sz w:val="21"/>
          <w:szCs w:val="21"/>
          <w:highlight w:val="none"/>
        </w:rPr>
        <w:t xml:space="preserve"> </w:t>
      </w:r>
      <w:r>
        <w:rPr>
          <w:rFonts w:ascii="宋体" w:hAnsi="宋体" w:eastAsia="宋体" w:cs="宋体"/>
          <w:color w:val="auto"/>
          <w:spacing w:val="-10"/>
          <w:sz w:val="21"/>
          <w:szCs w:val="21"/>
          <w:highlight w:val="none"/>
        </w:rPr>
        <w:t>（投标人名称）的法定代表人，现委托</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10"/>
          <w:sz w:val="21"/>
          <w:szCs w:val="21"/>
          <w:highlight w:val="none"/>
        </w:rPr>
        <w:t>（姓</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名）为我方代理人。代理人根据授权，以我方名义签署、澄清、说明、补正、递交、撤回、</w:t>
      </w:r>
      <w:r>
        <w:rPr>
          <w:rFonts w:ascii="宋体" w:hAnsi="宋体" w:eastAsia="宋体" w:cs="宋体"/>
          <w:color w:val="auto"/>
          <w:spacing w:val="1"/>
          <w:sz w:val="21"/>
          <w:szCs w:val="21"/>
          <w:highlight w:val="none"/>
        </w:rPr>
        <w:t xml:space="preserve"> </w:t>
      </w:r>
      <w:r>
        <w:rPr>
          <w:rFonts w:ascii="宋体" w:hAnsi="宋体" w:eastAsia="宋体" w:cs="宋体"/>
          <w:color w:val="auto"/>
          <w:spacing w:val="-7"/>
          <w:sz w:val="21"/>
          <w:szCs w:val="21"/>
          <w:highlight w:val="none"/>
        </w:rPr>
        <w:t>修改</w:t>
      </w:r>
      <w:r>
        <w:rPr>
          <w:rFonts w:ascii="宋体" w:hAnsi="宋体" w:eastAsia="宋体" w:cs="宋体"/>
          <w:color w:val="auto"/>
          <w:spacing w:val="-104"/>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 xml:space="preserve"> （标段名称）项目</w:t>
      </w:r>
      <w:r>
        <w:rPr>
          <w:rFonts w:ascii="宋体" w:hAnsi="宋体" w:eastAsia="宋体" w:cs="宋体"/>
          <w:color w:val="auto"/>
          <w:spacing w:val="-26"/>
          <w:sz w:val="21"/>
          <w:szCs w:val="21"/>
          <w:highlight w:val="none"/>
        </w:rPr>
        <w:t xml:space="preserve"> </w:t>
      </w:r>
      <w:r>
        <w:rPr>
          <w:rFonts w:ascii="宋体" w:hAnsi="宋体" w:eastAsia="宋体" w:cs="宋体"/>
          <w:color w:val="auto"/>
          <w:spacing w:val="-7"/>
          <w:sz w:val="21"/>
          <w:szCs w:val="21"/>
          <w:highlight w:val="none"/>
        </w:rPr>
        <w:t>（标段唯一标识码</w:t>
      </w:r>
      <w:r>
        <w:rPr>
          <w:rFonts w:ascii="宋体" w:hAnsi="宋体" w:eastAsia="宋体" w:cs="宋体"/>
          <w:color w:val="auto"/>
          <w:spacing w:val="-1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7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投标文件、签订合同和处</w:t>
      </w:r>
    </w:p>
    <w:p w14:paraId="7D098CF1">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理有关事宜，其法律后果由我方承担。</w:t>
      </w:r>
    </w:p>
    <w:p w14:paraId="2B52D14B">
      <w:pPr>
        <w:pStyle w:val="5"/>
        <w:spacing w:line="298" w:lineRule="auto"/>
        <w:rPr>
          <w:color w:val="auto"/>
          <w:highlight w:val="none"/>
        </w:rPr>
      </w:pPr>
    </w:p>
    <w:p w14:paraId="1F894DD1">
      <w:pPr>
        <w:spacing w:before="69" w:line="221" w:lineRule="auto"/>
        <w:ind w:left="44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委托期限：</w:t>
      </w:r>
      <w:r>
        <w:rPr>
          <w:rFonts w:ascii="宋体" w:hAnsi="宋体" w:eastAsia="宋体" w:cs="宋体"/>
          <w:color w:val="auto"/>
          <w:spacing w:val="49"/>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6"/>
          <w:sz w:val="21"/>
          <w:szCs w:val="21"/>
          <w:highlight w:val="none"/>
        </w:rPr>
        <w:t>。</w:t>
      </w:r>
    </w:p>
    <w:p w14:paraId="37E3BECD">
      <w:pPr>
        <w:pStyle w:val="5"/>
        <w:spacing w:line="416" w:lineRule="auto"/>
        <w:rPr>
          <w:color w:val="auto"/>
          <w:highlight w:val="none"/>
        </w:rPr>
      </w:pPr>
    </w:p>
    <w:p w14:paraId="4470AB77">
      <w:pPr>
        <w:spacing w:before="68"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代理人无转委托权。</w:t>
      </w:r>
    </w:p>
    <w:p w14:paraId="2B3D047A">
      <w:pPr>
        <w:pStyle w:val="5"/>
        <w:spacing w:line="422" w:lineRule="auto"/>
        <w:rPr>
          <w:color w:val="auto"/>
          <w:highlight w:val="none"/>
        </w:rPr>
      </w:pPr>
    </w:p>
    <w:p w14:paraId="2B57555D">
      <w:pPr>
        <w:spacing w:before="68" w:line="220" w:lineRule="auto"/>
        <w:ind w:left="23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（附授权委托人身份证正反面复印件）</w:t>
      </w:r>
    </w:p>
    <w:p w14:paraId="6310AE34">
      <w:pPr>
        <w:pStyle w:val="5"/>
        <w:spacing w:line="262" w:lineRule="auto"/>
        <w:rPr>
          <w:color w:val="auto"/>
          <w:highlight w:val="none"/>
        </w:rPr>
      </w:pPr>
    </w:p>
    <w:p w14:paraId="482F70F5">
      <w:pPr>
        <w:pStyle w:val="5"/>
        <w:spacing w:line="262" w:lineRule="auto"/>
        <w:rPr>
          <w:color w:val="auto"/>
          <w:highlight w:val="none"/>
        </w:rPr>
      </w:pPr>
    </w:p>
    <w:p w14:paraId="083DD987">
      <w:pPr>
        <w:pStyle w:val="5"/>
        <w:spacing w:line="262" w:lineRule="auto"/>
        <w:rPr>
          <w:color w:val="auto"/>
          <w:highlight w:val="none"/>
        </w:rPr>
      </w:pPr>
    </w:p>
    <w:p w14:paraId="6BCBD4DC">
      <w:pPr>
        <w:pStyle w:val="5"/>
        <w:spacing w:line="262" w:lineRule="auto"/>
        <w:rPr>
          <w:color w:val="auto"/>
          <w:highlight w:val="none"/>
        </w:rPr>
      </w:pPr>
    </w:p>
    <w:p w14:paraId="0B03B74D">
      <w:pPr>
        <w:pStyle w:val="5"/>
        <w:spacing w:line="262" w:lineRule="auto"/>
        <w:rPr>
          <w:color w:val="auto"/>
          <w:highlight w:val="none"/>
        </w:rPr>
      </w:pPr>
    </w:p>
    <w:p w14:paraId="7BCEA1E9">
      <w:pPr>
        <w:pStyle w:val="5"/>
        <w:spacing w:line="263" w:lineRule="auto"/>
        <w:rPr>
          <w:color w:val="auto"/>
          <w:highlight w:val="none"/>
        </w:rPr>
      </w:pPr>
    </w:p>
    <w:p w14:paraId="68004FF0">
      <w:pPr>
        <w:spacing w:before="69" w:line="220" w:lineRule="auto"/>
        <w:ind w:left="359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w:t>
      </w:r>
      <w:r>
        <w:rPr>
          <w:rFonts w:ascii="宋体" w:hAnsi="宋体" w:eastAsia="宋体" w:cs="宋体"/>
          <w:color w:val="auto"/>
          <w:spacing w:val="5"/>
          <w:sz w:val="21"/>
          <w:szCs w:val="21"/>
          <w:highlight w:val="none"/>
        </w:rPr>
        <w:t xml:space="preserve">  </w:t>
      </w:r>
      <w:r>
        <w:rPr>
          <w:rFonts w:ascii="宋体" w:hAnsi="宋体" w:eastAsia="宋体" w:cs="宋体"/>
          <w:color w:val="auto"/>
          <w:spacing w:val="-10"/>
          <w:sz w:val="21"/>
          <w:szCs w:val="21"/>
          <w:highlight w:val="none"/>
        </w:rPr>
        <w:t>标</w:t>
      </w:r>
      <w:r>
        <w:rPr>
          <w:rFonts w:ascii="宋体" w:hAnsi="宋体" w:eastAsia="宋体" w:cs="宋体"/>
          <w:color w:val="auto"/>
          <w:spacing w:val="5"/>
          <w:sz w:val="21"/>
          <w:szCs w:val="21"/>
          <w:highlight w:val="none"/>
        </w:rPr>
        <w:t xml:space="preserve">  </w:t>
      </w:r>
      <w:r>
        <w:rPr>
          <w:rFonts w:ascii="宋体" w:hAnsi="宋体" w:eastAsia="宋体" w:cs="宋体"/>
          <w:color w:val="auto"/>
          <w:spacing w:val="-10"/>
          <w:sz w:val="21"/>
          <w:szCs w:val="21"/>
          <w:highlight w:val="none"/>
        </w:rPr>
        <w:t>人</w:t>
      </w:r>
      <w:r>
        <w:rPr>
          <w:rFonts w:ascii="宋体" w:hAnsi="宋体" w:eastAsia="宋体" w:cs="宋体"/>
          <w:color w:val="auto"/>
          <w:spacing w:val="-15"/>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0"/>
          <w:sz w:val="21"/>
          <w:szCs w:val="21"/>
          <w:highlight w:val="none"/>
        </w:rPr>
        <w:t>盖单位章）</w:t>
      </w:r>
    </w:p>
    <w:p w14:paraId="70F69503">
      <w:pPr>
        <w:pStyle w:val="5"/>
        <w:rPr>
          <w:color w:val="auto"/>
          <w:highlight w:val="none"/>
        </w:rPr>
      </w:pPr>
    </w:p>
    <w:p w14:paraId="3D2C5102">
      <w:pPr>
        <w:pStyle w:val="5"/>
        <w:rPr>
          <w:color w:val="auto"/>
          <w:highlight w:val="none"/>
        </w:rPr>
      </w:pPr>
    </w:p>
    <w:p w14:paraId="714CB80B">
      <w:pPr>
        <w:spacing w:before="68" w:line="220" w:lineRule="auto"/>
        <w:ind w:left="359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法定代表人</w:t>
      </w:r>
      <w:r>
        <w:rPr>
          <w:rFonts w:ascii="宋体" w:hAnsi="宋体" w:eastAsia="宋体" w:cs="宋体"/>
          <w:color w:val="auto"/>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12"/>
          <w:sz w:val="21"/>
          <w:szCs w:val="21"/>
          <w:highlight w:val="none"/>
        </w:rPr>
        <w:t>签章）</w:t>
      </w:r>
    </w:p>
    <w:p w14:paraId="5A98E06B">
      <w:pPr>
        <w:pStyle w:val="5"/>
        <w:spacing w:line="475" w:lineRule="auto"/>
        <w:rPr>
          <w:color w:val="auto"/>
          <w:highlight w:val="none"/>
        </w:rPr>
      </w:pPr>
    </w:p>
    <w:p w14:paraId="2ECFECA3">
      <w:pPr>
        <w:spacing w:before="69" w:line="221" w:lineRule="auto"/>
        <w:ind w:left="35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14:paraId="29D1BBFF">
      <w:pPr>
        <w:pStyle w:val="5"/>
        <w:spacing w:line="479" w:lineRule="auto"/>
        <w:rPr>
          <w:color w:val="auto"/>
          <w:highlight w:val="none"/>
        </w:rPr>
      </w:pPr>
    </w:p>
    <w:p w14:paraId="07A83921">
      <w:pPr>
        <w:spacing w:before="68" w:line="220" w:lineRule="auto"/>
        <w:ind w:left="359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委托代理人</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12"/>
          <w:sz w:val="21"/>
          <w:szCs w:val="21"/>
          <w:highlight w:val="none"/>
        </w:rPr>
        <w:t>签章）</w:t>
      </w:r>
    </w:p>
    <w:p w14:paraId="3864C4F4">
      <w:pPr>
        <w:pStyle w:val="5"/>
        <w:spacing w:line="479" w:lineRule="auto"/>
        <w:rPr>
          <w:color w:val="auto"/>
          <w:highlight w:val="none"/>
        </w:rPr>
      </w:pPr>
    </w:p>
    <w:p w14:paraId="1F493D7F">
      <w:pPr>
        <w:spacing w:before="69" w:line="221" w:lineRule="auto"/>
        <w:ind w:left="35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14:paraId="5ED9D106">
      <w:pPr>
        <w:pStyle w:val="5"/>
        <w:spacing w:line="474" w:lineRule="auto"/>
        <w:rPr>
          <w:color w:val="auto"/>
          <w:highlight w:val="none"/>
        </w:rPr>
      </w:pPr>
    </w:p>
    <w:p w14:paraId="79AAC06D">
      <w:pPr>
        <w:tabs>
          <w:tab w:val="left" w:pos="5685"/>
        </w:tabs>
        <w:spacing w:before="69" w:line="221" w:lineRule="auto"/>
        <w:ind w:left="484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05BE73A9">
      <w:pPr>
        <w:spacing w:line="221" w:lineRule="auto"/>
        <w:rPr>
          <w:rFonts w:ascii="宋体" w:hAnsi="宋体" w:eastAsia="宋体" w:cs="宋体"/>
          <w:color w:val="auto"/>
          <w:sz w:val="21"/>
          <w:szCs w:val="21"/>
          <w:highlight w:val="none"/>
        </w:rPr>
        <w:sectPr>
          <w:footerReference r:id="rId160" w:type="default"/>
          <w:pgSz w:w="11905" w:h="16839"/>
          <w:pgMar w:top="400" w:right="1617" w:bottom="1004" w:left="1785" w:header="0" w:footer="828" w:gutter="0"/>
          <w:pgNumType w:fmt="decimal"/>
          <w:cols w:space="720" w:num="1"/>
        </w:sectPr>
      </w:pPr>
    </w:p>
    <w:p w14:paraId="72EA65F6">
      <w:pPr>
        <w:pStyle w:val="5"/>
        <w:spacing w:line="256" w:lineRule="auto"/>
        <w:rPr>
          <w:color w:val="auto"/>
          <w:highlight w:val="none"/>
        </w:rPr>
      </w:pPr>
    </w:p>
    <w:p w14:paraId="19C704F1">
      <w:pPr>
        <w:pStyle w:val="5"/>
        <w:spacing w:line="256" w:lineRule="auto"/>
        <w:rPr>
          <w:color w:val="auto"/>
          <w:highlight w:val="none"/>
        </w:rPr>
      </w:pPr>
    </w:p>
    <w:p w14:paraId="15D96D3E">
      <w:pPr>
        <w:pStyle w:val="5"/>
        <w:spacing w:line="256" w:lineRule="auto"/>
        <w:rPr>
          <w:color w:val="auto"/>
          <w:highlight w:val="none"/>
        </w:rPr>
      </w:pPr>
    </w:p>
    <w:p w14:paraId="47171762">
      <w:pPr>
        <w:pStyle w:val="5"/>
        <w:spacing w:line="256" w:lineRule="auto"/>
        <w:rPr>
          <w:color w:val="auto"/>
          <w:highlight w:val="none"/>
        </w:rPr>
      </w:pPr>
    </w:p>
    <w:p w14:paraId="14157CA5">
      <w:pPr>
        <w:spacing w:before="88" w:line="225" w:lineRule="auto"/>
        <w:ind w:left="3205"/>
        <w:rPr>
          <w:rFonts w:ascii="黑体" w:hAnsi="黑体" w:eastAsia="黑体" w:cs="黑体"/>
          <w:color w:val="auto"/>
          <w:sz w:val="27"/>
          <w:szCs w:val="27"/>
          <w:highlight w:val="none"/>
        </w:rPr>
      </w:pPr>
      <w:bookmarkStart w:id="1749" w:name="bookmark304"/>
      <w:bookmarkEnd w:id="1749"/>
      <w:r>
        <w:rPr>
          <w:rFonts w:ascii="黑体" w:hAnsi="黑体" w:eastAsia="黑体" w:cs="黑体"/>
          <w:color w:val="auto"/>
          <w:spacing w:val="6"/>
          <w:sz w:val="27"/>
          <w:szCs w:val="27"/>
          <w:highlight w:val="none"/>
        </w:rPr>
        <w:t>三、投标保证金</w:t>
      </w:r>
    </w:p>
    <w:p w14:paraId="79A66039">
      <w:pPr>
        <w:pStyle w:val="5"/>
        <w:spacing w:line="477" w:lineRule="auto"/>
        <w:rPr>
          <w:color w:val="auto"/>
          <w:highlight w:val="none"/>
        </w:rPr>
      </w:pPr>
    </w:p>
    <w:p w14:paraId="19A5F50E">
      <w:pPr>
        <w:spacing w:before="68" w:line="215" w:lineRule="auto"/>
        <w:ind w:left="413"/>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（一）若采用现金或支票，投标人应填写以下表格信息并提</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供汇款凭证的扫描件。</w:t>
      </w:r>
    </w:p>
    <w:tbl>
      <w:tblPr>
        <w:tblStyle w:val="17"/>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1EC72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09A9ABF3">
            <w:pPr>
              <w:pStyle w:val="18"/>
              <w:spacing w:before="34" w:line="209" w:lineRule="auto"/>
              <w:ind w:left="3471"/>
              <w:rPr>
                <w:color w:val="auto"/>
                <w:highlight w:val="none"/>
              </w:rPr>
            </w:pPr>
            <w:r>
              <w:rPr>
                <w:color w:val="auto"/>
                <w:spacing w:val="-1"/>
                <w:highlight w:val="none"/>
                <w14:textOutline w14:w="3831" w14:cap="flat" w14:cmpd="sng">
                  <w14:solidFill>
                    <w14:srgbClr w14:val="000000"/>
                  </w14:solidFill>
                  <w14:prstDash w14:val="solid"/>
                  <w14:miter w14:val="0"/>
                </w14:textOutline>
              </w:rPr>
              <w:t>现金汇款信息</w:t>
            </w:r>
          </w:p>
        </w:tc>
      </w:tr>
      <w:tr w14:paraId="6B42B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5EAAD538">
            <w:pPr>
              <w:pStyle w:val="18"/>
              <w:spacing w:before="30" w:line="209" w:lineRule="auto"/>
              <w:ind w:left="298"/>
              <w:rPr>
                <w:color w:val="auto"/>
                <w:highlight w:val="none"/>
              </w:rPr>
            </w:pPr>
            <w:r>
              <w:rPr>
                <w:color w:val="auto"/>
                <w:spacing w:val="-3"/>
                <w:highlight w:val="none"/>
              </w:rPr>
              <w:t>收款账户</w:t>
            </w:r>
          </w:p>
        </w:tc>
        <w:tc>
          <w:tcPr>
            <w:tcW w:w="3033" w:type="dxa"/>
            <w:vAlign w:val="top"/>
          </w:tcPr>
          <w:p w14:paraId="7E08699F">
            <w:pPr>
              <w:rPr>
                <w:rFonts w:ascii="Arial"/>
                <w:color w:val="auto"/>
                <w:sz w:val="21"/>
                <w:highlight w:val="none"/>
              </w:rPr>
            </w:pPr>
          </w:p>
        </w:tc>
        <w:tc>
          <w:tcPr>
            <w:tcW w:w="1104" w:type="dxa"/>
            <w:vAlign w:val="top"/>
          </w:tcPr>
          <w:p w14:paraId="45C43E4D">
            <w:pPr>
              <w:pStyle w:val="18"/>
              <w:spacing w:before="30" w:line="209" w:lineRule="auto"/>
              <w:ind w:left="140"/>
              <w:rPr>
                <w:color w:val="auto"/>
                <w:highlight w:val="none"/>
              </w:rPr>
            </w:pPr>
            <w:r>
              <w:rPr>
                <w:color w:val="auto"/>
                <w:spacing w:val="-1"/>
                <w:highlight w:val="none"/>
              </w:rPr>
              <w:t>汇款账户</w:t>
            </w:r>
          </w:p>
        </w:tc>
        <w:tc>
          <w:tcPr>
            <w:tcW w:w="2644" w:type="dxa"/>
            <w:vAlign w:val="top"/>
          </w:tcPr>
          <w:p w14:paraId="516359B5">
            <w:pPr>
              <w:rPr>
                <w:rFonts w:ascii="Arial"/>
                <w:color w:val="auto"/>
                <w:sz w:val="21"/>
                <w:highlight w:val="none"/>
              </w:rPr>
            </w:pPr>
          </w:p>
        </w:tc>
      </w:tr>
      <w:tr w14:paraId="2FE77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27FDA657">
            <w:pPr>
              <w:pStyle w:val="18"/>
              <w:spacing w:before="26" w:line="208" w:lineRule="auto"/>
              <w:ind w:left="298"/>
              <w:rPr>
                <w:color w:val="auto"/>
                <w:highlight w:val="none"/>
              </w:rPr>
            </w:pPr>
            <w:r>
              <w:rPr>
                <w:color w:val="auto"/>
                <w:spacing w:val="-3"/>
                <w:highlight w:val="none"/>
              </w:rPr>
              <w:t>收款账号</w:t>
            </w:r>
          </w:p>
        </w:tc>
        <w:tc>
          <w:tcPr>
            <w:tcW w:w="3033" w:type="dxa"/>
            <w:vAlign w:val="top"/>
          </w:tcPr>
          <w:p w14:paraId="42E36F02">
            <w:pPr>
              <w:rPr>
                <w:rFonts w:ascii="Arial"/>
                <w:color w:val="auto"/>
                <w:sz w:val="21"/>
                <w:highlight w:val="none"/>
              </w:rPr>
            </w:pPr>
          </w:p>
        </w:tc>
        <w:tc>
          <w:tcPr>
            <w:tcW w:w="1104" w:type="dxa"/>
            <w:vAlign w:val="top"/>
          </w:tcPr>
          <w:p w14:paraId="5F2BC4B3">
            <w:pPr>
              <w:pStyle w:val="18"/>
              <w:spacing w:before="26" w:line="208" w:lineRule="auto"/>
              <w:ind w:left="140"/>
              <w:rPr>
                <w:color w:val="auto"/>
                <w:highlight w:val="none"/>
              </w:rPr>
            </w:pPr>
            <w:r>
              <w:rPr>
                <w:color w:val="auto"/>
                <w:spacing w:val="-1"/>
                <w:highlight w:val="none"/>
              </w:rPr>
              <w:t>汇款账号</w:t>
            </w:r>
          </w:p>
        </w:tc>
        <w:tc>
          <w:tcPr>
            <w:tcW w:w="2644" w:type="dxa"/>
            <w:vAlign w:val="top"/>
          </w:tcPr>
          <w:p w14:paraId="47A636E3">
            <w:pPr>
              <w:rPr>
                <w:rFonts w:ascii="Arial"/>
                <w:color w:val="auto"/>
                <w:sz w:val="21"/>
                <w:highlight w:val="none"/>
              </w:rPr>
            </w:pPr>
          </w:p>
        </w:tc>
      </w:tr>
      <w:tr w14:paraId="45170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6AB6C7A1">
            <w:pPr>
              <w:pStyle w:val="18"/>
              <w:spacing w:before="31" w:line="207" w:lineRule="auto"/>
              <w:ind w:left="291"/>
              <w:rPr>
                <w:color w:val="auto"/>
                <w:highlight w:val="none"/>
              </w:rPr>
            </w:pPr>
            <w:r>
              <w:rPr>
                <w:color w:val="auto"/>
                <w:spacing w:val="-1"/>
                <w:highlight w:val="none"/>
              </w:rPr>
              <w:t>汇款金额</w:t>
            </w:r>
          </w:p>
        </w:tc>
        <w:tc>
          <w:tcPr>
            <w:tcW w:w="3033" w:type="dxa"/>
            <w:vAlign w:val="top"/>
          </w:tcPr>
          <w:p w14:paraId="48F72224">
            <w:pPr>
              <w:rPr>
                <w:rFonts w:ascii="Arial"/>
                <w:color w:val="auto"/>
                <w:sz w:val="21"/>
                <w:highlight w:val="none"/>
              </w:rPr>
            </w:pPr>
          </w:p>
        </w:tc>
        <w:tc>
          <w:tcPr>
            <w:tcW w:w="1104" w:type="dxa"/>
            <w:vAlign w:val="top"/>
          </w:tcPr>
          <w:p w14:paraId="5EF4F912">
            <w:pPr>
              <w:pStyle w:val="18"/>
              <w:spacing w:before="31" w:line="207" w:lineRule="auto"/>
              <w:ind w:left="140"/>
              <w:rPr>
                <w:color w:val="auto"/>
                <w:highlight w:val="none"/>
              </w:rPr>
            </w:pPr>
            <w:r>
              <w:rPr>
                <w:color w:val="auto"/>
                <w:spacing w:val="-1"/>
                <w:highlight w:val="none"/>
              </w:rPr>
              <w:t>汇款时间</w:t>
            </w:r>
          </w:p>
        </w:tc>
        <w:tc>
          <w:tcPr>
            <w:tcW w:w="2644" w:type="dxa"/>
            <w:vAlign w:val="top"/>
          </w:tcPr>
          <w:p w14:paraId="0B12F6D2">
            <w:pPr>
              <w:rPr>
                <w:rFonts w:ascii="Arial"/>
                <w:color w:val="auto"/>
                <w:sz w:val="21"/>
                <w:highlight w:val="none"/>
              </w:rPr>
            </w:pPr>
          </w:p>
        </w:tc>
      </w:tr>
      <w:tr w14:paraId="28A5E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07C0EC44">
            <w:pPr>
              <w:spacing w:line="332" w:lineRule="auto"/>
              <w:rPr>
                <w:rFonts w:ascii="Arial"/>
                <w:color w:val="auto"/>
                <w:sz w:val="21"/>
                <w:highlight w:val="none"/>
              </w:rPr>
            </w:pPr>
          </w:p>
          <w:p w14:paraId="3DD59D49">
            <w:pPr>
              <w:spacing w:line="333" w:lineRule="auto"/>
              <w:rPr>
                <w:rFonts w:ascii="Arial"/>
                <w:color w:val="auto"/>
                <w:sz w:val="21"/>
                <w:highlight w:val="none"/>
              </w:rPr>
            </w:pPr>
          </w:p>
          <w:p w14:paraId="7243B768">
            <w:pPr>
              <w:pStyle w:val="18"/>
              <w:spacing w:before="69" w:line="220" w:lineRule="auto"/>
              <w:ind w:left="518"/>
              <w:rPr>
                <w:color w:val="auto"/>
                <w:highlight w:val="none"/>
              </w:rPr>
            </w:pPr>
            <w:r>
              <w:rPr>
                <w:color w:val="auto"/>
                <w:spacing w:val="-6"/>
                <w:highlight w:val="none"/>
              </w:rPr>
              <w:t>附件</w:t>
            </w:r>
          </w:p>
        </w:tc>
        <w:tc>
          <w:tcPr>
            <w:tcW w:w="6781" w:type="dxa"/>
            <w:gridSpan w:val="3"/>
            <w:vAlign w:val="top"/>
          </w:tcPr>
          <w:p w14:paraId="4A71F4BA">
            <w:pPr>
              <w:pStyle w:val="18"/>
              <w:spacing w:before="32" w:line="207" w:lineRule="auto"/>
              <w:ind w:left="115"/>
              <w:rPr>
                <w:color w:val="auto"/>
                <w:highlight w:val="none"/>
              </w:rPr>
            </w:pPr>
            <w:r>
              <w:rPr>
                <w:color w:val="auto"/>
                <w:spacing w:val="-1"/>
                <w:highlight w:val="none"/>
              </w:rPr>
              <w:t>汇款凭证扫描件</w:t>
            </w:r>
          </w:p>
        </w:tc>
      </w:tr>
      <w:tr w14:paraId="3B4BC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00DBD9CF">
            <w:pPr>
              <w:rPr>
                <w:rFonts w:ascii="Arial"/>
                <w:color w:val="auto"/>
                <w:sz w:val="21"/>
                <w:highlight w:val="none"/>
              </w:rPr>
            </w:pPr>
          </w:p>
        </w:tc>
        <w:tc>
          <w:tcPr>
            <w:tcW w:w="6781" w:type="dxa"/>
            <w:gridSpan w:val="3"/>
            <w:vAlign w:val="top"/>
          </w:tcPr>
          <w:p w14:paraId="68778844">
            <w:pPr>
              <w:rPr>
                <w:rFonts w:ascii="Arial"/>
                <w:color w:val="auto"/>
                <w:sz w:val="21"/>
                <w:highlight w:val="none"/>
              </w:rPr>
            </w:pPr>
          </w:p>
        </w:tc>
      </w:tr>
      <w:tr w14:paraId="54B98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7EFF3F3E">
            <w:pPr>
              <w:rPr>
                <w:rFonts w:ascii="Arial"/>
                <w:color w:val="auto"/>
                <w:sz w:val="21"/>
                <w:highlight w:val="none"/>
              </w:rPr>
            </w:pPr>
          </w:p>
        </w:tc>
        <w:tc>
          <w:tcPr>
            <w:tcW w:w="6781" w:type="dxa"/>
            <w:gridSpan w:val="3"/>
            <w:vAlign w:val="top"/>
          </w:tcPr>
          <w:p w14:paraId="7D85F3C8">
            <w:pPr>
              <w:pStyle w:val="18"/>
              <w:spacing w:before="33" w:line="206" w:lineRule="auto"/>
              <w:ind w:left="115"/>
              <w:rPr>
                <w:color w:val="auto"/>
                <w:highlight w:val="none"/>
              </w:rPr>
            </w:pPr>
            <w:r>
              <w:rPr>
                <w:color w:val="auto"/>
                <w:highlight w:val="none"/>
              </w:rPr>
              <w:t>基本户开户许可证（基本存款账户信息）扫描件</w:t>
            </w:r>
          </w:p>
        </w:tc>
      </w:tr>
      <w:tr w14:paraId="0365D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6F55DBDB">
            <w:pPr>
              <w:rPr>
                <w:rFonts w:ascii="Arial"/>
                <w:color w:val="auto"/>
                <w:sz w:val="21"/>
                <w:highlight w:val="none"/>
              </w:rPr>
            </w:pPr>
          </w:p>
        </w:tc>
        <w:tc>
          <w:tcPr>
            <w:tcW w:w="6781" w:type="dxa"/>
            <w:gridSpan w:val="3"/>
            <w:vAlign w:val="top"/>
          </w:tcPr>
          <w:p w14:paraId="3518CBEC">
            <w:pPr>
              <w:rPr>
                <w:rFonts w:ascii="Arial"/>
                <w:color w:val="auto"/>
                <w:sz w:val="21"/>
                <w:highlight w:val="none"/>
              </w:rPr>
            </w:pPr>
          </w:p>
        </w:tc>
      </w:tr>
      <w:tr w14:paraId="7F484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17DB4BEF">
            <w:pPr>
              <w:rPr>
                <w:rFonts w:ascii="Arial"/>
                <w:color w:val="auto"/>
                <w:sz w:val="21"/>
                <w:highlight w:val="none"/>
              </w:rPr>
            </w:pPr>
          </w:p>
        </w:tc>
        <w:tc>
          <w:tcPr>
            <w:tcW w:w="6781" w:type="dxa"/>
            <w:gridSpan w:val="3"/>
            <w:vAlign w:val="top"/>
          </w:tcPr>
          <w:p w14:paraId="054DC8CF">
            <w:pPr>
              <w:pStyle w:val="18"/>
              <w:spacing w:before="28" w:line="206" w:lineRule="auto"/>
              <w:ind w:left="115"/>
              <w:rPr>
                <w:color w:val="auto"/>
                <w:highlight w:val="none"/>
              </w:rPr>
            </w:pPr>
            <w:r>
              <w:rPr>
                <w:color w:val="auto"/>
                <w:spacing w:val="-1"/>
                <w:highlight w:val="none"/>
              </w:rPr>
              <w:t>其他材料</w:t>
            </w:r>
          </w:p>
        </w:tc>
      </w:tr>
      <w:tr w14:paraId="55B33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15EF6CFE">
            <w:pPr>
              <w:rPr>
                <w:rFonts w:ascii="Arial"/>
                <w:color w:val="auto"/>
                <w:sz w:val="21"/>
                <w:highlight w:val="none"/>
              </w:rPr>
            </w:pPr>
          </w:p>
        </w:tc>
        <w:tc>
          <w:tcPr>
            <w:tcW w:w="6781" w:type="dxa"/>
            <w:gridSpan w:val="3"/>
            <w:vAlign w:val="top"/>
          </w:tcPr>
          <w:p w14:paraId="63521083">
            <w:pPr>
              <w:rPr>
                <w:rFonts w:ascii="Arial"/>
                <w:color w:val="auto"/>
                <w:sz w:val="21"/>
                <w:highlight w:val="none"/>
              </w:rPr>
            </w:pPr>
          </w:p>
        </w:tc>
      </w:tr>
    </w:tbl>
    <w:p w14:paraId="6079A1AE">
      <w:pPr>
        <w:pStyle w:val="5"/>
        <w:spacing w:line="473" w:lineRule="auto"/>
        <w:rPr>
          <w:color w:val="auto"/>
          <w:highlight w:val="none"/>
        </w:rPr>
      </w:pPr>
    </w:p>
    <w:p w14:paraId="22E2A342">
      <w:pPr>
        <w:spacing w:before="68" w:line="352" w:lineRule="auto"/>
        <w:ind w:left="18" w:right="10" w:firstLine="395"/>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（二）</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若采用辽宁省工程建设项目电子保函保险基础服务平台</w:t>
      </w:r>
      <w:r>
        <w:rPr>
          <w:rFonts w:ascii="宋体" w:hAnsi="宋体" w:eastAsia="宋体" w:cs="宋体"/>
          <w:color w:val="auto"/>
          <w:spacing w:val="-3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（包含辽宁省建设工程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领域电子保函保险基础公共服务平台及跨地区、跨行业自由服务试</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点的金融平台或金融机</w:t>
      </w:r>
    </w:p>
    <w:p w14:paraId="00B3F192">
      <w:pPr>
        <w:spacing w:line="214"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构）</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电子保函，投标人应填写以下表格信息。</w:t>
      </w:r>
    </w:p>
    <w:tbl>
      <w:tblPr>
        <w:tblStyle w:val="17"/>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40E22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52D8A123">
            <w:pPr>
              <w:pStyle w:val="18"/>
              <w:spacing w:before="57" w:line="221" w:lineRule="auto"/>
              <w:ind w:left="1424"/>
              <w:rPr>
                <w:color w:val="auto"/>
                <w:highlight w:val="none"/>
              </w:rPr>
            </w:pPr>
            <w:r>
              <w:rPr>
                <w:color w:val="auto"/>
                <w:highlight w:val="none"/>
                <w14:textOutline w14:w="3831" w14:cap="flat" w14:cmpd="sng">
                  <w14:solidFill>
                    <w14:srgbClr w14:val="000000"/>
                  </w14:solidFill>
                  <w14:prstDash w14:val="solid"/>
                  <w14:miter w14:val="0"/>
                </w14:textOutline>
              </w:rPr>
              <w:t>辽宁省工程建设项目电子保函保险基础服务平台保函信息</w:t>
            </w:r>
          </w:p>
        </w:tc>
      </w:tr>
      <w:tr w14:paraId="4A230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5EEFE561">
            <w:pPr>
              <w:pStyle w:val="18"/>
              <w:spacing w:before="63" w:line="221" w:lineRule="auto"/>
              <w:ind w:left="359"/>
              <w:rPr>
                <w:color w:val="auto"/>
                <w:highlight w:val="none"/>
              </w:rPr>
            </w:pPr>
            <w:r>
              <w:rPr>
                <w:color w:val="auto"/>
                <w:spacing w:val="-1"/>
                <w:highlight w:val="none"/>
              </w:rPr>
              <w:t>保函编号</w:t>
            </w:r>
          </w:p>
        </w:tc>
        <w:tc>
          <w:tcPr>
            <w:tcW w:w="6560" w:type="dxa"/>
            <w:vAlign w:val="top"/>
          </w:tcPr>
          <w:p w14:paraId="3A380EE1">
            <w:pPr>
              <w:rPr>
                <w:rFonts w:ascii="Arial"/>
                <w:color w:val="auto"/>
                <w:sz w:val="21"/>
                <w:highlight w:val="none"/>
              </w:rPr>
            </w:pPr>
          </w:p>
        </w:tc>
      </w:tr>
      <w:tr w14:paraId="38849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29F4BB25">
            <w:pPr>
              <w:pStyle w:val="18"/>
              <w:spacing w:before="200" w:line="220" w:lineRule="auto"/>
              <w:ind w:left="586"/>
              <w:rPr>
                <w:color w:val="auto"/>
                <w:highlight w:val="none"/>
              </w:rPr>
            </w:pPr>
            <w:r>
              <w:rPr>
                <w:color w:val="auto"/>
                <w:spacing w:val="-6"/>
                <w:highlight w:val="none"/>
              </w:rPr>
              <w:t>附件</w:t>
            </w:r>
          </w:p>
        </w:tc>
        <w:tc>
          <w:tcPr>
            <w:tcW w:w="6560" w:type="dxa"/>
            <w:vAlign w:val="top"/>
          </w:tcPr>
          <w:p w14:paraId="60D55037">
            <w:pPr>
              <w:pStyle w:val="18"/>
              <w:spacing w:before="61" w:line="221" w:lineRule="auto"/>
              <w:ind w:left="140"/>
              <w:rPr>
                <w:color w:val="auto"/>
                <w:highlight w:val="none"/>
              </w:rPr>
            </w:pPr>
            <w:r>
              <w:rPr>
                <w:color w:val="auto"/>
                <w:spacing w:val="-5"/>
                <w:highlight w:val="none"/>
              </w:rPr>
              <w:t>电子保函扫描件</w:t>
            </w:r>
          </w:p>
        </w:tc>
      </w:tr>
      <w:tr w14:paraId="219BA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18BBDDE2">
            <w:pPr>
              <w:rPr>
                <w:rFonts w:ascii="Arial"/>
                <w:color w:val="auto"/>
                <w:sz w:val="21"/>
                <w:highlight w:val="none"/>
              </w:rPr>
            </w:pPr>
          </w:p>
        </w:tc>
        <w:tc>
          <w:tcPr>
            <w:tcW w:w="6560" w:type="dxa"/>
            <w:vAlign w:val="top"/>
          </w:tcPr>
          <w:p w14:paraId="40C9CA25">
            <w:pPr>
              <w:rPr>
                <w:rFonts w:ascii="Arial"/>
                <w:color w:val="auto"/>
                <w:sz w:val="21"/>
                <w:highlight w:val="none"/>
              </w:rPr>
            </w:pPr>
          </w:p>
        </w:tc>
      </w:tr>
    </w:tbl>
    <w:p w14:paraId="0D6D99DB">
      <w:pPr>
        <w:pStyle w:val="5"/>
        <w:spacing w:line="243" w:lineRule="auto"/>
        <w:rPr>
          <w:color w:val="auto"/>
          <w:highlight w:val="none"/>
        </w:rPr>
      </w:pPr>
    </w:p>
    <w:p w14:paraId="16F26F28">
      <w:pPr>
        <w:pStyle w:val="5"/>
        <w:spacing w:line="243" w:lineRule="auto"/>
        <w:rPr>
          <w:color w:val="auto"/>
          <w:highlight w:val="none"/>
        </w:rPr>
      </w:pPr>
    </w:p>
    <w:p w14:paraId="4164AC6A">
      <w:pPr>
        <w:spacing w:before="68" w:line="220"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（三）</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若采用纸质保函或其他平台电子保函，投标人应填写以下表格信息，并提供相</w:t>
      </w:r>
    </w:p>
    <w:p w14:paraId="61624187">
      <w:pPr>
        <w:spacing w:before="149" w:line="214"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关材料扫描件信息。</w:t>
      </w:r>
    </w:p>
    <w:tbl>
      <w:tblPr>
        <w:tblStyle w:val="17"/>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5E10A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13343CE4">
            <w:pPr>
              <w:pStyle w:val="18"/>
              <w:spacing w:before="35" w:line="209" w:lineRule="auto"/>
              <w:ind w:left="625"/>
              <w:rPr>
                <w:color w:val="auto"/>
                <w:highlight w:val="none"/>
              </w:rPr>
            </w:pPr>
            <w:r>
              <w:rPr>
                <w:color w:val="auto"/>
                <w:spacing w:val="1"/>
                <w:highlight w:val="none"/>
                <w14:textOutline w14:w="3831" w14:cap="flat" w14:cmpd="sng">
                  <w14:solidFill>
                    <w14:srgbClr w14:val="000000"/>
                  </w14:solidFill>
                  <w14:prstDash w14:val="solid"/>
                  <w14:miter w14:val="0"/>
                </w14:textOutline>
              </w:rPr>
              <w:t>非辽宁省工程建设项目电子保函保险基础服</w:t>
            </w:r>
            <w:r>
              <w:rPr>
                <w:color w:val="auto"/>
                <w:highlight w:val="none"/>
                <w14:textOutline w14:w="3831" w14:cap="flat" w14:cmpd="sng">
                  <w14:solidFill>
                    <w14:srgbClr w14:val="000000"/>
                  </w14:solidFill>
                  <w14:prstDash w14:val="solid"/>
                  <w14:miter w14:val="0"/>
                </w14:textOutline>
              </w:rPr>
              <w:t>务平台电子保函或纸质保函信息</w:t>
            </w:r>
          </w:p>
        </w:tc>
      </w:tr>
      <w:tr w14:paraId="0DFD7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48287577">
            <w:pPr>
              <w:pStyle w:val="18"/>
              <w:spacing w:before="29" w:line="225" w:lineRule="auto"/>
              <w:ind w:left="612" w:right="181" w:hanging="421"/>
              <w:rPr>
                <w:color w:val="auto"/>
                <w:highlight w:val="none"/>
              </w:rPr>
            </w:pPr>
            <w:r>
              <w:rPr>
                <w:color w:val="auto"/>
                <w:spacing w:val="-1"/>
                <w:highlight w:val="none"/>
              </w:rPr>
              <w:t>保函承保单</w:t>
            </w:r>
            <w:r>
              <w:rPr>
                <w:color w:val="auto"/>
                <w:highlight w:val="none"/>
              </w:rPr>
              <w:t xml:space="preserve"> 位</w:t>
            </w:r>
          </w:p>
        </w:tc>
        <w:tc>
          <w:tcPr>
            <w:tcW w:w="3028" w:type="dxa"/>
            <w:vAlign w:val="top"/>
          </w:tcPr>
          <w:p w14:paraId="5A769FC1">
            <w:pPr>
              <w:rPr>
                <w:rFonts w:ascii="Arial"/>
                <w:color w:val="auto"/>
                <w:sz w:val="21"/>
                <w:highlight w:val="none"/>
              </w:rPr>
            </w:pPr>
          </w:p>
        </w:tc>
        <w:tc>
          <w:tcPr>
            <w:tcW w:w="1526" w:type="dxa"/>
            <w:vAlign w:val="top"/>
          </w:tcPr>
          <w:p w14:paraId="54CBECF5">
            <w:pPr>
              <w:pStyle w:val="18"/>
              <w:spacing w:before="163" w:line="221" w:lineRule="auto"/>
              <w:ind w:left="352"/>
              <w:rPr>
                <w:color w:val="auto"/>
                <w:highlight w:val="none"/>
              </w:rPr>
            </w:pPr>
            <w:r>
              <w:rPr>
                <w:color w:val="auto"/>
                <w:spacing w:val="-1"/>
                <w:highlight w:val="none"/>
              </w:rPr>
              <w:t>保函额度</w:t>
            </w:r>
          </w:p>
        </w:tc>
        <w:tc>
          <w:tcPr>
            <w:tcW w:w="2217" w:type="dxa"/>
            <w:vAlign w:val="top"/>
          </w:tcPr>
          <w:p w14:paraId="69B9FCB9">
            <w:pPr>
              <w:rPr>
                <w:rFonts w:ascii="Arial"/>
                <w:color w:val="auto"/>
                <w:sz w:val="21"/>
                <w:highlight w:val="none"/>
              </w:rPr>
            </w:pPr>
          </w:p>
        </w:tc>
      </w:tr>
      <w:tr w14:paraId="6DF4A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69AD954F">
            <w:pPr>
              <w:pStyle w:val="18"/>
              <w:spacing w:before="30" w:line="222" w:lineRule="auto"/>
              <w:ind w:left="611" w:right="181" w:hanging="423"/>
              <w:rPr>
                <w:color w:val="auto"/>
                <w:highlight w:val="none"/>
              </w:rPr>
            </w:pPr>
            <w:r>
              <w:rPr>
                <w:color w:val="auto"/>
                <w:spacing w:val="-1"/>
                <w:highlight w:val="none"/>
              </w:rPr>
              <w:t>缴费账户名</w:t>
            </w:r>
            <w:r>
              <w:rPr>
                <w:color w:val="auto"/>
                <w:spacing w:val="3"/>
                <w:highlight w:val="none"/>
              </w:rPr>
              <w:t xml:space="preserve"> </w:t>
            </w:r>
            <w:r>
              <w:rPr>
                <w:color w:val="auto"/>
                <w:highlight w:val="none"/>
              </w:rPr>
              <w:t>称</w:t>
            </w:r>
          </w:p>
        </w:tc>
        <w:tc>
          <w:tcPr>
            <w:tcW w:w="3028" w:type="dxa"/>
            <w:vAlign w:val="top"/>
          </w:tcPr>
          <w:p w14:paraId="19B76C93">
            <w:pPr>
              <w:rPr>
                <w:rFonts w:ascii="Arial"/>
                <w:color w:val="auto"/>
                <w:sz w:val="21"/>
                <w:highlight w:val="none"/>
              </w:rPr>
            </w:pPr>
          </w:p>
        </w:tc>
        <w:tc>
          <w:tcPr>
            <w:tcW w:w="1526" w:type="dxa"/>
            <w:vAlign w:val="top"/>
          </w:tcPr>
          <w:p w14:paraId="373861B5">
            <w:pPr>
              <w:pStyle w:val="18"/>
              <w:spacing w:before="164" w:line="221" w:lineRule="auto"/>
              <w:ind w:left="141"/>
              <w:rPr>
                <w:color w:val="auto"/>
                <w:highlight w:val="none"/>
              </w:rPr>
            </w:pPr>
            <w:r>
              <w:rPr>
                <w:color w:val="auto"/>
                <w:spacing w:val="-1"/>
                <w:highlight w:val="none"/>
              </w:rPr>
              <w:t>保函办理时间</w:t>
            </w:r>
          </w:p>
        </w:tc>
        <w:tc>
          <w:tcPr>
            <w:tcW w:w="2217" w:type="dxa"/>
            <w:vAlign w:val="top"/>
          </w:tcPr>
          <w:p w14:paraId="11C39687">
            <w:pPr>
              <w:rPr>
                <w:rFonts w:ascii="Arial"/>
                <w:color w:val="auto"/>
                <w:sz w:val="21"/>
                <w:highlight w:val="none"/>
              </w:rPr>
            </w:pPr>
          </w:p>
        </w:tc>
      </w:tr>
      <w:tr w14:paraId="3E4DC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3E0D1FF8">
            <w:pPr>
              <w:pStyle w:val="18"/>
              <w:spacing w:before="31" w:line="208" w:lineRule="auto"/>
              <w:ind w:left="294"/>
              <w:rPr>
                <w:color w:val="auto"/>
                <w:highlight w:val="none"/>
              </w:rPr>
            </w:pPr>
            <w:r>
              <w:rPr>
                <w:color w:val="auto"/>
                <w:spacing w:val="-1"/>
                <w:highlight w:val="none"/>
              </w:rPr>
              <w:t>缴费账号</w:t>
            </w:r>
          </w:p>
        </w:tc>
        <w:tc>
          <w:tcPr>
            <w:tcW w:w="3028" w:type="dxa"/>
            <w:vAlign w:val="top"/>
          </w:tcPr>
          <w:p w14:paraId="62557869">
            <w:pPr>
              <w:rPr>
                <w:rFonts w:ascii="Arial"/>
                <w:color w:val="auto"/>
                <w:sz w:val="21"/>
                <w:highlight w:val="none"/>
              </w:rPr>
            </w:pPr>
          </w:p>
        </w:tc>
        <w:tc>
          <w:tcPr>
            <w:tcW w:w="1526" w:type="dxa"/>
            <w:vAlign w:val="top"/>
          </w:tcPr>
          <w:p w14:paraId="7B6E53B9">
            <w:pPr>
              <w:pStyle w:val="18"/>
              <w:spacing w:before="31" w:line="208" w:lineRule="auto"/>
              <w:ind w:left="246"/>
              <w:rPr>
                <w:color w:val="auto"/>
                <w:highlight w:val="none"/>
              </w:rPr>
            </w:pPr>
            <w:r>
              <w:rPr>
                <w:color w:val="auto"/>
                <w:spacing w:val="-1"/>
                <w:highlight w:val="none"/>
              </w:rPr>
              <w:t>保函有效期</w:t>
            </w:r>
          </w:p>
        </w:tc>
        <w:tc>
          <w:tcPr>
            <w:tcW w:w="2217" w:type="dxa"/>
            <w:vAlign w:val="top"/>
          </w:tcPr>
          <w:p w14:paraId="5571EA41">
            <w:pPr>
              <w:rPr>
                <w:rFonts w:ascii="Arial"/>
                <w:color w:val="auto"/>
                <w:sz w:val="21"/>
                <w:highlight w:val="none"/>
              </w:rPr>
            </w:pPr>
          </w:p>
        </w:tc>
      </w:tr>
      <w:tr w14:paraId="5F79B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58783379">
            <w:pPr>
              <w:pStyle w:val="18"/>
              <w:spacing w:before="32" w:line="224" w:lineRule="auto"/>
              <w:ind w:left="417" w:right="181" w:hanging="226"/>
              <w:rPr>
                <w:color w:val="auto"/>
                <w:highlight w:val="none"/>
              </w:rPr>
            </w:pPr>
            <w:r>
              <w:rPr>
                <w:color w:val="auto"/>
                <w:spacing w:val="-1"/>
                <w:highlight w:val="none"/>
              </w:rPr>
              <w:t>保函验真平</w:t>
            </w:r>
            <w:r>
              <w:rPr>
                <w:color w:val="auto"/>
                <w:highlight w:val="none"/>
              </w:rPr>
              <w:t xml:space="preserve"> </w:t>
            </w:r>
            <w:r>
              <w:rPr>
                <w:color w:val="auto"/>
                <w:spacing w:val="-5"/>
                <w:highlight w:val="none"/>
              </w:rPr>
              <w:t>台网址</w:t>
            </w:r>
          </w:p>
        </w:tc>
        <w:tc>
          <w:tcPr>
            <w:tcW w:w="6771" w:type="dxa"/>
            <w:gridSpan w:val="3"/>
            <w:vAlign w:val="top"/>
          </w:tcPr>
          <w:p w14:paraId="1FBF9917">
            <w:pPr>
              <w:rPr>
                <w:rFonts w:ascii="Arial"/>
                <w:color w:val="auto"/>
                <w:sz w:val="21"/>
                <w:highlight w:val="none"/>
              </w:rPr>
            </w:pPr>
          </w:p>
        </w:tc>
      </w:tr>
      <w:tr w14:paraId="29B59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2FECC446">
            <w:pPr>
              <w:spacing w:line="314" w:lineRule="auto"/>
              <w:rPr>
                <w:rFonts w:ascii="Arial"/>
                <w:color w:val="auto"/>
                <w:sz w:val="21"/>
                <w:highlight w:val="none"/>
              </w:rPr>
            </w:pPr>
          </w:p>
          <w:p w14:paraId="55D8DE05">
            <w:pPr>
              <w:spacing w:line="314" w:lineRule="auto"/>
              <w:rPr>
                <w:rFonts w:ascii="Arial"/>
                <w:color w:val="auto"/>
                <w:sz w:val="21"/>
                <w:highlight w:val="none"/>
              </w:rPr>
            </w:pPr>
          </w:p>
          <w:p w14:paraId="3B3A62B8">
            <w:pPr>
              <w:spacing w:line="314" w:lineRule="auto"/>
              <w:rPr>
                <w:rFonts w:ascii="Arial"/>
                <w:color w:val="auto"/>
                <w:sz w:val="21"/>
                <w:highlight w:val="none"/>
              </w:rPr>
            </w:pPr>
          </w:p>
          <w:p w14:paraId="302B5245">
            <w:pPr>
              <w:pStyle w:val="18"/>
              <w:spacing w:before="68" w:line="220" w:lineRule="auto"/>
              <w:ind w:left="523"/>
              <w:rPr>
                <w:color w:val="auto"/>
                <w:highlight w:val="none"/>
              </w:rPr>
            </w:pPr>
            <w:r>
              <w:rPr>
                <w:color w:val="auto"/>
                <w:spacing w:val="-6"/>
                <w:highlight w:val="none"/>
              </w:rPr>
              <w:t>附件</w:t>
            </w:r>
          </w:p>
        </w:tc>
        <w:tc>
          <w:tcPr>
            <w:tcW w:w="6771" w:type="dxa"/>
            <w:gridSpan w:val="3"/>
            <w:vAlign w:val="top"/>
          </w:tcPr>
          <w:p w14:paraId="295F51CB">
            <w:pPr>
              <w:pStyle w:val="18"/>
              <w:spacing w:before="27" w:line="207" w:lineRule="auto"/>
              <w:ind w:left="115"/>
              <w:rPr>
                <w:color w:val="auto"/>
                <w:highlight w:val="none"/>
              </w:rPr>
            </w:pPr>
            <w:r>
              <w:rPr>
                <w:color w:val="auto"/>
                <w:spacing w:val="-1"/>
                <w:highlight w:val="none"/>
              </w:rPr>
              <w:t>保函扫描件</w:t>
            </w:r>
          </w:p>
        </w:tc>
      </w:tr>
      <w:tr w14:paraId="6C14B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53F8965">
            <w:pPr>
              <w:rPr>
                <w:rFonts w:ascii="Arial"/>
                <w:color w:val="auto"/>
                <w:sz w:val="21"/>
                <w:highlight w:val="none"/>
              </w:rPr>
            </w:pPr>
          </w:p>
        </w:tc>
        <w:tc>
          <w:tcPr>
            <w:tcW w:w="6771" w:type="dxa"/>
            <w:gridSpan w:val="3"/>
            <w:vAlign w:val="top"/>
          </w:tcPr>
          <w:p w14:paraId="1D1B804A">
            <w:pPr>
              <w:rPr>
                <w:rFonts w:ascii="Arial"/>
                <w:color w:val="auto"/>
                <w:sz w:val="21"/>
                <w:highlight w:val="none"/>
              </w:rPr>
            </w:pPr>
          </w:p>
        </w:tc>
      </w:tr>
      <w:tr w14:paraId="64A35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2EC6BA1A">
            <w:pPr>
              <w:rPr>
                <w:rFonts w:ascii="Arial"/>
                <w:color w:val="auto"/>
                <w:sz w:val="21"/>
                <w:highlight w:val="none"/>
              </w:rPr>
            </w:pPr>
          </w:p>
        </w:tc>
        <w:tc>
          <w:tcPr>
            <w:tcW w:w="6771" w:type="dxa"/>
            <w:gridSpan w:val="3"/>
            <w:vAlign w:val="top"/>
          </w:tcPr>
          <w:p w14:paraId="38DFE5E8">
            <w:pPr>
              <w:pStyle w:val="18"/>
              <w:spacing w:before="32" w:line="207" w:lineRule="auto"/>
              <w:ind w:left="112"/>
              <w:rPr>
                <w:color w:val="auto"/>
                <w:highlight w:val="none"/>
              </w:rPr>
            </w:pPr>
            <w:r>
              <w:rPr>
                <w:color w:val="auto"/>
                <w:spacing w:val="-1"/>
                <w:highlight w:val="none"/>
              </w:rPr>
              <w:t>缴费凭证扫描件</w:t>
            </w:r>
          </w:p>
        </w:tc>
      </w:tr>
      <w:tr w14:paraId="5399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68790B43">
            <w:pPr>
              <w:rPr>
                <w:rFonts w:ascii="Arial"/>
                <w:color w:val="auto"/>
                <w:sz w:val="21"/>
                <w:highlight w:val="none"/>
              </w:rPr>
            </w:pPr>
          </w:p>
        </w:tc>
        <w:tc>
          <w:tcPr>
            <w:tcW w:w="6771" w:type="dxa"/>
            <w:gridSpan w:val="3"/>
            <w:vAlign w:val="top"/>
          </w:tcPr>
          <w:p w14:paraId="72E37A6F">
            <w:pPr>
              <w:rPr>
                <w:rFonts w:ascii="Arial"/>
                <w:color w:val="auto"/>
                <w:sz w:val="21"/>
                <w:highlight w:val="none"/>
              </w:rPr>
            </w:pPr>
          </w:p>
        </w:tc>
      </w:tr>
      <w:tr w14:paraId="59F0C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4E54439">
            <w:pPr>
              <w:rPr>
                <w:rFonts w:ascii="Arial"/>
                <w:color w:val="auto"/>
                <w:sz w:val="21"/>
                <w:highlight w:val="none"/>
              </w:rPr>
            </w:pPr>
          </w:p>
        </w:tc>
        <w:tc>
          <w:tcPr>
            <w:tcW w:w="6771" w:type="dxa"/>
            <w:gridSpan w:val="3"/>
            <w:vAlign w:val="top"/>
          </w:tcPr>
          <w:p w14:paraId="0145F753">
            <w:pPr>
              <w:pStyle w:val="18"/>
              <w:spacing w:before="33" w:line="206" w:lineRule="auto"/>
              <w:ind w:left="114"/>
              <w:rPr>
                <w:color w:val="auto"/>
                <w:highlight w:val="none"/>
              </w:rPr>
            </w:pPr>
            <w:r>
              <w:rPr>
                <w:color w:val="auto"/>
                <w:spacing w:val="-4"/>
                <w:highlight w:val="none"/>
              </w:rPr>
              <w:t>基本户开户许可证扫（基本存款账户信息）</w:t>
            </w:r>
            <w:r>
              <w:rPr>
                <w:color w:val="auto"/>
                <w:spacing w:val="-20"/>
                <w:highlight w:val="none"/>
              </w:rPr>
              <w:t xml:space="preserve"> </w:t>
            </w:r>
            <w:r>
              <w:rPr>
                <w:color w:val="auto"/>
                <w:spacing w:val="-4"/>
                <w:highlight w:val="none"/>
              </w:rPr>
              <w:t>描件</w:t>
            </w:r>
          </w:p>
        </w:tc>
      </w:tr>
      <w:tr w14:paraId="0DE1A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7BEB2CB">
            <w:pPr>
              <w:rPr>
                <w:rFonts w:ascii="Arial"/>
                <w:color w:val="auto"/>
                <w:sz w:val="21"/>
                <w:highlight w:val="none"/>
              </w:rPr>
            </w:pPr>
          </w:p>
        </w:tc>
        <w:tc>
          <w:tcPr>
            <w:tcW w:w="6771" w:type="dxa"/>
            <w:gridSpan w:val="3"/>
            <w:vAlign w:val="top"/>
          </w:tcPr>
          <w:p w14:paraId="334E835B">
            <w:pPr>
              <w:rPr>
                <w:rFonts w:ascii="Arial"/>
                <w:color w:val="auto"/>
                <w:sz w:val="21"/>
                <w:highlight w:val="none"/>
              </w:rPr>
            </w:pPr>
          </w:p>
        </w:tc>
      </w:tr>
      <w:tr w14:paraId="6E485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34A08B7E">
            <w:pPr>
              <w:rPr>
                <w:rFonts w:ascii="Arial"/>
                <w:color w:val="auto"/>
                <w:sz w:val="21"/>
                <w:highlight w:val="none"/>
              </w:rPr>
            </w:pPr>
          </w:p>
        </w:tc>
        <w:tc>
          <w:tcPr>
            <w:tcW w:w="6771" w:type="dxa"/>
            <w:gridSpan w:val="3"/>
            <w:vAlign w:val="top"/>
          </w:tcPr>
          <w:p w14:paraId="56EC353D">
            <w:pPr>
              <w:pStyle w:val="18"/>
              <w:spacing w:before="29" w:line="205" w:lineRule="auto"/>
              <w:ind w:left="115"/>
              <w:rPr>
                <w:color w:val="auto"/>
                <w:highlight w:val="none"/>
              </w:rPr>
            </w:pPr>
            <w:r>
              <w:rPr>
                <w:color w:val="auto"/>
                <w:spacing w:val="-1"/>
                <w:highlight w:val="none"/>
              </w:rPr>
              <w:t>其他材料</w:t>
            </w:r>
          </w:p>
        </w:tc>
      </w:tr>
      <w:tr w14:paraId="3712B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7297B219">
            <w:pPr>
              <w:rPr>
                <w:rFonts w:ascii="Arial"/>
                <w:color w:val="auto"/>
                <w:sz w:val="21"/>
                <w:highlight w:val="none"/>
              </w:rPr>
            </w:pPr>
          </w:p>
        </w:tc>
        <w:tc>
          <w:tcPr>
            <w:tcW w:w="6771" w:type="dxa"/>
            <w:gridSpan w:val="3"/>
            <w:vAlign w:val="top"/>
          </w:tcPr>
          <w:p w14:paraId="356298FE">
            <w:pPr>
              <w:rPr>
                <w:rFonts w:ascii="Arial"/>
                <w:color w:val="auto"/>
                <w:sz w:val="21"/>
                <w:highlight w:val="none"/>
              </w:rPr>
            </w:pPr>
          </w:p>
        </w:tc>
      </w:tr>
    </w:tbl>
    <w:p w14:paraId="1A1947F5">
      <w:pPr>
        <w:pStyle w:val="5"/>
        <w:rPr>
          <w:color w:val="auto"/>
          <w:highlight w:val="none"/>
        </w:rPr>
      </w:pPr>
    </w:p>
    <w:p w14:paraId="240C5E10">
      <w:pPr>
        <w:rPr>
          <w:color w:val="auto"/>
          <w:highlight w:val="none"/>
        </w:rPr>
        <w:sectPr>
          <w:footerReference r:id="rId161" w:type="default"/>
          <w:pgSz w:w="11905" w:h="16839"/>
          <w:pgMar w:top="400" w:right="1785" w:bottom="1004" w:left="1785" w:header="0" w:footer="828" w:gutter="0"/>
          <w:pgNumType w:fmt="decimal"/>
          <w:cols w:space="720" w:num="1"/>
        </w:sectPr>
      </w:pPr>
    </w:p>
    <w:p w14:paraId="3F870B98">
      <w:pPr>
        <w:pStyle w:val="5"/>
        <w:spacing w:line="255" w:lineRule="auto"/>
        <w:rPr>
          <w:color w:val="auto"/>
          <w:highlight w:val="none"/>
        </w:rPr>
      </w:pPr>
    </w:p>
    <w:p w14:paraId="71406B93">
      <w:pPr>
        <w:pStyle w:val="5"/>
        <w:spacing w:line="256" w:lineRule="auto"/>
        <w:rPr>
          <w:color w:val="auto"/>
          <w:highlight w:val="none"/>
        </w:rPr>
      </w:pPr>
    </w:p>
    <w:p w14:paraId="6445DF9A">
      <w:pPr>
        <w:pStyle w:val="5"/>
        <w:spacing w:line="256" w:lineRule="auto"/>
        <w:rPr>
          <w:color w:val="auto"/>
          <w:highlight w:val="none"/>
        </w:rPr>
      </w:pPr>
    </w:p>
    <w:p w14:paraId="005D0774">
      <w:pPr>
        <w:pStyle w:val="5"/>
        <w:spacing w:line="256" w:lineRule="auto"/>
        <w:rPr>
          <w:color w:val="auto"/>
          <w:highlight w:val="none"/>
        </w:rPr>
      </w:pPr>
    </w:p>
    <w:p w14:paraId="739B49C5">
      <w:pPr>
        <w:spacing w:before="88" w:line="225" w:lineRule="auto"/>
        <w:ind w:left="3072"/>
        <w:rPr>
          <w:rFonts w:ascii="黑体" w:hAnsi="黑体" w:eastAsia="黑体" w:cs="黑体"/>
          <w:color w:val="auto"/>
          <w:sz w:val="27"/>
          <w:szCs w:val="27"/>
          <w:highlight w:val="none"/>
        </w:rPr>
      </w:pPr>
      <w:bookmarkStart w:id="1750" w:name="bookmark305"/>
      <w:bookmarkEnd w:id="1750"/>
      <w:r>
        <w:rPr>
          <w:rFonts w:ascii="黑体" w:hAnsi="黑体" w:eastAsia="黑体" w:cs="黑体"/>
          <w:color w:val="auto"/>
          <w:spacing w:val="6"/>
          <w:sz w:val="27"/>
          <w:szCs w:val="27"/>
          <w:highlight w:val="none"/>
        </w:rPr>
        <w:t>四、联合体协议书</w:t>
      </w:r>
    </w:p>
    <w:p w14:paraId="6CDF8217">
      <w:pPr>
        <w:spacing w:before="128" w:line="221" w:lineRule="auto"/>
        <w:ind w:left="376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7A8D5DEC">
      <w:pPr>
        <w:pStyle w:val="5"/>
        <w:spacing w:line="465" w:lineRule="auto"/>
        <w:rPr>
          <w:color w:val="auto"/>
          <w:highlight w:val="none"/>
        </w:rPr>
      </w:pPr>
    </w:p>
    <w:p w14:paraId="7C06AD7F">
      <w:pPr>
        <w:spacing w:before="68" w:line="35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牵头人名称：</w:t>
      </w:r>
      <w:r>
        <w:rPr>
          <w:rFonts w:ascii="宋体" w:hAnsi="宋体" w:eastAsia="宋体" w:cs="宋体"/>
          <w:color w:val="auto"/>
          <w:sz w:val="21"/>
          <w:szCs w:val="21"/>
          <w:highlight w:val="none"/>
          <w:u w:val="single" w:color="auto"/>
        </w:rPr>
        <w:t xml:space="preserve">                                                  </w:t>
      </w:r>
    </w:p>
    <w:p w14:paraId="287A81DC">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z w:val="21"/>
          <w:szCs w:val="21"/>
          <w:highlight w:val="none"/>
          <w:u w:val="single" w:color="auto"/>
        </w:rPr>
        <w:t xml:space="preserve">                                                  </w:t>
      </w:r>
    </w:p>
    <w:p w14:paraId="10584676">
      <w:pPr>
        <w:spacing w:before="143" w:line="221" w:lineRule="auto"/>
        <w:ind w:left="19"/>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法定住所：</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p w14:paraId="7C41C57E">
      <w:pPr>
        <w:pStyle w:val="5"/>
        <w:spacing w:line="464" w:lineRule="auto"/>
        <w:rPr>
          <w:color w:val="auto"/>
          <w:highlight w:val="none"/>
        </w:rPr>
      </w:pPr>
    </w:p>
    <w:p w14:paraId="6E0D029F">
      <w:pPr>
        <w:spacing w:before="69" w:line="346"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成员二名称：</w:t>
      </w:r>
      <w:r>
        <w:rPr>
          <w:rFonts w:ascii="宋体" w:hAnsi="宋体" w:eastAsia="宋体" w:cs="宋体"/>
          <w:color w:val="auto"/>
          <w:sz w:val="21"/>
          <w:szCs w:val="21"/>
          <w:highlight w:val="none"/>
          <w:u w:val="single" w:color="auto"/>
        </w:rPr>
        <w:t xml:space="preserve">                                                  </w:t>
      </w:r>
    </w:p>
    <w:p w14:paraId="2027AE2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z w:val="21"/>
          <w:szCs w:val="21"/>
          <w:highlight w:val="none"/>
          <w:u w:val="single" w:color="auto"/>
        </w:rPr>
        <w:t xml:space="preserve">                                                  </w:t>
      </w:r>
    </w:p>
    <w:p w14:paraId="32CBA147">
      <w:pPr>
        <w:spacing w:before="143" w:line="221" w:lineRule="auto"/>
        <w:ind w:left="19"/>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法定住所：</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p w14:paraId="289D8BEA">
      <w:pPr>
        <w:spacing w:before="141" w:line="333" w:lineRule="exact"/>
        <w:ind w:left="555"/>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199FD9E7">
      <w:pPr>
        <w:spacing w:before="62" w:line="346" w:lineRule="auto"/>
        <w:ind w:left="18" w:right="12" w:firstLine="42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鉴于上述各成员单位经过友好协商，自愿组成</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27"/>
          <w:sz w:val="21"/>
          <w:szCs w:val="21"/>
          <w:highlight w:val="none"/>
        </w:rPr>
        <w:t xml:space="preserve"> </w:t>
      </w:r>
      <w:r>
        <w:rPr>
          <w:rFonts w:ascii="宋体" w:hAnsi="宋体" w:eastAsia="宋体" w:cs="宋体"/>
          <w:color w:val="auto"/>
          <w:spacing w:val="-7"/>
          <w:sz w:val="21"/>
          <w:szCs w:val="21"/>
          <w:highlight w:val="none"/>
        </w:rPr>
        <w:t>（联合</w:t>
      </w:r>
      <w:r>
        <w:rPr>
          <w:rFonts w:ascii="宋体" w:hAnsi="宋体" w:eastAsia="宋体" w:cs="宋体"/>
          <w:color w:val="auto"/>
          <w:spacing w:val="-8"/>
          <w:sz w:val="21"/>
          <w:szCs w:val="21"/>
          <w:highlight w:val="none"/>
        </w:rPr>
        <w:t>体名称）</w:t>
      </w:r>
      <w:r>
        <w:rPr>
          <w:rFonts w:ascii="宋体" w:hAnsi="宋体" w:eastAsia="宋体" w:cs="宋体"/>
          <w:color w:val="auto"/>
          <w:spacing w:val="18"/>
          <w:sz w:val="21"/>
          <w:szCs w:val="21"/>
          <w:highlight w:val="none"/>
        </w:rPr>
        <w:t xml:space="preserve"> </w:t>
      </w:r>
      <w:r>
        <w:rPr>
          <w:rFonts w:ascii="宋体" w:hAnsi="宋体" w:eastAsia="宋体" w:cs="宋体"/>
          <w:color w:val="auto"/>
          <w:spacing w:val="-8"/>
          <w:sz w:val="21"/>
          <w:szCs w:val="21"/>
          <w:highlight w:val="none"/>
        </w:rPr>
        <w:t>联合体， 共同参</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加</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13"/>
          <w:sz w:val="21"/>
          <w:szCs w:val="21"/>
          <w:highlight w:val="none"/>
        </w:rPr>
        <w:t xml:space="preserve"> （招标人名称</w:t>
      </w:r>
      <w:r>
        <w:rPr>
          <w:rFonts w:ascii="宋体" w:hAnsi="宋体" w:eastAsia="宋体" w:cs="宋体"/>
          <w:color w:val="auto"/>
          <w:spacing w:val="-11"/>
          <w:sz w:val="21"/>
          <w:szCs w:val="21"/>
          <w:highlight w:val="none"/>
        </w:rPr>
        <w:t>）（</w:t>
      </w:r>
      <w:r>
        <w:rPr>
          <w:rFonts w:ascii="宋体" w:hAnsi="宋体" w:eastAsia="宋体" w:cs="宋体"/>
          <w:color w:val="auto"/>
          <w:spacing w:val="-13"/>
          <w:sz w:val="21"/>
          <w:szCs w:val="21"/>
          <w:highlight w:val="none"/>
        </w:rPr>
        <w:t>以下简称招标人</w:t>
      </w:r>
      <w:r>
        <w:rPr>
          <w:rFonts w:ascii="宋体" w:hAnsi="宋体" w:eastAsia="宋体" w:cs="宋体"/>
          <w:color w:val="auto"/>
          <w:spacing w:val="-11"/>
          <w:sz w:val="21"/>
          <w:szCs w:val="21"/>
          <w:highlight w:val="none"/>
        </w:rPr>
        <w:t>）</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0"/>
          <w:sz w:val="21"/>
          <w:szCs w:val="21"/>
          <w:highlight w:val="none"/>
        </w:rPr>
        <w:t xml:space="preserve"> </w:t>
      </w:r>
      <w:r>
        <w:rPr>
          <w:rFonts w:ascii="宋体" w:hAnsi="宋体" w:eastAsia="宋体" w:cs="宋体"/>
          <w:color w:val="auto"/>
          <w:spacing w:val="-11"/>
          <w:sz w:val="21"/>
          <w:szCs w:val="21"/>
          <w:highlight w:val="none"/>
        </w:rPr>
        <w:t>（</w:t>
      </w:r>
      <w:r>
        <w:rPr>
          <w:rFonts w:ascii="宋体" w:hAnsi="宋体" w:eastAsia="宋体" w:cs="宋体"/>
          <w:color w:val="auto"/>
          <w:spacing w:val="-13"/>
          <w:sz w:val="21"/>
          <w:szCs w:val="21"/>
          <w:highlight w:val="none"/>
        </w:rPr>
        <w:t>标段名称）</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（以下简称本工程）</w:t>
      </w:r>
      <w:r>
        <w:rPr>
          <w:rFonts w:ascii="宋体" w:hAnsi="宋体" w:eastAsia="宋体" w:cs="宋体"/>
          <w:color w:val="auto"/>
          <w:spacing w:val="36"/>
          <w:sz w:val="21"/>
          <w:szCs w:val="21"/>
          <w:highlight w:val="none"/>
        </w:rPr>
        <w:t xml:space="preserve"> </w:t>
      </w:r>
      <w:r>
        <w:rPr>
          <w:rFonts w:ascii="宋体" w:hAnsi="宋体" w:eastAsia="宋体" w:cs="宋体"/>
          <w:color w:val="auto"/>
          <w:spacing w:val="-6"/>
          <w:sz w:val="21"/>
          <w:szCs w:val="21"/>
          <w:highlight w:val="none"/>
        </w:rPr>
        <w:t>的施工投标并争取赢得本工程施工承包合同（以下简称合同）。现就联</w:t>
      </w:r>
    </w:p>
    <w:p w14:paraId="07C786A3">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合体投标事宜订立如下协议：</w:t>
      </w:r>
    </w:p>
    <w:p w14:paraId="7AB997CB">
      <w:pPr>
        <w:spacing w:before="142" w:line="220" w:lineRule="auto"/>
        <w:ind w:left="456"/>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1</w:t>
      </w:r>
      <w:r>
        <w:rPr>
          <w:rFonts w:ascii="宋体" w:hAnsi="宋体" w:eastAsia="宋体" w:cs="宋体"/>
          <w:color w:val="auto"/>
          <w:spacing w:val="-6"/>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0"/>
          <w:sz w:val="21"/>
          <w:szCs w:val="21"/>
          <w:highlight w:val="none"/>
        </w:rPr>
        <w:t>某成员单位名称）为</w:t>
      </w:r>
      <w:r>
        <w:rPr>
          <w:rFonts w:ascii="宋体" w:hAnsi="宋体" w:eastAsia="宋体" w:cs="宋体"/>
          <w:color w:val="auto"/>
          <w:spacing w:val="-93"/>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0"/>
          <w:sz w:val="21"/>
          <w:szCs w:val="21"/>
          <w:highlight w:val="none"/>
        </w:rPr>
        <w:t xml:space="preserve"> （联合体名称）牵头人。</w:t>
      </w:r>
    </w:p>
    <w:p w14:paraId="46F8C2A2">
      <w:pPr>
        <w:spacing w:before="149" w:line="346" w:lineRule="auto"/>
        <w:ind w:left="18" w:right="8"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2．在本工程投标阶段，联合体牵头人合法代表联合体各成员负责本工程投标文件编制</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活动， 代表联合体提交和接收相关的资料、信息及指示，并处理与投标和中标有关的一切</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事务； 联合体中标后， 联合体牵头人负责合同订立</w:t>
      </w:r>
      <w:r>
        <w:rPr>
          <w:rFonts w:ascii="宋体" w:hAnsi="宋体" w:eastAsia="宋体" w:cs="宋体"/>
          <w:color w:val="auto"/>
          <w:spacing w:val="-3"/>
          <w:sz w:val="21"/>
          <w:szCs w:val="21"/>
          <w:highlight w:val="none"/>
        </w:rPr>
        <w:t>和合同实施阶段的主办、组织和协调工</w:t>
      </w:r>
    </w:p>
    <w:p w14:paraId="2AFF4B25">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作。</w:t>
      </w:r>
    </w:p>
    <w:p w14:paraId="43F2A8AB">
      <w:pPr>
        <w:spacing w:before="142" w:line="346" w:lineRule="auto"/>
        <w:ind w:left="19" w:right="8"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3．联合体将严格按照招标文件的各项要求，递交投标文件，履行投标义务和中标后的</w:t>
      </w:r>
      <w:r>
        <w:rPr>
          <w:rFonts w:ascii="宋体" w:hAnsi="宋体" w:eastAsia="宋体" w:cs="宋体"/>
          <w:color w:val="auto"/>
          <w:spacing w:val="2"/>
          <w:sz w:val="21"/>
          <w:szCs w:val="21"/>
          <w:highlight w:val="none"/>
        </w:rPr>
        <w:t xml:space="preserve"> </w:t>
      </w:r>
      <w:r>
        <w:rPr>
          <w:rFonts w:ascii="宋体" w:hAnsi="宋体" w:eastAsia="宋体" w:cs="宋体"/>
          <w:color w:val="auto"/>
          <w:spacing w:val="-5"/>
          <w:sz w:val="21"/>
          <w:szCs w:val="21"/>
          <w:highlight w:val="none"/>
        </w:rPr>
        <w:t>合同， 共同承担合同规定的一切义务和责任， 联合体各成员单位按照内部职责的部分， 承</w:t>
      </w:r>
    </w:p>
    <w:p w14:paraId="539EB1D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担各自所负的责任和风险，并向招标人承担连带责任。</w:t>
      </w:r>
    </w:p>
    <w:p w14:paraId="3F70A18B">
      <w:pPr>
        <w:spacing w:before="142" w:line="221" w:lineRule="auto"/>
        <w:ind w:left="44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4．联合体各成员单位内部的职责分工如下：</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0247CE79">
      <w:pPr>
        <w:pStyle w:val="5"/>
        <w:spacing w:line="251" w:lineRule="auto"/>
        <w:rPr>
          <w:color w:val="auto"/>
          <w:highlight w:val="none"/>
        </w:rPr>
      </w:pPr>
    </w:p>
    <w:p w14:paraId="4D10B139">
      <w:pPr>
        <w:tabs>
          <w:tab w:val="left" w:pos="7784"/>
        </w:tabs>
        <w:spacing w:before="26" w:line="159" w:lineRule="auto"/>
        <w:ind w:left="1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14:paraId="4DADC179">
      <w:pPr>
        <w:spacing w:before="190" w:line="346" w:lineRule="auto"/>
        <w:ind w:left="442" w:right="54" w:firstLine="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5．投标工作和联合体在中标后工程实施过程中的有关费用按各自承担的</w:t>
      </w:r>
      <w:r>
        <w:rPr>
          <w:rFonts w:ascii="宋体" w:hAnsi="宋体" w:eastAsia="宋体" w:cs="宋体"/>
          <w:color w:val="auto"/>
          <w:spacing w:val="-2"/>
          <w:sz w:val="21"/>
          <w:szCs w:val="21"/>
          <w:highlight w:val="none"/>
        </w:rPr>
        <w:t>工作量分摊。</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6．联合体中标后，本联合体协议是合同的附件，对联合体各成员单位有合同约</w:t>
      </w:r>
      <w:r>
        <w:rPr>
          <w:rFonts w:ascii="宋体" w:hAnsi="宋体" w:eastAsia="宋体" w:cs="宋体"/>
          <w:color w:val="auto"/>
          <w:spacing w:val="-2"/>
          <w:sz w:val="21"/>
          <w:szCs w:val="21"/>
          <w:highlight w:val="none"/>
        </w:rPr>
        <w:t>束力。</w:t>
      </w:r>
    </w:p>
    <w:p w14:paraId="3E327D20">
      <w:pPr>
        <w:spacing w:before="1" w:line="219" w:lineRule="auto"/>
        <w:ind w:left="446"/>
        <w:rPr>
          <w:rFonts w:ascii="宋体" w:hAnsi="宋体" w:eastAsia="宋体" w:cs="宋体"/>
          <w:color w:val="auto"/>
          <w:sz w:val="21"/>
          <w:szCs w:val="21"/>
          <w:highlight w:val="none"/>
        </w:rPr>
      </w:pPr>
      <w:r>
        <w:rPr>
          <w:rFonts w:ascii="宋体" w:hAnsi="宋体" w:eastAsia="宋体" w:cs="宋体"/>
          <w:color w:val="auto"/>
          <w:sz w:val="21"/>
          <w:szCs w:val="21"/>
          <w:highlight w:val="none"/>
        </w:rPr>
        <w:t>7．本协议书自签署之日起生效，联合体未中标或者中标合</w:t>
      </w:r>
      <w:r>
        <w:rPr>
          <w:rFonts w:ascii="宋体" w:hAnsi="宋体" w:eastAsia="宋体" w:cs="宋体"/>
          <w:color w:val="auto"/>
          <w:spacing w:val="-1"/>
          <w:sz w:val="21"/>
          <w:szCs w:val="21"/>
          <w:highlight w:val="none"/>
        </w:rPr>
        <w:t>同履行完毕后自动失效。</w:t>
      </w:r>
    </w:p>
    <w:p w14:paraId="6D402017">
      <w:pPr>
        <w:spacing w:before="14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8．本协议书一式</w:t>
      </w:r>
      <w:r>
        <w:rPr>
          <w:rFonts w:ascii="宋体" w:hAnsi="宋体" w:eastAsia="宋体" w:cs="宋体"/>
          <w:color w:val="auto"/>
          <w:spacing w:val="-105"/>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1"/>
          <w:sz w:val="21"/>
          <w:szCs w:val="21"/>
          <w:highlight w:val="none"/>
        </w:rPr>
        <w:t>份，联合体成员和招标人</w:t>
      </w:r>
      <w:r>
        <w:rPr>
          <w:rFonts w:ascii="宋体" w:hAnsi="宋体" w:eastAsia="宋体" w:cs="宋体"/>
          <w:color w:val="auto"/>
          <w:spacing w:val="-2"/>
          <w:sz w:val="21"/>
          <w:szCs w:val="21"/>
          <w:highlight w:val="none"/>
        </w:rPr>
        <w:t>各执一份。</w:t>
      </w:r>
    </w:p>
    <w:p w14:paraId="1F0A4C3D">
      <w:pPr>
        <w:pStyle w:val="5"/>
        <w:spacing w:line="466" w:lineRule="auto"/>
        <w:rPr>
          <w:color w:val="auto"/>
          <w:highlight w:val="none"/>
        </w:rPr>
      </w:pPr>
    </w:p>
    <w:p w14:paraId="73797E23">
      <w:pPr>
        <w:spacing w:before="68" w:line="346" w:lineRule="auto"/>
        <w:ind w:left="180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牵头人名称</w:t>
      </w:r>
      <w:r>
        <w:rPr>
          <w:rFonts w:ascii="宋体" w:hAnsi="宋体" w:eastAsia="宋体" w:cs="宋体"/>
          <w:color w:val="auto"/>
          <w:spacing w:val="-1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1"/>
          <w:sz w:val="21"/>
          <w:szCs w:val="21"/>
          <w:highlight w:val="none"/>
        </w:rPr>
        <w:t>盖单位章）</w:t>
      </w:r>
    </w:p>
    <w:p w14:paraId="16ABB3D8">
      <w:pPr>
        <w:spacing w:before="1" w:line="219" w:lineRule="auto"/>
        <w:ind w:left="180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6EB801DA">
      <w:pPr>
        <w:pStyle w:val="5"/>
        <w:spacing w:line="466" w:lineRule="auto"/>
        <w:rPr>
          <w:color w:val="auto"/>
          <w:highlight w:val="none"/>
        </w:rPr>
      </w:pPr>
    </w:p>
    <w:p w14:paraId="0FD46C5D">
      <w:pPr>
        <w:spacing w:before="69" w:line="346" w:lineRule="auto"/>
        <w:ind w:left="180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成员二名称</w:t>
      </w:r>
      <w:r>
        <w:rPr>
          <w:rFonts w:ascii="宋体" w:hAnsi="宋体" w:eastAsia="宋体" w:cs="宋体"/>
          <w:color w:val="auto"/>
          <w:spacing w:val="-1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1"/>
          <w:sz w:val="21"/>
          <w:szCs w:val="21"/>
          <w:highlight w:val="none"/>
        </w:rPr>
        <w:t>盖单位章）</w:t>
      </w:r>
    </w:p>
    <w:p w14:paraId="34D35249">
      <w:pPr>
        <w:spacing w:before="1" w:line="219" w:lineRule="auto"/>
        <w:ind w:left="180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0007B4AB">
      <w:pPr>
        <w:spacing w:line="219" w:lineRule="auto"/>
        <w:rPr>
          <w:rFonts w:ascii="宋体" w:hAnsi="宋体" w:eastAsia="宋体" w:cs="宋体"/>
          <w:color w:val="auto"/>
          <w:sz w:val="21"/>
          <w:szCs w:val="21"/>
          <w:highlight w:val="none"/>
        </w:rPr>
        <w:sectPr>
          <w:footerReference r:id="rId162" w:type="default"/>
          <w:pgSz w:w="11905" w:h="16839"/>
          <w:pgMar w:top="400" w:right="1785" w:bottom="1004" w:left="1785" w:header="0" w:footer="828" w:gutter="0"/>
          <w:pgNumType w:fmt="decimal"/>
          <w:cols w:space="720" w:num="1"/>
        </w:sectPr>
      </w:pPr>
    </w:p>
    <w:p w14:paraId="041A403E">
      <w:pPr>
        <w:pStyle w:val="5"/>
        <w:spacing w:line="275" w:lineRule="auto"/>
        <w:rPr>
          <w:color w:val="auto"/>
          <w:highlight w:val="none"/>
        </w:rPr>
      </w:pPr>
    </w:p>
    <w:p w14:paraId="547B2A1A">
      <w:pPr>
        <w:pStyle w:val="5"/>
        <w:spacing w:line="275" w:lineRule="auto"/>
        <w:rPr>
          <w:color w:val="auto"/>
          <w:highlight w:val="none"/>
        </w:rPr>
      </w:pPr>
    </w:p>
    <w:p w14:paraId="10F59810">
      <w:pPr>
        <w:pStyle w:val="5"/>
        <w:spacing w:line="275" w:lineRule="auto"/>
        <w:rPr>
          <w:color w:val="auto"/>
          <w:highlight w:val="none"/>
        </w:rPr>
      </w:pPr>
    </w:p>
    <w:p w14:paraId="28DF6884">
      <w:pPr>
        <w:pStyle w:val="5"/>
        <w:spacing w:line="275" w:lineRule="auto"/>
        <w:rPr>
          <w:color w:val="auto"/>
          <w:highlight w:val="none"/>
        </w:rPr>
      </w:pPr>
    </w:p>
    <w:p w14:paraId="05EC740C">
      <w:pPr>
        <w:spacing w:before="68" w:line="333" w:lineRule="exact"/>
        <w:ind w:left="2134"/>
        <w:rPr>
          <w:rFonts w:ascii="宋体" w:hAnsi="宋体" w:eastAsia="宋体" w:cs="宋体"/>
          <w:color w:val="auto"/>
          <w:sz w:val="21"/>
          <w:szCs w:val="21"/>
          <w:highlight w:val="none"/>
        </w:rPr>
      </w:pPr>
      <w:bookmarkStart w:id="1751" w:name="bookmark306"/>
      <w:bookmarkEnd w:id="1751"/>
      <w:r>
        <w:rPr>
          <w:rFonts w:ascii="宋体" w:hAnsi="宋体" w:eastAsia="宋体" w:cs="宋体"/>
          <w:color w:val="auto"/>
          <w:spacing w:val="-5"/>
          <w:position w:val="2"/>
          <w:sz w:val="21"/>
          <w:szCs w:val="21"/>
          <w:highlight w:val="none"/>
        </w:rPr>
        <w:t>……</w:t>
      </w:r>
    </w:p>
    <w:p w14:paraId="3C7CBB5C">
      <w:pPr>
        <w:tabs>
          <w:tab w:val="left" w:pos="4863"/>
        </w:tabs>
        <w:spacing w:before="61" w:line="221" w:lineRule="auto"/>
        <w:ind w:left="402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1F3AE91F">
      <w:pPr>
        <w:pStyle w:val="5"/>
        <w:spacing w:line="251" w:lineRule="auto"/>
        <w:rPr>
          <w:color w:val="auto"/>
          <w:highlight w:val="none"/>
        </w:rPr>
      </w:pPr>
    </w:p>
    <w:p w14:paraId="2C0C0A9D">
      <w:pPr>
        <w:pStyle w:val="5"/>
        <w:spacing w:line="251" w:lineRule="auto"/>
        <w:rPr>
          <w:color w:val="auto"/>
          <w:highlight w:val="none"/>
        </w:rPr>
      </w:pPr>
    </w:p>
    <w:p w14:paraId="14CB96E0">
      <w:pPr>
        <w:pStyle w:val="5"/>
        <w:spacing w:line="251" w:lineRule="auto"/>
        <w:rPr>
          <w:color w:val="auto"/>
          <w:highlight w:val="none"/>
        </w:rPr>
      </w:pPr>
    </w:p>
    <w:p w14:paraId="5286875F">
      <w:pPr>
        <w:pStyle w:val="5"/>
        <w:spacing w:line="251" w:lineRule="auto"/>
        <w:rPr>
          <w:color w:val="auto"/>
          <w:highlight w:val="none"/>
        </w:rPr>
      </w:pPr>
    </w:p>
    <w:p w14:paraId="515A34B5">
      <w:pPr>
        <w:pStyle w:val="5"/>
        <w:spacing w:line="251" w:lineRule="auto"/>
        <w:rPr>
          <w:color w:val="auto"/>
          <w:highlight w:val="none"/>
        </w:rPr>
      </w:pPr>
    </w:p>
    <w:p w14:paraId="19130BF1">
      <w:pPr>
        <w:pStyle w:val="5"/>
        <w:spacing w:line="251" w:lineRule="auto"/>
        <w:rPr>
          <w:color w:val="auto"/>
          <w:highlight w:val="none"/>
        </w:rPr>
      </w:pPr>
    </w:p>
    <w:p w14:paraId="24741741">
      <w:pPr>
        <w:pStyle w:val="5"/>
        <w:spacing w:line="251" w:lineRule="auto"/>
        <w:rPr>
          <w:color w:val="auto"/>
          <w:highlight w:val="none"/>
        </w:rPr>
      </w:pPr>
    </w:p>
    <w:p w14:paraId="108B3331">
      <w:pPr>
        <w:pStyle w:val="5"/>
        <w:spacing w:line="251" w:lineRule="auto"/>
        <w:rPr>
          <w:color w:val="auto"/>
          <w:highlight w:val="none"/>
        </w:rPr>
      </w:pPr>
    </w:p>
    <w:p w14:paraId="37D26235">
      <w:pPr>
        <w:pStyle w:val="5"/>
        <w:spacing w:line="251" w:lineRule="auto"/>
        <w:rPr>
          <w:color w:val="auto"/>
          <w:highlight w:val="none"/>
        </w:rPr>
      </w:pPr>
    </w:p>
    <w:p w14:paraId="485285B9">
      <w:pPr>
        <w:pStyle w:val="5"/>
        <w:spacing w:line="252" w:lineRule="auto"/>
        <w:rPr>
          <w:color w:val="auto"/>
          <w:highlight w:val="none"/>
        </w:rPr>
      </w:pPr>
    </w:p>
    <w:p w14:paraId="1794F434">
      <w:pPr>
        <w:pStyle w:val="5"/>
        <w:spacing w:line="252" w:lineRule="auto"/>
        <w:rPr>
          <w:color w:val="auto"/>
          <w:highlight w:val="none"/>
        </w:rPr>
      </w:pPr>
    </w:p>
    <w:p w14:paraId="0523C5F8">
      <w:pPr>
        <w:pStyle w:val="5"/>
        <w:spacing w:line="252" w:lineRule="auto"/>
        <w:rPr>
          <w:color w:val="auto"/>
          <w:highlight w:val="none"/>
        </w:rPr>
      </w:pPr>
    </w:p>
    <w:p w14:paraId="4D7D6AE2">
      <w:pPr>
        <w:pStyle w:val="5"/>
        <w:spacing w:line="252" w:lineRule="auto"/>
        <w:rPr>
          <w:color w:val="auto"/>
          <w:highlight w:val="none"/>
        </w:rPr>
      </w:pPr>
    </w:p>
    <w:p w14:paraId="24AF51B9">
      <w:pPr>
        <w:pStyle w:val="5"/>
        <w:spacing w:line="252" w:lineRule="auto"/>
        <w:rPr>
          <w:color w:val="auto"/>
          <w:highlight w:val="none"/>
        </w:rPr>
      </w:pPr>
    </w:p>
    <w:p w14:paraId="79D91537">
      <w:pPr>
        <w:pStyle w:val="5"/>
        <w:spacing w:line="252" w:lineRule="auto"/>
        <w:rPr>
          <w:color w:val="auto"/>
          <w:highlight w:val="none"/>
        </w:rPr>
      </w:pPr>
    </w:p>
    <w:p w14:paraId="66E67F33">
      <w:pPr>
        <w:pStyle w:val="5"/>
        <w:spacing w:line="252" w:lineRule="auto"/>
        <w:rPr>
          <w:color w:val="auto"/>
          <w:highlight w:val="none"/>
        </w:rPr>
      </w:pPr>
    </w:p>
    <w:p w14:paraId="55A71C3C">
      <w:pPr>
        <w:pStyle w:val="5"/>
        <w:spacing w:line="252" w:lineRule="auto"/>
        <w:rPr>
          <w:color w:val="auto"/>
          <w:highlight w:val="none"/>
        </w:rPr>
      </w:pPr>
    </w:p>
    <w:p w14:paraId="41C538E1">
      <w:pPr>
        <w:pStyle w:val="5"/>
        <w:spacing w:line="252" w:lineRule="auto"/>
        <w:rPr>
          <w:color w:val="auto"/>
          <w:highlight w:val="none"/>
        </w:rPr>
      </w:pPr>
    </w:p>
    <w:p w14:paraId="7BDA3DD0">
      <w:pPr>
        <w:pStyle w:val="5"/>
        <w:spacing w:line="252" w:lineRule="auto"/>
        <w:rPr>
          <w:color w:val="auto"/>
          <w:highlight w:val="none"/>
        </w:rPr>
      </w:pPr>
    </w:p>
    <w:p w14:paraId="77685A50">
      <w:pPr>
        <w:spacing w:before="68"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1.本协议书由委托代理人签字的，应附法定代表人签字的授权委托书。</w:t>
      </w:r>
    </w:p>
    <w:p w14:paraId="7BCE055E">
      <w:pPr>
        <w:spacing w:before="143" w:line="399" w:lineRule="exact"/>
        <w:ind w:right="9"/>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2.投标人未采用联合体投标的，投标文件中不需联合体协议书， 也无须盖单位章和</w:t>
      </w:r>
    </w:p>
    <w:p w14:paraId="205DF343">
      <w:pPr>
        <w:spacing w:line="220" w:lineRule="auto"/>
        <w:ind w:left="85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签字。</w:t>
      </w:r>
    </w:p>
    <w:p w14:paraId="4A40938B">
      <w:pPr>
        <w:spacing w:line="220" w:lineRule="auto"/>
        <w:rPr>
          <w:rFonts w:ascii="宋体" w:hAnsi="宋体" w:eastAsia="宋体" w:cs="宋体"/>
          <w:color w:val="auto"/>
          <w:sz w:val="21"/>
          <w:szCs w:val="21"/>
          <w:highlight w:val="none"/>
        </w:rPr>
        <w:sectPr>
          <w:footerReference r:id="rId163" w:type="default"/>
          <w:pgSz w:w="11905" w:h="16839"/>
          <w:pgMar w:top="400" w:right="1785" w:bottom="1004" w:left="1785" w:header="0" w:footer="828" w:gutter="0"/>
          <w:pgNumType w:fmt="decimal"/>
          <w:cols w:space="720" w:num="1"/>
        </w:sectPr>
      </w:pPr>
    </w:p>
    <w:p w14:paraId="48170E29">
      <w:pPr>
        <w:pStyle w:val="5"/>
        <w:spacing w:line="256" w:lineRule="auto"/>
        <w:rPr>
          <w:color w:val="auto"/>
          <w:highlight w:val="none"/>
        </w:rPr>
      </w:pPr>
    </w:p>
    <w:p w14:paraId="6D33DB53">
      <w:pPr>
        <w:pStyle w:val="5"/>
        <w:spacing w:line="256" w:lineRule="auto"/>
        <w:rPr>
          <w:color w:val="auto"/>
          <w:highlight w:val="none"/>
        </w:rPr>
      </w:pPr>
    </w:p>
    <w:p w14:paraId="1EE7ED3C">
      <w:pPr>
        <w:pStyle w:val="5"/>
        <w:spacing w:line="256" w:lineRule="auto"/>
        <w:rPr>
          <w:color w:val="auto"/>
          <w:highlight w:val="none"/>
        </w:rPr>
      </w:pPr>
    </w:p>
    <w:p w14:paraId="11582678">
      <w:pPr>
        <w:pStyle w:val="5"/>
        <w:spacing w:line="256" w:lineRule="auto"/>
        <w:rPr>
          <w:color w:val="auto"/>
          <w:highlight w:val="none"/>
        </w:rPr>
      </w:pPr>
    </w:p>
    <w:p w14:paraId="66A326F0">
      <w:pPr>
        <w:spacing w:before="88" w:line="225" w:lineRule="auto"/>
        <w:ind w:left="3063"/>
        <w:rPr>
          <w:rFonts w:ascii="黑体" w:hAnsi="黑体" w:eastAsia="黑体" w:cs="黑体"/>
          <w:color w:val="auto"/>
          <w:sz w:val="27"/>
          <w:szCs w:val="27"/>
          <w:highlight w:val="none"/>
        </w:rPr>
      </w:pPr>
      <w:bookmarkStart w:id="1752" w:name="bookmark308"/>
      <w:bookmarkEnd w:id="1752"/>
      <w:bookmarkStart w:id="1753" w:name="bookmark307"/>
      <w:bookmarkEnd w:id="1753"/>
      <w:r>
        <w:rPr>
          <w:rFonts w:ascii="黑体" w:hAnsi="黑体" w:eastAsia="黑体" w:cs="黑体"/>
          <w:color w:val="auto"/>
          <w:spacing w:val="7"/>
          <w:sz w:val="27"/>
          <w:szCs w:val="27"/>
          <w:highlight w:val="none"/>
        </w:rPr>
        <w:t>五、拟分包计划表</w:t>
      </w:r>
    </w:p>
    <w:p w14:paraId="5D44ABE5">
      <w:pPr>
        <w:spacing w:before="165" w:line="221" w:lineRule="auto"/>
        <w:ind w:left="354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0A465609">
      <w:pPr>
        <w:spacing w:before="216"/>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08326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0CA4BDBE">
            <w:pPr>
              <w:pStyle w:val="18"/>
              <w:spacing w:before="172" w:line="211" w:lineRule="auto"/>
              <w:ind w:left="216"/>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703" w:type="dxa"/>
            <w:vMerge w:val="restart"/>
            <w:tcBorders>
              <w:bottom w:val="nil"/>
            </w:tcBorders>
            <w:vAlign w:val="top"/>
          </w:tcPr>
          <w:p w14:paraId="1019B586">
            <w:pPr>
              <w:pStyle w:val="18"/>
              <w:spacing w:before="216" w:line="231" w:lineRule="auto"/>
              <w:ind w:left="117" w:right="114" w:firstLine="106"/>
              <w:rPr>
                <w:color w:val="auto"/>
                <w:highlight w:val="none"/>
              </w:rPr>
            </w:pPr>
            <w:r>
              <w:rPr>
                <w:color w:val="auto"/>
                <w:spacing w:val="-1"/>
                <w:highlight w:val="none"/>
              </w:rPr>
              <w:t>拟分包项目名</w:t>
            </w:r>
            <w:r>
              <w:rPr>
                <w:color w:val="auto"/>
                <w:highlight w:val="none"/>
              </w:rPr>
              <w:t xml:space="preserve">  </w:t>
            </w:r>
            <w:r>
              <w:rPr>
                <w:color w:val="auto"/>
                <w:spacing w:val="-1"/>
                <w:highlight w:val="none"/>
              </w:rPr>
              <w:t>称、范围及理由</w:t>
            </w:r>
          </w:p>
        </w:tc>
        <w:tc>
          <w:tcPr>
            <w:tcW w:w="5072" w:type="dxa"/>
            <w:gridSpan w:val="5"/>
            <w:vAlign w:val="top"/>
          </w:tcPr>
          <w:p w14:paraId="5AEC87E2">
            <w:pPr>
              <w:pStyle w:val="18"/>
              <w:spacing w:before="120" w:line="220" w:lineRule="auto"/>
              <w:ind w:left="2016"/>
              <w:rPr>
                <w:color w:val="auto"/>
                <w:highlight w:val="none"/>
              </w:rPr>
            </w:pPr>
            <w:r>
              <w:rPr>
                <w:color w:val="auto"/>
                <w:spacing w:val="-1"/>
                <w:highlight w:val="none"/>
              </w:rPr>
              <w:t>拟选分包人</w:t>
            </w:r>
          </w:p>
        </w:tc>
        <w:tc>
          <w:tcPr>
            <w:tcW w:w="969" w:type="dxa"/>
            <w:vMerge w:val="restart"/>
            <w:tcBorders>
              <w:bottom w:val="nil"/>
            </w:tcBorders>
            <w:vAlign w:val="top"/>
          </w:tcPr>
          <w:p w14:paraId="03267634">
            <w:pPr>
              <w:spacing w:line="285" w:lineRule="auto"/>
              <w:rPr>
                <w:rFonts w:ascii="Arial"/>
                <w:color w:val="auto"/>
                <w:sz w:val="21"/>
                <w:highlight w:val="none"/>
              </w:rPr>
            </w:pPr>
          </w:p>
          <w:p w14:paraId="345CE6CC">
            <w:pPr>
              <w:pStyle w:val="18"/>
              <w:spacing w:before="69" w:line="222" w:lineRule="auto"/>
              <w:ind w:left="284"/>
              <w:rPr>
                <w:color w:val="auto"/>
                <w:highlight w:val="none"/>
              </w:rPr>
            </w:pPr>
            <w:r>
              <w:rPr>
                <w:color w:val="auto"/>
                <w:spacing w:val="-3"/>
                <w:highlight w:val="none"/>
              </w:rPr>
              <w:t>备注</w:t>
            </w:r>
          </w:p>
        </w:tc>
      </w:tr>
      <w:tr w14:paraId="2B394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23B4025F">
            <w:pPr>
              <w:rPr>
                <w:rFonts w:ascii="Arial"/>
                <w:color w:val="auto"/>
                <w:sz w:val="21"/>
                <w:highlight w:val="none"/>
              </w:rPr>
            </w:pPr>
          </w:p>
        </w:tc>
        <w:tc>
          <w:tcPr>
            <w:tcW w:w="1703" w:type="dxa"/>
            <w:vMerge w:val="continue"/>
            <w:tcBorders>
              <w:top w:val="nil"/>
            </w:tcBorders>
            <w:vAlign w:val="top"/>
          </w:tcPr>
          <w:p w14:paraId="5D5A8D3C">
            <w:pPr>
              <w:rPr>
                <w:rFonts w:ascii="Arial"/>
                <w:color w:val="auto"/>
                <w:sz w:val="21"/>
                <w:highlight w:val="none"/>
              </w:rPr>
            </w:pPr>
          </w:p>
        </w:tc>
        <w:tc>
          <w:tcPr>
            <w:tcW w:w="1747" w:type="dxa"/>
            <w:gridSpan w:val="2"/>
            <w:vAlign w:val="top"/>
          </w:tcPr>
          <w:p w14:paraId="00C93911">
            <w:pPr>
              <w:pStyle w:val="18"/>
              <w:spacing w:before="121" w:line="220" w:lineRule="auto"/>
              <w:ind w:left="143"/>
              <w:rPr>
                <w:color w:val="auto"/>
                <w:highlight w:val="none"/>
              </w:rPr>
            </w:pPr>
            <w:r>
              <w:rPr>
                <w:color w:val="auto"/>
                <w:spacing w:val="-1"/>
                <w:highlight w:val="none"/>
              </w:rPr>
              <w:t>拟选分包人名称</w:t>
            </w:r>
          </w:p>
        </w:tc>
        <w:tc>
          <w:tcPr>
            <w:tcW w:w="1099" w:type="dxa"/>
            <w:vAlign w:val="top"/>
          </w:tcPr>
          <w:p w14:paraId="7B65C9D3">
            <w:pPr>
              <w:pStyle w:val="18"/>
              <w:spacing w:before="121" w:line="222" w:lineRule="auto"/>
              <w:ind w:left="135"/>
              <w:rPr>
                <w:color w:val="auto"/>
                <w:highlight w:val="none"/>
              </w:rPr>
            </w:pPr>
            <w:r>
              <w:rPr>
                <w:color w:val="auto"/>
                <w:spacing w:val="-1"/>
                <w:highlight w:val="none"/>
              </w:rPr>
              <w:t>注册地点</w:t>
            </w:r>
          </w:p>
        </w:tc>
        <w:tc>
          <w:tcPr>
            <w:tcW w:w="1060" w:type="dxa"/>
            <w:vAlign w:val="top"/>
          </w:tcPr>
          <w:p w14:paraId="68DC0CC7">
            <w:pPr>
              <w:pStyle w:val="18"/>
              <w:spacing w:before="121" w:line="221" w:lineRule="auto"/>
              <w:ind w:left="124"/>
              <w:rPr>
                <w:color w:val="auto"/>
                <w:highlight w:val="none"/>
              </w:rPr>
            </w:pPr>
            <w:r>
              <w:rPr>
                <w:color w:val="auto"/>
                <w:spacing w:val="-2"/>
                <w:highlight w:val="none"/>
              </w:rPr>
              <w:t>企业资质</w:t>
            </w:r>
          </w:p>
        </w:tc>
        <w:tc>
          <w:tcPr>
            <w:tcW w:w="1166" w:type="dxa"/>
            <w:vAlign w:val="top"/>
          </w:tcPr>
          <w:p w14:paraId="6ED9F9A7">
            <w:pPr>
              <w:pStyle w:val="18"/>
              <w:spacing w:before="121" w:line="221" w:lineRule="auto"/>
              <w:ind w:left="171"/>
              <w:rPr>
                <w:color w:val="auto"/>
                <w:highlight w:val="none"/>
              </w:rPr>
            </w:pPr>
            <w:r>
              <w:rPr>
                <w:color w:val="auto"/>
                <w:spacing w:val="-1"/>
                <w:highlight w:val="none"/>
              </w:rPr>
              <w:t>有关业绩</w:t>
            </w:r>
          </w:p>
        </w:tc>
        <w:tc>
          <w:tcPr>
            <w:tcW w:w="969" w:type="dxa"/>
            <w:vMerge w:val="continue"/>
            <w:tcBorders>
              <w:top w:val="nil"/>
            </w:tcBorders>
            <w:vAlign w:val="top"/>
          </w:tcPr>
          <w:p w14:paraId="12F06A1C">
            <w:pPr>
              <w:rPr>
                <w:rFonts w:ascii="Arial"/>
                <w:color w:val="auto"/>
                <w:sz w:val="21"/>
                <w:highlight w:val="none"/>
              </w:rPr>
            </w:pPr>
          </w:p>
        </w:tc>
      </w:tr>
      <w:tr w14:paraId="3C74A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1AC5F826">
            <w:pPr>
              <w:rPr>
                <w:rFonts w:ascii="Arial"/>
                <w:color w:val="auto"/>
                <w:sz w:val="21"/>
                <w:highlight w:val="none"/>
              </w:rPr>
            </w:pPr>
          </w:p>
        </w:tc>
        <w:tc>
          <w:tcPr>
            <w:tcW w:w="1703" w:type="dxa"/>
            <w:vMerge w:val="restart"/>
            <w:tcBorders>
              <w:bottom w:val="nil"/>
            </w:tcBorders>
            <w:vAlign w:val="top"/>
          </w:tcPr>
          <w:p w14:paraId="1D3FD9CE">
            <w:pPr>
              <w:rPr>
                <w:rFonts w:ascii="Arial"/>
                <w:color w:val="auto"/>
                <w:sz w:val="21"/>
                <w:highlight w:val="none"/>
              </w:rPr>
            </w:pPr>
          </w:p>
        </w:tc>
        <w:tc>
          <w:tcPr>
            <w:tcW w:w="826" w:type="dxa"/>
            <w:vAlign w:val="top"/>
          </w:tcPr>
          <w:p w14:paraId="5035A8A2">
            <w:pPr>
              <w:spacing w:before="156"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39013BF0">
            <w:pPr>
              <w:rPr>
                <w:rFonts w:ascii="Arial"/>
                <w:color w:val="auto"/>
                <w:sz w:val="21"/>
                <w:highlight w:val="none"/>
              </w:rPr>
            </w:pPr>
          </w:p>
        </w:tc>
        <w:tc>
          <w:tcPr>
            <w:tcW w:w="1099" w:type="dxa"/>
            <w:vAlign w:val="top"/>
          </w:tcPr>
          <w:p w14:paraId="56205C65">
            <w:pPr>
              <w:rPr>
                <w:rFonts w:ascii="Arial"/>
                <w:color w:val="auto"/>
                <w:sz w:val="21"/>
                <w:highlight w:val="none"/>
              </w:rPr>
            </w:pPr>
          </w:p>
        </w:tc>
        <w:tc>
          <w:tcPr>
            <w:tcW w:w="1060" w:type="dxa"/>
            <w:vAlign w:val="top"/>
          </w:tcPr>
          <w:p w14:paraId="3343294B">
            <w:pPr>
              <w:rPr>
                <w:rFonts w:ascii="Arial"/>
                <w:color w:val="auto"/>
                <w:sz w:val="21"/>
                <w:highlight w:val="none"/>
              </w:rPr>
            </w:pPr>
          </w:p>
        </w:tc>
        <w:tc>
          <w:tcPr>
            <w:tcW w:w="1166" w:type="dxa"/>
            <w:vAlign w:val="top"/>
          </w:tcPr>
          <w:p w14:paraId="6649F0C7">
            <w:pPr>
              <w:rPr>
                <w:rFonts w:ascii="Arial"/>
                <w:color w:val="auto"/>
                <w:sz w:val="21"/>
                <w:highlight w:val="none"/>
              </w:rPr>
            </w:pPr>
          </w:p>
        </w:tc>
        <w:tc>
          <w:tcPr>
            <w:tcW w:w="969" w:type="dxa"/>
            <w:vAlign w:val="top"/>
          </w:tcPr>
          <w:p w14:paraId="0345B61F">
            <w:pPr>
              <w:rPr>
                <w:rFonts w:ascii="Arial"/>
                <w:color w:val="auto"/>
                <w:sz w:val="21"/>
                <w:highlight w:val="none"/>
              </w:rPr>
            </w:pPr>
          </w:p>
        </w:tc>
      </w:tr>
      <w:tr w14:paraId="66BB5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71E43D21">
            <w:pPr>
              <w:rPr>
                <w:rFonts w:ascii="Arial"/>
                <w:color w:val="auto"/>
                <w:sz w:val="21"/>
                <w:highlight w:val="none"/>
              </w:rPr>
            </w:pPr>
          </w:p>
        </w:tc>
        <w:tc>
          <w:tcPr>
            <w:tcW w:w="1703" w:type="dxa"/>
            <w:vMerge w:val="continue"/>
            <w:tcBorders>
              <w:top w:val="nil"/>
              <w:bottom w:val="nil"/>
            </w:tcBorders>
            <w:vAlign w:val="top"/>
          </w:tcPr>
          <w:p w14:paraId="681D75DB">
            <w:pPr>
              <w:rPr>
                <w:rFonts w:ascii="Arial"/>
                <w:color w:val="auto"/>
                <w:sz w:val="21"/>
                <w:highlight w:val="none"/>
              </w:rPr>
            </w:pPr>
          </w:p>
        </w:tc>
        <w:tc>
          <w:tcPr>
            <w:tcW w:w="826" w:type="dxa"/>
            <w:vAlign w:val="top"/>
          </w:tcPr>
          <w:p w14:paraId="02C9EE64">
            <w:pPr>
              <w:spacing w:before="151"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7CF1C752">
            <w:pPr>
              <w:rPr>
                <w:rFonts w:ascii="Arial"/>
                <w:color w:val="auto"/>
                <w:sz w:val="21"/>
                <w:highlight w:val="none"/>
              </w:rPr>
            </w:pPr>
          </w:p>
        </w:tc>
        <w:tc>
          <w:tcPr>
            <w:tcW w:w="1099" w:type="dxa"/>
            <w:vAlign w:val="top"/>
          </w:tcPr>
          <w:p w14:paraId="1FA091A7">
            <w:pPr>
              <w:rPr>
                <w:rFonts w:ascii="Arial"/>
                <w:color w:val="auto"/>
                <w:sz w:val="21"/>
                <w:highlight w:val="none"/>
              </w:rPr>
            </w:pPr>
          </w:p>
        </w:tc>
        <w:tc>
          <w:tcPr>
            <w:tcW w:w="1060" w:type="dxa"/>
            <w:vAlign w:val="top"/>
          </w:tcPr>
          <w:p w14:paraId="74884E34">
            <w:pPr>
              <w:rPr>
                <w:rFonts w:ascii="Arial"/>
                <w:color w:val="auto"/>
                <w:sz w:val="21"/>
                <w:highlight w:val="none"/>
              </w:rPr>
            </w:pPr>
          </w:p>
        </w:tc>
        <w:tc>
          <w:tcPr>
            <w:tcW w:w="1166" w:type="dxa"/>
            <w:vAlign w:val="top"/>
          </w:tcPr>
          <w:p w14:paraId="55CB4F56">
            <w:pPr>
              <w:rPr>
                <w:rFonts w:ascii="Arial"/>
                <w:color w:val="auto"/>
                <w:sz w:val="21"/>
                <w:highlight w:val="none"/>
              </w:rPr>
            </w:pPr>
          </w:p>
        </w:tc>
        <w:tc>
          <w:tcPr>
            <w:tcW w:w="969" w:type="dxa"/>
            <w:vAlign w:val="top"/>
          </w:tcPr>
          <w:p w14:paraId="262D6F10">
            <w:pPr>
              <w:rPr>
                <w:rFonts w:ascii="Arial"/>
                <w:color w:val="auto"/>
                <w:sz w:val="21"/>
                <w:highlight w:val="none"/>
              </w:rPr>
            </w:pPr>
          </w:p>
        </w:tc>
      </w:tr>
      <w:tr w14:paraId="57585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3BF2E27C">
            <w:pPr>
              <w:rPr>
                <w:rFonts w:ascii="Arial"/>
                <w:color w:val="auto"/>
                <w:sz w:val="21"/>
                <w:highlight w:val="none"/>
              </w:rPr>
            </w:pPr>
          </w:p>
        </w:tc>
        <w:tc>
          <w:tcPr>
            <w:tcW w:w="1703" w:type="dxa"/>
            <w:vMerge w:val="continue"/>
            <w:tcBorders>
              <w:top w:val="nil"/>
            </w:tcBorders>
            <w:vAlign w:val="top"/>
          </w:tcPr>
          <w:p w14:paraId="525D2D75">
            <w:pPr>
              <w:rPr>
                <w:rFonts w:ascii="Arial"/>
                <w:color w:val="auto"/>
                <w:sz w:val="21"/>
                <w:highlight w:val="none"/>
              </w:rPr>
            </w:pPr>
          </w:p>
        </w:tc>
        <w:tc>
          <w:tcPr>
            <w:tcW w:w="826" w:type="dxa"/>
            <w:vAlign w:val="top"/>
          </w:tcPr>
          <w:p w14:paraId="4BFEA7DC">
            <w:pPr>
              <w:spacing w:before="155"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41419F29">
            <w:pPr>
              <w:rPr>
                <w:rFonts w:ascii="Arial"/>
                <w:color w:val="auto"/>
                <w:sz w:val="21"/>
                <w:highlight w:val="none"/>
              </w:rPr>
            </w:pPr>
          </w:p>
        </w:tc>
        <w:tc>
          <w:tcPr>
            <w:tcW w:w="1099" w:type="dxa"/>
            <w:vAlign w:val="top"/>
          </w:tcPr>
          <w:p w14:paraId="7F47108E">
            <w:pPr>
              <w:rPr>
                <w:rFonts w:ascii="Arial"/>
                <w:color w:val="auto"/>
                <w:sz w:val="21"/>
                <w:highlight w:val="none"/>
              </w:rPr>
            </w:pPr>
          </w:p>
        </w:tc>
        <w:tc>
          <w:tcPr>
            <w:tcW w:w="1060" w:type="dxa"/>
            <w:vAlign w:val="top"/>
          </w:tcPr>
          <w:p w14:paraId="2D951D6B">
            <w:pPr>
              <w:rPr>
                <w:rFonts w:ascii="Arial"/>
                <w:color w:val="auto"/>
                <w:sz w:val="21"/>
                <w:highlight w:val="none"/>
              </w:rPr>
            </w:pPr>
          </w:p>
        </w:tc>
        <w:tc>
          <w:tcPr>
            <w:tcW w:w="1166" w:type="dxa"/>
            <w:vAlign w:val="top"/>
          </w:tcPr>
          <w:p w14:paraId="1B5901B0">
            <w:pPr>
              <w:rPr>
                <w:rFonts w:ascii="Arial"/>
                <w:color w:val="auto"/>
                <w:sz w:val="21"/>
                <w:highlight w:val="none"/>
              </w:rPr>
            </w:pPr>
          </w:p>
        </w:tc>
        <w:tc>
          <w:tcPr>
            <w:tcW w:w="969" w:type="dxa"/>
            <w:vAlign w:val="top"/>
          </w:tcPr>
          <w:p w14:paraId="6555C0BC">
            <w:pPr>
              <w:rPr>
                <w:rFonts w:ascii="Arial"/>
                <w:color w:val="auto"/>
                <w:sz w:val="21"/>
                <w:highlight w:val="none"/>
              </w:rPr>
            </w:pPr>
          </w:p>
        </w:tc>
      </w:tr>
      <w:tr w14:paraId="00672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1F5E4AA">
            <w:pPr>
              <w:rPr>
                <w:rFonts w:ascii="Arial"/>
                <w:color w:val="auto"/>
                <w:sz w:val="21"/>
                <w:highlight w:val="none"/>
              </w:rPr>
            </w:pPr>
          </w:p>
        </w:tc>
        <w:tc>
          <w:tcPr>
            <w:tcW w:w="1703" w:type="dxa"/>
            <w:vMerge w:val="restart"/>
            <w:tcBorders>
              <w:bottom w:val="nil"/>
            </w:tcBorders>
            <w:vAlign w:val="top"/>
          </w:tcPr>
          <w:p w14:paraId="1AA289E6">
            <w:pPr>
              <w:rPr>
                <w:rFonts w:ascii="Arial"/>
                <w:color w:val="auto"/>
                <w:sz w:val="21"/>
                <w:highlight w:val="none"/>
              </w:rPr>
            </w:pPr>
          </w:p>
        </w:tc>
        <w:tc>
          <w:tcPr>
            <w:tcW w:w="826" w:type="dxa"/>
            <w:vAlign w:val="top"/>
          </w:tcPr>
          <w:p w14:paraId="433AB3B0">
            <w:pPr>
              <w:spacing w:before="157"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7BE0CEA0">
            <w:pPr>
              <w:rPr>
                <w:rFonts w:ascii="Arial"/>
                <w:color w:val="auto"/>
                <w:sz w:val="21"/>
                <w:highlight w:val="none"/>
              </w:rPr>
            </w:pPr>
          </w:p>
        </w:tc>
        <w:tc>
          <w:tcPr>
            <w:tcW w:w="1099" w:type="dxa"/>
            <w:vAlign w:val="top"/>
          </w:tcPr>
          <w:p w14:paraId="15E31FD4">
            <w:pPr>
              <w:rPr>
                <w:rFonts w:ascii="Arial"/>
                <w:color w:val="auto"/>
                <w:sz w:val="21"/>
                <w:highlight w:val="none"/>
              </w:rPr>
            </w:pPr>
          </w:p>
        </w:tc>
        <w:tc>
          <w:tcPr>
            <w:tcW w:w="1060" w:type="dxa"/>
            <w:vAlign w:val="top"/>
          </w:tcPr>
          <w:p w14:paraId="584DDD4A">
            <w:pPr>
              <w:rPr>
                <w:rFonts w:ascii="Arial"/>
                <w:color w:val="auto"/>
                <w:sz w:val="21"/>
                <w:highlight w:val="none"/>
              </w:rPr>
            </w:pPr>
          </w:p>
        </w:tc>
        <w:tc>
          <w:tcPr>
            <w:tcW w:w="1166" w:type="dxa"/>
            <w:vAlign w:val="top"/>
          </w:tcPr>
          <w:p w14:paraId="4173ECA6">
            <w:pPr>
              <w:rPr>
                <w:rFonts w:ascii="Arial"/>
                <w:color w:val="auto"/>
                <w:sz w:val="21"/>
                <w:highlight w:val="none"/>
              </w:rPr>
            </w:pPr>
          </w:p>
        </w:tc>
        <w:tc>
          <w:tcPr>
            <w:tcW w:w="969" w:type="dxa"/>
            <w:vAlign w:val="top"/>
          </w:tcPr>
          <w:p w14:paraId="724B4C6D">
            <w:pPr>
              <w:rPr>
                <w:rFonts w:ascii="Arial"/>
                <w:color w:val="auto"/>
                <w:sz w:val="21"/>
                <w:highlight w:val="none"/>
              </w:rPr>
            </w:pPr>
          </w:p>
        </w:tc>
      </w:tr>
      <w:tr w14:paraId="0974B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4526DB6">
            <w:pPr>
              <w:rPr>
                <w:rFonts w:ascii="Arial"/>
                <w:color w:val="auto"/>
                <w:sz w:val="21"/>
                <w:highlight w:val="none"/>
              </w:rPr>
            </w:pPr>
          </w:p>
        </w:tc>
        <w:tc>
          <w:tcPr>
            <w:tcW w:w="1703" w:type="dxa"/>
            <w:vMerge w:val="continue"/>
            <w:tcBorders>
              <w:top w:val="nil"/>
              <w:bottom w:val="nil"/>
            </w:tcBorders>
            <w:vAlign w:val="top"/>
          </w:tcPr>
          <w:p w14:paraId="40FD7024">
            <w:pPr>
              <w:rPr>
                <w:rFonts w:ascii="Arial"/>
                <w:color w:val="auto"/>
                <w:sz w:val="21"/>
                <w:highlight w:val="none"/>
              </w:rPr>
            </w:pPr>
          </w:p>
        </w:tc>
        <w:tc>
          <w:tcPr>
            <w:tcW w:w="826" w:type="dxa"/>
            <w:vAlign w:val="top"/>
          </w:tcPr>
          <w:p w14:paraId="68A0C40C">
            <w:pPr>
              <w:spacing w:before="152"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40E7C137">
            <w:pPr>
              <w:rPr>
                <w:rFonts w:ascii="Arial"/>
                <w:color w:val="auto"/>
                <w:sz w:val="21"/>
                <w:highlight w:val="none"/>
              </w:rPr>
            </w:pPr>
          </w:p>
        </w:tc>
        <w:tc>
          <w:tcPr>
            <w:tcW w:w="1099" w:type="dxa"/>
            <w:vAlign w:val="top"/>
          </w:tcPr>
          <w:p w14:paraId="45E7094C">
            <w:pPr>
              <w:rPr>
                <w:rFonts w:ascii="Arial"/>
                <w:color w:val="auto"/>
                <w:sz w:val="21"/>
                <w:highlight w:val="none"/>
              </w:rPr>
            </w:pPr>
          </w:p>
        </w:tc>
        <w:tc>
          <w:tcPr>
            <w:tcW w:w="1060" w:type="dxa"/>
            <w:vAlign w:val="top"/>
          </w:tcPr>
          <w:p w14:paraId="71CB3232">
            <w:pPr>
              <w:rPr>
                <w:rFonts w:ascii="Arial"/>
                <w:color w:val="auto"/>
                <w:sz w:val="21"/>
                <w:highlight w:val="none"/>
              </w:rPr>
            </w:pPr>
          </w:p>
        </w:tc>
        <w:tc>
          <w:tcPr>
            <w:tcW w:w="1166" w:type="dxa"/>
            <w:vAlign w:val="top"/>
          </w:tcPr>
          <w:p w14:paraId="74A4E0B9">
            <w:pPr>
              <w:rPr>
                <w:rFonts w:ascii="Arial"/>
                <w:color w:val="auto"/>
                <w:sz w:val="21"/>
                <w:highlight w:val="none"/>
              </w:rPr>
            </w:pPr>
          </w:p>
        </w:tc>
        <w:tc>
          <w:tcPr>
            <w:tcW w:w="969" w:type="dxa"/>
            <w:vAlign w:val="top"/>
          </w:tcPr>
          <w:p w14:paraId="5CF9DE2F">
            <w:pPr>
              <w:rPr>
                <w:rFonts w:ascii="Arial"/>
                <w:color w:val="auto"/>
                <w:sz w:val="21"/>
                <w:highlight w:val="none"/>
              </w:rPr>
            </w:pPr>
          </w:p>
        </w:tc>
      </w:tr>
      <w:tr w14:paraId="61902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14:paraId="111195F3">
            <w:pPr>
              <w:rPr>
                <w:rFonts w:ascii="Arial"/>
                <w:color w:val="auto"/>
                <w:sz w:val="21"/>
                <w:highlight w:val="none"/>
              </w:rPr>
            </w:pPr>
          </w:p>
        </w:tc>
        <w:tc>
          <w:tcPr>
            <w:tcW w:w="1703" w:type="dxa"/>
            <w:vMerge w:val="continue"/>
            <w:tcBorders>
              <w:top w:val="nil"/>
            </w:tcBorders>
            <w:vAlign w:val="top"/>
          </w:tcPr>
          <w:p w14:paraId="6951D8F3">
            <w:pPr>
              <w:rPr>
                <w:rFonts w:ascii="Arial"/>
                <w:color w:val="auto"/>
                <w:sz w:val="21"/>
                <w:highlight w:val="none"/>
              </w:rPr>
            </w:pPr>
          </w:p>
        </w:tc>
        <w:tc>
          <w:tcPr>
            <w:tcW w:w="826" w:type="dxa"/>
            <w:vAlign w:val="top"/>
          </w:tcPr>
          <w:p w14:paraId="20EB88D5">
            <w:pPr>
              <w:spacing w:before="157"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4BCAAA7A">
            <w:pPr>
              <w:rPr>
                <w:rFonts w:ascii="Arial"/>
                <w:color w:val="auto"/>
                <w:sz w:val="21"/>
                <w:highlight w:val="none"/>
              </w:rPr>
            </w:pPr>
          </w:p>
        </w:tc>
        <w:tc>
          <w:tcPr>
            <w:tcW w:w="1099" w:type="dxa"/>
            <w:vAlign w:val="top"/>
          </w:tcPr>
          <w:p w14:paraId="1B96A33D">
            <w:pPr>
              <w:rPr>
                <w:rFonts w:ascii="Arial"/>
                <w:color w:val="auto"/>
                <w:sz w:val="21"/>
                <w:highlight w:val="none"/>
              </w:rPr>
            </w:pPr>
          </w:p>
        </w:tc>
        <w:tc>
          <w:tcPr>
            <w:tcW w:w="1060" w:type="dxa"/>
            <w:vAlign w:val="top"/>
          </w:tcPr>
          <w:p w14:paraId="321465F9">
            <w:pPr>
              <w:rPr>
                <w:rFonts w:ascii="Arial"/>
                <w:color w:val="auto"/>
                <w:sz w:val="21"/>
                <w:highlight w:val="none"/>
              </w:rPr>
            </w:pPr>
          </w:p>
        </w:tc>
        <w:tc>
          <w:tcPr>
            <w:tcW w:w="1166" w:type="dxa"/>
            <w:vAlign w:val="top"/>
          </w:tcPr>
          <w:p w14:paraId="33B7DFCB">
            <w:pPr>
              <w:rPr>
                <w:rFonts w:ascii="Arial"/>
                <w:color w:val="auto"/>
                <w:sz w:val="21"/>
                <w:highlight w:val="none"/>
              </w:rPr>
            </w:pPr>
          </w:p>
        </w:tc>
        <w:tc>
          <w:tcPr>
            <w:tcW w:w="969" w:type="dxa"/>
            <w:vAlign w:val="top"/>
          </w:tcPr>
          <w:p w14:paraId="3CB05A9C">
            <w:pPr>
              <w:rPr>
                <w:rFonts w:ascii="Arial"/>
                <w:color w:val="auto"/>
                <w:sz w:val="21"/>
                <w:highlight w:val="none"/>
              </w:rPr>
            </w:pPr>
          </w:p>
        </w:tc>
      </w:tr>
      <w:tr w14:paraId="6D01A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1591BF8B">
            <w:pPr>
              <w:rPr>
                <w:rFonts w:ascii="Arial"/>
                <w:color w:val="auto"/>
                <w:sz w:val="21"/>
                <w:highlight w:val="none"/>
              </w:rPr>
            </w:pPr>
          </w:p>
        </w:tc>
        <w:tc>
          <w:tcPr>
            <w:tcW w:w="1703" w:type="dxa"/>
            <w:vMerge w:val="restart"/>
            <w:tcBorders>
              <w:bottom w:val="nil"/>
            </w:tcBorders>
            <w:vAlign w:val="top"/>
          </w:tcPr>
          <w:p w14:paraId="5060C2A3">
            <w:pPr>
              <w:rPr>
                <w:rFonts w:ascii="Arial"/>
                <w:color w:val="auto"/>
                <w:sz w:val="21"/>
                <w:highlight w:val="none"/>
              </w:rPr>
            </w:pPr>
          </w:p>
        </w:tc>
        <w:tc>
          <w:tcPr>
            <w:tcW w:w="826" w:type="dxa"/>
            <w:vAlign w:val="top"/>
          </w:tcPr>
          <w:p w14:paraId="68689281">
            <w:pPr>
              <w:spacing w:before="158"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5048287E">
            <w:pPr>
              <w:rPr>
                <w:rFonts w:ascii="Arial"/>
                <w:color w:val="auto"/>
                <w:sz w:val="21"/>
                <w:highlight w:val="none"/>
              </w:rPr>
            </w:pPr>
          </w:p>
        </w:tc>
        <w:tc>
          <w:tcPr>
            <w:tcW w:w="1099" w:type="dxa"/>
            <w:vAlign w:val="top"/>
          </w:tcPr>
          <w:p w14:paraId="425003FF">
            <w:pPr>
              <w:rPr>
                <w:rFonts w:ascii="Arial"/>
                <w:color w:val="auto"/>
                <w:sz w:val="21"/>
                <w:highlight w:val="none"/>
              </w:rPr>
            </w:pPr>
          </w:p>
        </w:tc>
        <w:tc>
          <w:tcPr>
            <w:tcW w:w="1060" w:type="dxa"/>
            <w:vAlign w:val="top"/>
          </w:tcPr>
          <w:p w14:paraId="10252A0F">
            <w:pPr>
              <w:rPr>
                <w:rFonts w:ascii="Arial"/>
                <w:color w:val="auto"/>
                <w:sz w:val="21"/>
                <w:highlight w:val="none"/>
              </w:rPr>
            </w:pPr>
          </w:p>
        </w:tc>
        <w:tc>
          <w:tcPr>
            <w:tcW w:w="1166" w:type="dxa"/>
            <w:vAlign w:val="top"/>
          </w:tcPr>
          <w:p w14:paraId="5BE0DF7C">
            <w:pPr>
              <w:rPr>
                <w:rFonts w:ascii="Arial"/>
                <w:color w:val="auto"/>
                <w:sz w:val="21"/>
                <w:highlight w:val="none"/>
              </w:rPr>
            </w:pPr>
          </w:p>
        </w:tc>
        <w:tc>
          <w:tcPr>
            <w:tcW w:w="969" w:type="dxa"/>
            <w:vAlign w:val="top"/>
          </w:tcPr>
          <w:p w14:paraId="7434B814">
            <w:pPr>
              <w:rPr>
                <w:rFonts w:ascii="Arial"/>
                <w:color w:val="auto"/>
                <w:sz w:val="21"/>
                <w:highlight w:val="none"/>
              </w:rPr>
            </w:pPr>
          </w:p>
        </w:tc>
      </w:tr>
      <w:tr w14:paraId="084E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14:paraId="663A0342">
            <w:pPr>
              <w:rPr>
                <w:rFonts w:ascii="Arial"/>
                <w:color w:val="auto"/>
                <w:sz w:val="21"/>
                <w:highlight w:val="none"/>
              </w:rPr>
            </w:pPr>
          </w:p>
        </w:tc>
        <w:tc>
          <w:tcPr>
            <w:tcW w:w="1703" w:type="dxa"/>
            <w:vMerge w:val="continue"/>
            <w:tcBorders>
              <w:top w:val="nil"/>
              <w:bottom w:val="nil"/>
            </w:tcBorders>
            <w:vAlign w:val="top"/>
          </w:tcPr>
          <w:p w14:paraId="2D95FFD2">
            <w:pPr>
              <w:rPr>
                <w:rFonts w:ascii="Arial"/>
                <w:color w:val="auto"/>
                <w:sz w:val="21"/>
                <w:highlight w:val="none"/>
              </w:rPr>
            </w:pPr>
          </w:p>
        </w:tc>
        <w:tc>
          <w:tcPr>
            <w:tcW w:w="826" w:type="dxa"/>
            <w:vAlign w:val="top"/>
          </w:tcPr>
          <w:p w14:paraId="29404A57">
            <w:pPr>
              <w:spacing w:before="152"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6599D5D3">
            <w:pPr>
              <w:rPr>
                <w:rFonts w:ascii="Arial"/>
                <w:color w:val="auto"/>
                <w:sz w:val="21"/>
                <w:highlight w:val="none"/>
              </w:rPr>
            </w:pPr>
          </w:p>
        </w:tc>
        <w:tc>
          <w:tcPr>
            <w:tcW w:w="1099" w:type="dxa"/>
            <w:vAlign w:val="top"/>
          </w:tcPr>
          <w:p w14:paraId="2D405F56">
            <w:pPr>
              <w:rPr>
                <w:rFonts w:ascii="Arial"/>
                <w:color w:val="auto"/>
                <w:sz w:val="21"/>
                <w:highlight w:val="none"/>
              </w:rPr>
            </w:pPr>
          </w:p>
        </w:tc>
        <w:tc>
          <w:tcPr>
            <w:tcW w:w="1060" w:type="dxa"/>
            <w:vAlign w:val="top"/>
          </w:tcPr>
          <w:p w14:paraId="288C522D">
            <w:pPr>
              <w:rPr>
                <w:rFonts w:ascii="Arial"/>
                <w:color w:val="auto"/>
                <w:sz w:val="21"/>
                <w:highlight w:val="none"/>
              </w:rPr>
            </w:pPr>
          </w:p>
        </w:tc>
        <w:tc>
          <w:tcPr>
            <w:tcW w:w="1166" w:type="dxa"/>
            <w:vAlign w:val="top"/>
          </w:tcPr>
          <w:p w14:paraId="65339533">
            <w:pPr>
              <w:rPr>
                <w:rFonts w:ascii="Arial"/>
                <w:color w:val="auto"/>
                <w:sz w:val="21"/>
                <w:highlight w:val="none"/>
              </w:rPr>
            </w:pPr>
          </w:p>
        </w:tc>
        <w:tc>
          <w:tcPr>
            <w:tcW w:w="969" w:type="dxa"/>
            <w:vAlign w:val="top"/>
          </w:tcPr>
          <w:p w14:paraId="1DD44C14">
            <w:pPr>
              <w:rPr>
                <w:rFonts w:ascii="Arial"/>
                <w:color w:val="auto"/>
                <w:sz w:val="21"/>
                <w:highlight w:val="none"/>
              </w:rPr>
            </w:pPr>
          </w:p>
        </w:tc>
      </w:tr>
      <w:tr w14:paraId="455BB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0CAAAC26">
            <w:pPr>
              <w:rPr>
                <w:rFonts w:ascii="Arial"/>
                <w:color w:val="auto"/>
                <w:sz w:val="21"/>
                <w:highlight w:val="none"/>
              </w:rPr>
            </w:pPr>
          </w:p>
        </w:tc>
        <w:tc>
          <w:tcPr>
            <w:tcW w:w="1703" w:type="dxa"/>
            <w:vMerge w:val="continue"/>
            <w:tcBorders>
              <w:top w:val="nil"/>
            </w:tcBorders>
            <w:vAlign w:val="top"/>
          </w:tcPr>
          <w:p w14:paraId="380F4941">
            <w:pPr>
              <w:rPr>
                <w:rFonts w:ascii="Arial"/>
                <w:color w:val="auto"/>
                <w:sz w:val="21"/>
                <w:highlight w:val="none"/>
              </w:rPr>
            </w:pPr>
          </w:p>
        </w:tc>
        <w:tc>
          <w:tcPr>
            <w:tcW w:w="826" w:type="dxa"/>
            <w:vAlign w:val="top"/>
          </w:tcPr>
          <w:p w14:paraId="63FA4FB0">
            <w:pPr>
              <w:spacing w:before="158"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2577A5A7">
            <w:pPr>
              <w:rPr>
                <w:rFonts w:ascii="Arial"/>
                <w:color w:val="auto"/>
                <w:sz w:val="21"/>
                <w:highlight w:val="none"/>
              </w:rPr>
            </w:pPr>
          </w:p>
        </w:tc>
        <w:tc>
          <w:tcPr>
            <w:tcW w:w="1099" w:type="dxa"/>
            <w:vAlign w:val="top"/>
          </w:tcPr>
          <w:p w14:paraId="6E28373A">
            <w:pPr>
              <w:rPr>
                <w:rFonts w:ascii="Arial"/>
                <w:color w:val="auto"/>
                <w:sz w:val="21"/>
                <w:highlight w:val="none"/>
              </w:rPr>
            </w:pPr>
          </w:p>
        </w:tc>
        <w:tc>
          <w:tcPr>
            <w:tcW w:w="1060" w:type="dxa"/>
            <w:vAlign w:val="top"/>
          </w:tcPr>
          <w:p w14:paraId="63BA8720">
            <w:pPr>
              <w:rPr>
                <w:rFonts w:ascii="Arial"/>
                <w:color w:val="auto"/>
                <w:sz w:val="21"/>
                <w:highlight w:val="none"/>
              </w:rPr>
            </w:pPr>
          </w:p>
        </w:tc>
        <w:tc>
          <w:tcPr>
            <w:tcW w:w="1166" w:type="dxa"/>
            <w:vAlign w:val="top"/>
          </w:tcPr>
          <w:p w14:paraId="49D83EBF">
            <w:pPr>
              <w:rPr>
                <w:rFonts w:ascii="Arial"/>
                <w:color w:val="auto"/>
                <w:sz w:val="21"/>
                <w:highlight w:val="none"/>
              </w:rPr>
            </w:pPr>
          </w:p>
        </w:tc>
        <w:tc>
          <w:tcPr>
            <w:tcW w:w="969" w:type="dxa"/>
            <w:vAlign w:val="top"/>
          </w:tcPr>
          <w:p w14:paraId="30BE9620">
            <w:pPr>
              <w:rPr>
                <w:rFonts w:ascii="Arial"/>
                <w:color w:val="auto"/>
                <w:sz w:val="21"/>
                <w:highlight w:val="none"/>
              </w:rPr>
            </w:pPr>
          </w:p>
        </w:tc>
      </w:tr>
      <w:tr w14:paraId="4210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64AEB566">
            <w:pPr>
              <w:rPr>
                <w:rFonts w:ascii="Arial"/>
                <w:color w:val="auto"/>
                <w:sz w:val="21"/>
                <w:highlight w:val="none"/>
              </w:rPr>
            </w:pPr>
          </w:p>
        </w:tc>
        <w:tc>
          <w:tcPr>
            <w:tcW w:w="1703" w:type="dxa"/>
            <w:vMerge w:val="restart"/>
            <w:tcBorders>
              <w:bottom w:val="nil"/>
            </w:tcBorders>
            <w:vAlign w:val="top"/>
          </w:tcPr>
          <w:p w14:paraId="52BF65B3">
            <w:pPr>
              <w:rPr>
                <w:rFonts w:ascii="Arial"/>
                <w:color w:val="auto"/>
                <w:sz w:val="21"/>
                <w:highlight w:val="none"/>
              </w:rPr>
            </w:pPr>
          </w:p>
        </w:tc>
        <w:tc>
          <w:tcPr>
            <w:tcW w:w="826" w:type="dxa"/>
            <w:vAlign w:val="top"/>
          </w:tcPr>
          <w:p w14:paraId="2EDB5E87">
            <w:pPr>
              <w:spacing w:before="160"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1A4E586E">
            <w:pPr>
              <w:rPr>
                <w:rFonts w:ascii="Arial"/>
                <w:color w:val="auto"/>
                <w:sz w:val="21"/>
                <w:highlight w:val="none"/>
              </w:rPr>
            </w:pPr>
          </w:p>
        </w:tc>
        <w:tc>
          <w:tcPr>
            <w:tcW w:w="1099" w:type="dxa"/>
            <w:vAlign w:val="top"/>
          </w:tcPr>
          <w:p w14:paraId="7B6262EA">
            <w:pPr>
              <w:rPr>
                <w:rFonts w:ascii="Arial"/>
                <w:color w:val="auto"/>
                <w:sz w:val="21"/>
                <w:highlight w:val="none"/>
              </w:rPr>
            </w:pPr>
          </w:p>
        </w:tc>
        <w:tc>
          <w:tcPr>
            <w:tcW w:w="1060" w:type="dxa"/>
            <w:vAlign w:val="top"/>
          </w:tcPr>
          <w:p w14:paraId="61474C91">
            <w:pPr>
              <w:rPr>
                <w:rFonts w:ascii="Arial"/>
                <w:color w:val="auto"/>
                <w:sz w:val="21"/>
                <w:highlight w:val="none"/>
              </w:rPr>
            </w:pPr>
          </w:p>
        </w:tc>
        <w:tc>
          <w:tcPr>
            <w:tcW w:w="1166" w:type="dxa"/>
            <w:vAlign w:val="top"/>
          </w:tcPr>
          <w:p w14:paraId="4FB80DCE">
            <w:pPr>
              <w:rPr>
                <w:rFonts w:ascii="Arial"/>
                <w:color w:val="auto"/>
                <w:sz w:val="21"/>
                <w:highlight w:val="none"/>
              </w:rPr>
            </w:pPr>
          </w:p>
        </w:tc>
        <w:tc>
          <w:tcPr>
            <w:tcW w:w="969" w:type="dxa"/>
            <w:vAlign w:val="top"/>
          </w:tcPr>
          <w:p w14:paraId="67A8548C">
            <w:pPr>
              <w:rPr>
                <w:rFonts w:ascii="Arial"/>
                <w:color w:val="auto"/>
                <w:sz w:val="21"/>
                <w:highlight w:val="none"/>
              </w:rPr>
            </w:pPr>
          </w:p>
        </w:tc>
      </w:tr>
      <w:tr w14:paraId="1DC56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E8050FC">
            <w:pPr>
              <w:rPr>
                <w:rFonts w:ascii="Arial"/>
                <w:color w:val="auto"/>
                <w:sz w:val="21"/>
                <w:highlight w:val="none"/>
              </w:rPr>
            </w:pPr>
          </w:p>
        </w:tc>
        <w:tc>
          <w:tcPr>
            <w:tcW w:w="1703" w:type="dxa"/>
            <w:vMerge w:val="continue"/>
            <w:tcBorders>
              <w:top w:val="nil"/>
              <w:bottom w:val="nil"/>
            </w:tcBorders>
            <w:vAlign w:val="top"/>
          </w:tcPr>
          <w:p w14:paraId="4C8EEAB5">
            <w:pPr>
              <w:rPr>
                <w:rFonts w:ascii="Arial"/>
                <w:color w:val="auto"/>
                <w:sz w:val="21"/>
                <w:highlight w:val="none"/>
              </w:rPr>
            </w:pPr>
          </w:p>
        </w:tc>
        <w:tc>
          <w:tcPr>
            <w:tcW w:w="826" w:type="dxa"/>
            <w:vAlign w:val="top"/>
          </w:tcPr>
          <w:p w14:paraId="5F3C0890">
            <w:pPr>
              <w:spacing w:before="154"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06DB5DF1">
            <w:pPr>
              <w:rPr>
                <w:rFonts w:ascii="Arial"/>
                <w:color w:val="auto"/>
                <w:sz w:val="21"/>
                <w:highlight w:val="none"/>
              </w:rPr>
            </w:pPr>
          </w:p>
        </w:tc>
        <w:tc>
          <w:tcPr>
            <w:tcW w:w="1099" w:type="dxa"/>
            <w:vAlign w:val="top"/>
          </w:tcPr>
          <w:p w14:paraId="13F28562">
            <w:pPr>
              <w:rPr>
                <w:rFonts w:ascii="Arial"/>
                <w:color w:val="auto"/>
                <w:sz w:val="21"/>
                <w:highlight w:val="none"/>
              </w:rPr>
            </w:pPr>
          </w:p>
        </w:tc>
        <w:tc>
          <w:tcPr>
            <w:tcW w:w="1060" w:type="dxa"/>
            <w:vAlign w:val="top"/>
          </w:tcPr>
          <w:p w14:paraId="327F641C">
            <w:pPr>
              <w:rPr>
                <w:rFonts w:ascii="Arial"/>
                <w:color w:val="auto"/>
                <w:sz w:val="21"/>
                <w:highlight w:val="none"/>
              </w:rPr>
            </w:pPr>
          </w:p>
        </w:tc>
        <w:tc>
          <w:tcPr>
            <w:tcW w:w="1166" w:type="dxa"/>
            <w:vAlign w:val="top"/>
          </w:tcPr>
          <w:p w14:paraId="66E5EF00">
            <w:pPr>
              <w:rPr>
                <w:rFonts w:ascii="Arial"/>
                <w:color w:val="auto"/>
                <w:sz w:val="21"/>
                <w:highlight w:val="none"/>
              </w:rPr>
            </w:pPr>
          </w:p>
        </w:tc>
        <w:tc>
          <w:tcPr>
            <w:tcW w:w="969" w:type="dxa"/>
            <w:vAlign w:val="top"/>
          </w:tcPr>
          <w:p w14:paraId="45F70D8C">
            <w:pPr>
              <w:rPr>
                <w:rFonts w:ascii="Arial"/>
                <w:color w:val="auto"/>
                <w:sz w:val="21"/>
                <w:highlight w:val="none"/>
              </w:rPr>
            </w:pPr>
          </w:p>
        </w:tc>
      </w:tr>
      <w:tr w14:paraId="1F90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75154E02">
            <w:pPr>
              <w:rPr>
                <w:rFonts w:ascii="Arial"/>
                <w:color w:val="auto"/>
                <w:sz w:val="21"/>
                <w:highlight w:val="none"/>
              </w:rPr>
            </w:pPr>
          </w:p>
        </w:tc>
        <w:tc>
          <w:tcPr>
            <w:tcW w:w="1703" w:type="dxa"/>
            <w:vMerge w:val="continue"/>
            <w:tcBorders>
              <w:top w:val="nil"/>
            </w:tcBorders>
            <w:vAlign w:val="top"/>
          </w:tcPr>
          <w:p w14:paraId="2E58ECD1">
            <w:pPr>
              <w:rPr>
                <w:rFonts w:ascii="Arial"/>
                <w:color w:val="auto"/>
                <w:sz w:val="21"/>
                <w:highlight w:val="none"/>
              </w:rPr>
            </w:pPr>
          </w:p>
        </w:tc>
        <w:tc>
          <w:tcPr>
            <w:tcW w:w="826" w:type="dxa"/>
            <w:vAlign w:val="top"/>
          </w:tcPr>
          <w:p w14:paraId="7A0D289B">
            <w:pPr>
              <w:spacing w:before="158"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71696AB2">
            <w:pPr>
              <w:rPr>
                <w:rFonts w:ascii="Arial"/>
                <w:color w:val="auto"/>
                <w:sz w:val="21"/>
                <w:highlight w:val="none"/>
              </w:rPr>
            </w:pPr>
          </w:p>
        </w:tc>
        <w:tc>
          <w:tcPr>
            <w:tcW w:w="1099" w:type="dxa"/>
            <w:vAlign w:val="top"/>
          </w:tcPr>
          <w:p w14:paraId="4B973F5F">
            <w:pPr>
              <w:rPr>
                <w:rFonts w:ascii="Arial"/>
                <w:color w:val="auto"/>
                <w:sz w:val="21"/>
                <w:highlight w:val="none"/>
              </w:rPr>
            </w:pPr>
          </w:p>
        </w:tc>
        <w:tc>
          <w:tcPr>
            <w:tcW w:w="1060" w:type="dxa"/>
            <w:vAlign w:val="top"/>
          </w:tcPr>
          <w:p w14:paraId="4E0A1552">
            <w:pPr>
              <w:rPr>
                <w:rFonts w:ascii="Arial"/>
                <w:color w:val="auto"/>
                <w:sz w:val="21"/>
                <w:highlight w:val="none"/>
              </w:rPr>
            </w:pPr>
          </w:p>
        </w:tc>
        <w:tc>
          <w:tcPr>
            <w:tcW w:w="1166" w:type="dxa"/>
            <w:vAlign w:val="top"/>
          </w:tcPr>
          <w:p w14:paraId="3E54D2D5">
            <w:pPr>
              <w:rPr>
                <w:rFonts w:ascii="Arial"/>
                <w:color w:val="auto"/>
                <w:sz w:val="21"/>
                <w:highlight w:val="none"/>
              </w:rPr>
            </w:pPr>
          </w:p>
        </w:tc>
        <w:tc>
          <w:tcPr>
            <w:tcW w:w="969" w:type="dxa"/>
            <w:vAlign w:val="top"/>
          </w:tcPr>
          <w:p w14:paraId="152EC5F4">
            <w:pPr>
              <w:rPr>
                <w:rFonts w:ascii="Arial"/>
                <w:color w:val="auto"/>
                <w:sz w:val="21"/>
                <w:highlight w:val="none"/>
              </w:rPr>
            </w:pPr>
          </w:p>
        </w:tc>
      </w:tr>
    </w:tbl>
    <w:p w14:paraId="3B4586AF">
      <w:pPr>
        <w:pStyle w:val="5"/>
        <w:spacing w:line="244" w:lineRule="auto"/>
        <w:rPr>
          <w:color w:val="auto"/>
          <w:highlight w:val="none"/>
        </w:rPr>
      </w:pPr>
    </w:p>
    <w:p w14:paraId="1C1365F9">
      <w:pPr>
        <w:pStyle w:val="5"/>
        <w:spacing w:line="244" w:lineRule="auto"/>
        <w:rPr>
          <w:color w:val="auto"/>
          <w:highlight w:val="none"/>
        </w:rPr>
      </w:pPr>
    </w:p>
    <w:p w14:paraId="6EF64CB6">
      <w:pPr>
        <w:pStyle w:val="5"/>
        <w:spacing w:line="244" w:lineRule="auto"/>
        <w:rPr>
          <w:color w:val="auto"/>
          <w:highlight w:val="none"/>
        </w:rPr>
      </w:pPr>
    </w:p>
    <w:p w14:paraId="128B9C17">
      <w:pPr>
        <w:pStyle w:val="5"/>
        <w:spacing w:line="245" w:lineRule="auto"/>
        <w:rPr>
          <w:color w:val="auto"/>
          <w:highlight w:val="none"/>
        </w:rPr>
      </w:pPr>
    </w:p>
    <w:p w14:paraId="18F57A4D">
      <w:pPr>
        <w:spacing w:before="69" w:line="221" w:lineRule="auto"/>
        <w:ind w:left="4587"/>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15"/>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74"/>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25"/>
          <w:sz w:val="21"/>
          <w:szCs w:val="21"/>
          <w:highlight w:val="none"/>
        </w:rPr>
        <w:t>日</w:t>
      </w:r>
    </w:p>
    <w:p w14:paraId="64C41191">
      <w:pPr>
        <w:pStyle w:val="5"/>
        <w:spacing w:line="277" w:lineRule="auto"/>
        <w:rPr>
          <w:color w:val="auto"/>
          <w:highlight w:val="none"/>
        </w:rPr>
      </w:pPr>
    </w:p>
    <w:p w14:paraId="16FE7FBA">
      <w:pPr>
        <w:pStyle w:val="5"/>
        <w:spacing w:line="278" w:lineRule="auto"/>
        <w:rPr>
          <w:color w:val="auto"/>
          <w:highlight w:val="none"/>
        </w:rPr>
      </w:pPr>
    </w:p>
    <w:p w14:paraId="7B43336D">
      <w:pPr>
        <w:spacing w:before="69" w:line="442" w:lineRule="exact"/>
        <w:ind w:left="20"/>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备注： 本表所列分包仅限于承包人自行施工范围内的非主体、非关键工程。没有可不</w:t>
      </w:r>
    </w:p>
    <w:p w14:paraId="4A7E375F">
      <w:pPr>
        <w:spacing w:line="221" w:lineRule="auto"/>
        <w:ind w:left="64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填写。</w:t>
      </w:r>
    </w:p>
    <w:p w14:paraId="2DC8B35F">
      <w:pPr>
        <w:spacing w:line="221" w:lineRule="auto"/>
        <w:rPr>
          <w:rFonts w:ascii="宋体" w:hAnsi="宋体" w:eastAsia="宋体" w:cs="宋体"/>
          <w:color w:val="auto"/>
          <w:sz w:val="21"/>
          <w:szCs w:val="21"/>
          <w:highlight w:val="none"/>
        </w:rPr>
        <w:sectPr>
          <w:footerReference r:id="rId164" w:type="default"/>
          <w:pgSz w:w="11905" w:h="16839"/>
          <w:pgMar w:top="400" w:right="1785" w:bottom="1004" w:left="1785" w:header="0" w:footer="828" w:gutter="0"/>
          <w:pgNumType w:fmt="decimal"/>
          <w:cols w:space="720" w:num="1"/>
        </w:sectPr>
      </w:pPr>
    </w:p>
    <w:p w14:paraId="7B6B4263">
      <w:pPr>
        <w:pStyle w:val="5"/>
        <w:spacing w:line="246" w:lineRule="auto"/>
        <w:rPr>
          <w:color w:val="auto"/>
          <w:highlight w:val="none"/>
        </w:rPr>
      </w:pPr>
    </w:p>
    <w:p w14:paraId="212960FF">
      <w:pPr>
        <w:pStyle w:val="5"/>
        <w:spacing w:line="246" w:lineRule="auto"/>
        <w:rPr>
          <w:color w:val="auto"/>
          <w:highlight w:val="none"/>
        </w:rPr>
      </w:pPr>
    </w:p>
    <w:p w14:paraId="4FCBDB0A">
      <w:pPr>
        <w:pStyle w:val="5"/>
        <w:spacing w:line="246" w:lineRule="auto"/>
        <w:rPr>
          <w:color w:val="auto"/>
          <w:highlight w:val="none"/>
        </w:rPr>
      </w:pPr>
    </w:p>
    <w:p w14:paraId="68572A55">
      <w:pPr>
        <w:pStyle w:val="5"/>
        <w:spacing w:line="246" w:lineRule="auto"/>
        <w:rPr>
          <w:color w:val="auto"/>
          <w:highlight w:val="none"/>
        </w:rPr>
      </w:pPr>
    </w:p>
    <w:p w14:paraId="4F1EC39B">
      <w:pPr>
        <w:pStyle w:val="5"/>
        <w:spacing w:line="246" w:lineRule="auto"/>
        <w:rPr>
          <w:color w:val="auto"/>
          <w:highlight w:val="none"/>
        </w:rPr>
      </w:pPr>
    </w:p>
    <w:p w14:paraId="4ED80E63">
      <w:pPr>
        <w:pStyle w:val="5"/>
        <w:spacing w:line="247" w:lineRule="auto"/>
        <w:rPr>
          <w:color w:val="auto"/>
          <w:highlight w:val="none"/>
        </w:rPr>
      </w:pPr>
    </w:p>
    <w:p w14:paraId="7C08B0E5">
      <w:pPr>
        <w:spacing w:before="87" w:line="225" w:lineRule="auto"/>
        <w:ind w:left="6117"/>
        <w:rPr>
          <w:rFonts w:ascii="黑体" w:hAnsi="黑体" w:eastAsia="黑体" w:cs="黑体"/>
          <w:color w:val="auto"/>
          <w:sz w:val="27"/>
          <w:szCs w:val="27"/>
          <w:highlight w:val="none"/>
        </w:rPr>
      </w:pPr>
      <w:bookmarkStart w:id="1754" w:name="bookmark309"/>
      <w:bookmarkEnd w:id="1754"/>
      <w:r>
        <w:rPr>
          <w:rFonts w:ascii="黑体" w:hAnsi="黑体" w:eastAsia="黑体" w:cs="黑体"/>
          <w:color w:val="auto"/>
          <w:spacing w:val="7"/>
          <w:sz w:val="27"/>
          <w:szCs w:val="27"/>
          <w:highlight w:val="none"/>
        </w:rPr>
        <w:t>六、项目管理机构</w:t>
      </w:r>
    </w:p>
    <w:p w14:paraId="38534BB4">
      <w:pPr>
        <w:pStyle w:val="5"/>
        <w:spacing w:line="349" w:lineRule="auto"/>
        <w:rPr>
          <w:color w:val="auto"/>
          <w:highlight w:val="none"/>
        </w:rPr>
      </w:pPr>
    </w:p>
    <w:p w14:paraId="58FA9857">
      <w:pPr>
        <w:spacing w:before="87" w:line="220" w:lineRule="auto"/>
        <w:ind w:left="5290"/>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（一）项目管理机构主要人员表</w:t>
      </w:r>
    </w:p>
    <w:tbl>
      <w:tblPr>
        <w:tblStyle w:val="17"/>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73A10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26EC0FF6">
            <w:pPr>
              <w:pStyle w:val="18"/>
              <w:spacing w:before="81" w:line="211" w:lineRule="auto"/>
              <w:ind w:left="245"/>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272" w:type="dxa"/>
            <w:vMerge w:val="restart"/>
            <w:tcBorders>
              <w:bottom w:val="nil"/>
            </w:tcBorders>
            <w:vAlign w:val="top"/>
          </w:tcPr>
          <w:p w14:paraId="73464ED5">
            <w:pPr>
              <w:pStyle w:val="18"/>
              <w:spacing w:before="244" w:line="231" w:lineRule="auto"/>
              <w:ind w:left="225" w:right="225" w:firstLine="227"/>
              <w:rPr>
                <w:color w:val="auto"/>
                <w:highlight w:val="none"/>
              </w:rPr>
            </w:pPr>
            <w:r>
              <w:rPr>
                <w:color w:val="auto"/>
                <w:spacing w:val="-15"/>
                <w:highlight w:val="none"/>
              </w:rPr>
              <w:t>岗位</w:t>
            </w:r>
            <w:r>
              <w:rPr>
                <w:color w:val="auto"/>
                <w:highlight w:val="none"/>
              </w:rPr>
              <w:t xml:space="preserve">   </w:t>
            </w:r>
            <w:r>
              <w:rPr>
                <w:color w:val="auto"/>
                <w:spacing w:val="-7"/>
                <w:highlight w:val="none"/>
              </w:rPr>
              <w:t>（职务）</w:t>
            </w:r>
          </w:p>
        </w:tc>
        <w:tc>
          <w:tcPr>
            <w:tcW w:w="825" w:type="dxa"/>
            <w:vMerge w:val="restart"/>
            <w:tcBorders>
              <w:bottom w:val="nil"/>
            </w:tcBorders>
            <w:vAlign w:val="top"/>
          </w:tcPr>
          <w:p w14:paraId="1EA1F979">
            <w:pPr>
              <w:spacing w:line="309" w:lineRule="auto"/>
              <w:rPr>
                <w:rFonts w:ascii="Arial"/>
                <w:color w:val="auto"/>
                <w:sz w:val="21"/>
                <w:highlight w:val="none"/>
              </w:rPr>
            </w:pPr>
          </w:p>
          <w:p w14:paraId="2A0CC1FF">
            <w:pPr>
              <w:pStyle w:val="18"/>
              <w:spacing w:before="68" w:line="221" w:lineRule="auto"/>
              <w:ind w:left="205"/>
              <w:rPr>
                <w:color w:val="auto"/>
                <w:highlight w:val="none"/>
              </w:rPr>
            </w:pPr>
            <w:r>
              <w:rPr>
                <w:color w:val="auto"/>
                <w:spacing w:val="-2"/>
                <w:highlight w:val="none"/>
              </w:rPr>
              <w:t>姓名</w:t>
            </w:r>
          </w:p>
        </w:tc>
        <w:tc>
          <w:tcPr>
            <w:tcW w:w="533" w:type="dxa"/>
            <w:vMerge w:val="restart"/>
            <w:tcBorders>
              <w:bottom w:val="nil"/>
            </w:tcBorders>
            <w:vAlign w:val="top"/>
          </w:tcPr>
          <w:p w14:paraId="68C07816">
            <w:pPr>
              <w:spacing w:line="310" w:lineRule="auto"/>
              <w:rPr>
                <w:rFonts w:ascii="Arial"/>
                <w:color w:val="auto"/>
                <w:sz w:val="21"/>
                <w:highlight w:val="none"/>
              </w:rPr>
            </w:pPr>
          </w:p>
          <w:p w14:paraId="14C342AB">
            <w:pPr>
              <w:pStyle w:val="18"/>
              <w:spacing w:before="68" w:line="221" w:lineRule="auto"/>
              <w:ind w:left="64"/>
              <w:rPr>
                <w:color w:val="auto"/>
                <w:highlight w:val="none"/>
              </w:rPr>
            </w:pPr>
            <w:r>
              <w:rPr>
                <w:color w:val="auto"/>
                <w:spacing w:val="-3"/>
                <w:highlight w:val="none"/>
              </w:rPr>
              <w:t>性别</w:t>
            </w:r>
          </w:p>
        </w:tc>
        <w:tc>
          <w:tcPr>
            <w:tcW w:w="749" w:type="dxa"/>
            <w:vMerge w:val="restart"/>
            <w:tcBorders>
              <w:bottom w:val="nil"/>
            </w:tcBorders>
            <w:vAlign w:val="top"/>
          </w:tcPr>
          <w:p w14:paraId="507E2A6E">
            <w:pPr>
              <w:spacing w:line="309" w:lineRule="auto"/>
              <w:rPr>
                <w:rFonts w:ascii="Arial"/>
                <w:color w:val="auto"/>
                <w:sz w:val="21"/>
                <w:highlight w:val="none"/>
              </w:rPr>
            </w:pPr>
          </w:p>
          <w:p w14:paraId="2C6FB368">
            <w:pPr>
              <w:pStyle w:val="18"/>
              <w:spacing w:before="68" w:line="221" w:lineRule="auto"/>
              <w:ind w:left="163"/>
              <w:rPr>
                <w:color w:val="auto"/>
                <w:highlight w:val="none"/>
              </w:rPr>
            </w:pPr>
            <w:r>
              <w:rPr>
                <w:color w:val="auto"/>
                <w:spacing w:val="-2"/>
                <w:highlight w:val="none"/>
              </w:rPr>
              <w:t>年龄</w:t>
            </w:r>
          </w:p>
        </w:tc>
        <w:tc>
          <w:tcPr>
            <w:tcW w:w="753" w:type="dxa"/>
            <w:vMerge w:val="restart"/>
            <w:tcBorders>
              <w:bottom w:val="nil"/>
            </w:tcBorders>
            <w:vAlign w:val="top"/>
          </w:tcPr>
          <w:p w14:paraId="7EAC8EA3">
            <w:pPr>
              <w:spacing w:line="309" w:lineRule="auto"/>
              <w:rPr>
                <w:rFonts w:ascii="Arial"/>
                <w:color w:val="auto"/>
                <w:sz w:val="21"/>
                <w:highlight w:val="none"/>
              </w:rPr>
            </w:pPr>
          </w:p>
          <w:p w14:paraId="2FE094B0">
            <w:pPr>
              <w:pStyle w:val="18"/>
              <w:spacing w:before="69" w:line="222" w:lineRule="auto"/>
              <w:ind w:left="171"/>
              <w:rPr>
                <w:color w:val="auto"/>
                <w:highlight w:val="none"/>
              </w:rPr>
            </w:pPr>
            <w:r>
              <w:rPr>
                <w:color w:val="auto"/>
                <w:spacing w:val="-3"/>
                <w:highlight w:val="none"/>
              </w:rPr>
              <w:t>学历</w:t>
            </w:r>
          </w:p>
        </w:tc>
        <w:tc>
          <w:tcPr>
            <w:tcW w:w="965" w:type="dxa"/>
            <w:vMerge w:val="restart"/>
            <w:tcBorders>
              <w:bottom w:val="nil"/>
            </w:tcBorders>
            <w:vAlign w:val="top"/>
          </w:tcPr>
          <w:p w14:paraId="21B1F6C1">
            <w:pPr>
              <w:spacing w:line="310" w:lineRule="auto"/>
              <w:rPr>
                <w:rFonts w:ascii="Arial"/>
                <w:color w:val="auto"/>
                <w:sz w:val="21"/>
                <w:highlight w:val="none"/>
              </w:rPr>
            </w:pPr>
          </w:p>
          <w:p w14:paraId="6B238EF2">
            <w:pPr>
              <w:pStyle w:val="18"/>
              <w:spacing w:before="68" w:line="221" w:lineRule="auto"/>
              <w:ind w:left="62"/>
              <w:rPr>
                <w:color w:val="auto"/>
                <w:highlight w:val="none"/>
              </w:rPr>
            </w:pPr>
            <w:r>
              <w:rPr>
                <w:color w:val="auto"/>
                <w:spacing w:val="-1"/>
                <w:highlight w:val="none"/>
              </w:rPr>
              <w:t>所学专业</w:t>
            </w:r>
          </w:p>
        </w:tc>
        <w:tc>
          <w:tcPr>
            <w:tcW w:w="1032" w:type="dxa"/>
            <w:vMerge w:val="restart"/>
            <w:tcBorders>
              <w:bottom w:val="nil"/>
            </w:tcBorders>
            <w:vAlign w:val="top"/>
          </w:tcPr>
          <w:p w14:paraId="51EDD6B5">
            <w:pPr>
              <w:pStyle w:val="18"/>
              <w:spacing w:before="244" w:line="231" w:lineRule="auto"/>
              <w:ind w:left="308" w:right="93" w:hanging="211"/>
              <w:rPr>
                <w:color w:val="auto"/>
                <w:highlight w:val="none"/>
              </w:rPr>
            </w:pPr>
            <w:r>
              <w:rPr>
                <w:color w:val="auto"/>
                <w:spacing w:val="-2"/>
                <w:highlight w:val="none"/>
              </w:rPr>
              <w:t>专业工作</w:t>
            </w:r>
            <w:r>
              <w:rPr>
                <w:color w:val="auto"/>
                <w:spacing w:val="2"/>
                <w:highlight w:val="none"/>
              </w:rPr>
              <w:t xml:space="preserve"> </w:t>
            </w:r>
            <w:r>
              <w:rPr>
                <w:color w:val="auto"/>
                <w:spacing w:val="-2"/>
                <w:highlight w:val="none"/>
              </w:rPr>
              <w:t>年限</w:t>
            </w:r>
          </w:p>
        </w:tc>
        <w:tc>
          <w:tcPr>
            <w:tcW w:w="2563" w:type="dxa"/>
            <w:gridSpan w:val="3"/>
            <w:vAlign w:val="top"/>
          </w:tcPr>
          <w:p w14:paraId="508D23FD">
            <w:pPr>
              <w:pStyle w:val="18"/>
              <w:spacing w:before="105" w:line="221" w:lineRule="auto"/>
              <w:ind w:left="659"/>
              <w:rPr>
                <w:color w:val="auto"/>
                <w:highlight w:val="none"/>
              </w:rPr>
            </w:pPr>
            <w:r>
              <w:rPr>
                <w:color w:val="auto"/>
                <w:spacing w:val="-1"/>
                <w:highlight w:val="none"/>
              </w:rPr>
              <w:t>专业技术职称</w:t>
            </w:r>
          </w:p>
        </w:tc>
        <w:tc>
          <w:tcPr>
            <w:tcW w:w="3297" w:type="dxa"/>
            <w:gridSpan w:val="4"/>
            <w:vAlign w:val="top"/>
          </w:tcPr>
          <w:p w14:paraId="31AB8120">
            <w:pPr>
              <w:pStyle w:val="18"/>
              <w:spacing w:before="158" w:line="221" w:lineRule="auto"/>
              <w:ind w:left="707"/>
              <w:rPr>
                <w:color w:val="auto"/>
                <w:highlight w:val="none"/>
              </w:rPr>
            </w:pPr>
            <w:r>
              <w:rPr>
                <w:color w:val="auto"/>
                <w:spacing w:val="-1"/>
                <w:highlight w:val="none"/>
              </w:rPr>
              <w:t>执业或职业资格证明</w:t>
            </w:r>
          </w:p>
        </w:tc>
        <w:tc>
          <w:tcPr>
            <w:tcW w:w="1128" w:type="dxa"/>
            <w:vMerge w:val="restart"/>
            <w:tcBorders>
              <w:bottom w:val="nil"/>
            </w:tcBorders>
            <w:vAlign w:val="top"/>
          </w:tcPr>
          <w:p w14:paraId="48D06EA6">
            <w:pPr>
              <w:spacing w:line="366" w:lineRule="auto"/>
              <w:rPr>
                <w:rFonts w:ascii="Arial"/>
                <w:color w:val="auto"/>
                <w:sz w:val="21"/>
                <w:highlight w:val="none"/>
              </w:rPr>
            </w:pPr>
          </w:p>
          <w:p w14:paraId="41588B38">
            <w:pPr>
              <w:pStyle w:val="18"/>
              <w:spacing w:before="69" w:line="220" w:lineRule="auto"/>
              <w:ind w:left="153"/>
              <w:rPr>
                <w:color w:val="auto"/>
                <w:highlight w:val="none"/>
              </w:rPr>
            </w:pPr>
            <w:r>
              <w:rPr>
                <w:color w:val="auto"/>
                <w:spacing w:val="-1"/>
                <w:highlight w:val="none"/>
              </w:rPr>
              <w:t>社会保险</w:t>
            </w:r>
          </w:p>
        </w:tc>
        <w:tc>
          <w:tcPr>
            <w:tcW w:w="946" w:type="dxa"/>
            <w:vMerge w:val="restart"/>
            <w:tcBorders>
              <w:bottom w:val="nil"/>
            </w:tcBorders>
            <w:vAlign w:val="top"/>
          </w:tcPr>
          <w:p w14:paraId="43EE597A">
            <w:pPr>
              <w:pStyle w:val="18"/>
              <w:spacing w:before="226" w:line="422" w:lineRule="exact"/>
              <w:ind w:left="161"/>
              <w:rPr>
                <w:color w:val="auto"/>
                <w:highlight w:val="none"/>
              </w:rPr>
            </w:pPr>
            <w:r>
              <w:rPr>
                <w:color w:val="auto"/>
                <w:spacing w:val="-2"/>
                <w:position w:val="16"/>
                <w:highlight w:val="none"/>
              </w:rPr>
              <w:t>执业或</w:t>
            </w:r>
          </w:p>
          <w:p w14:paraId="70F7327F">
            <w:pPr>
              <w:pStyle w:val="18"/>
              <w:spacing w:line="221" w:lineRule="auto"/>
              <w:ind w:left="57"/>
              <w:rPr>
                <w:color w:val="auto"/>
                <w:highlight w:val="none"/>
              </w:rPr>
            </w:pPr>
            <w:r>
              <w:rPr>
                <w:color w:val="auto"/>
                <w:spacing w:val="-1"/>
                <w:highlight w:val="none"/>
              </w:rPr>
              <w:t>职业单位</w:t>
            </w:r>
          </w:p>
        </w:tc>
      </w:tr>
      <w:tr w14:paraId="10E4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399E27E3">
            <w:pPr>
              <w:rPr>
                <w:rFonts w:ascii="Arial"/>
                <w:color w:val="auto"/>
                <w:sz w:val="21"/>
                <w:highlight w:val="none"/>
              </w:rPr>
            </w:pPr>
          </w:p>
        </w:tc>
        <w:tc>
          <w:tcPr>
            <w:tcW w:w="1272" w:type="dxa"/>
            <w:vMerge w:val="continue"/>
            <w:tcBorders>
              <w:top w:val="nil"/>
            </w:tcBorders>
            <w:vAlign w:val="top"/>
          </w:tcPr>
          <w:p w14:paraId="1B6992FC">
            <w:pPr>
              <w:rPr>
                <w:rFonts w:ascii="Arial"/>
                <w:color w:val="auto"/>
                <w:sz w:val="21"/>
                <w:highlight w:val="none"/>
              </w:rPr>
            </w:pPr>
          </w:p>
        </w:tc>
        <w:tc>
          <w:tcPr>
            <w:tcW w:w="825" w:type="dxa"/>
            <w:vMerge w:val="continue"/>
            <w:tcBorders>
              <w:top w:val="nil"/>
            </w:tcBorders>
            <w:vAlign w:val="top"/>
          </w:tcPr>
          <w:p w14:paraId="23A56747">
            <w:pPr>
              <w:rPr>
                <w:rFonts w:ascii="Arial"/>
                <w:color w:val="auto"/>
                <w:sz w:val="21"/>
                <w:highlight w:val="none"/>
              </w:rPr>
            </w:pPr>
          </w:p>
        </w:tc>
        <w:tc>
          <w:tcPr>
            <w:tcW w:w="533" w:type="dxa"/>
            <w:vMerge w:val="continue"/>
            <w:tcBorders>
              <w:top w:val="nil"/>
            </w:tcBorders>
            <w:vAlign w:val="top"/>
          </w:tcPr>
          <w:p w14:paraId="13583A47">
            <w:pPr>
              <w:rPr>
                <w:rFonts w:ascii="Arial"/>
                <w:color w:val="auto"/>
                <w:sz w:val="21"/>
                <w:highlight w:val="none"/>
              </w:rPr>
            </w:pPr>
          </w:p>
        </w:tc>
        <w:tc>
          <w:tcPr>
            <w:tcW w:w="749" w:type="dxa"/>
            <w:vMerge w:val="continue"/>
            <w:tcBorders>
              <w:top w:val="nil"/>
            </w:tcBorders>
            <w:vAlign w:val="top"/>
          </w:tcPr>
          <w:p w14:paraId="057DCBF1">
            <w:pPr>
              <w:rPr>
                <w:rFonts w:ascii="Arial"/>
                <w:color w:val="auto"/>
                <w:sz w:val="21"/>
                <w:highlight w:val="none"/>
              </w:rPr>
            </w:pPr>
          </w:p>
        </w:tc>
        <w:tc>
          <w:tcPr>
            <w:tcW w:w="753" w:type="dxa"/>
            <w:vMerge w:val="continue"/>
            <w:tcBorders>
              <w:top w:val="nil"/>
            </w:tcBorders>
            <w:vAlign w:val="top"/>
          </w:tcPr>
          <w:p w14:paraId="405C5849">
            <w:pPr>
              <w:rPr>
                <w:rFonts w:ascii="Arial"/>
                <w:color w:val="auto"/>
                <w:sz w:val="21"/>
                <w:highlight w:val="none"/>
              </w:rPr>
            </w:pPr>
          </w:p>
        </w:tc>
        <w:tc>
          <w:tcPr>
            <w:tcW w:w="965" w:type="dxa"/>
            <w:vMerge w:val="continue"/>
            <w:tcBorders>
              <w:top w:val="nil"/>
            </w:tcBorders>
            <w:vAlign w:val="top"/>
          </w:tcPr>
          <w:p w14:paraId="5C65FEC8">
            <w:pPr>
              <w:rPr>
                <w:rFonts w:ascii="Arial"/>
                <w:color w:val="auto"/>
                <w:sz w:val="21"/>
                <w:highlight w:val="none"/>
              </w:rPr>
            </w:pPr>
          </w:p>
        </w:tc>
        <w:tc>
          <w:tcPr>
            <w:tcW w:w="1032" w:type="dxa"/>
            <w:vMerge w:val="continue"/>
            <w:tcBorders>
              <w:top w:val="nil"/>
            </w:tcBorders>
            <w:vAlign w:val="top"/>
          </w:tcPr>
          <w:p w14:paraId="1D99E768">
            <w:pPr>
              <w:rPr>
                <w:rFonts w:ascii="Arial"/>
                <w:color w:val="auto"/>
                <w:sz w:val="21"/>
                <w:highlight w:val="none"/>
              </w:rPr>
            </w:pPr>
          </w:p>
        </w:tc>
        <w:tc>
          <w:tcPr>
            <w:tcW w:w="855" w:type="dxa"/>
            <w:vAlign w:val="top"/>
          </w:tcPr>
          <w:p w14:paraId="5531148E">
            <w:pPr>
              <w:pStyle w:val="18"/>
              <w:spacing w:before="164" w:line="221" w:lineRule="auto"/>
              <w:ind w:left="224"/>
              <w:rPr>
                <w:color w:val="auto"/>
                <w:highlight w:val="none"/>
              </w:rPr>
            </w:pPr>
            <w:r>
              <w:rPr>
                <w:color w:val="auto"/>
                <w:spacing w:val="-3"/>
                <w:highlight w:val="none"/>
              </w:rPr>
              <w:t>级别</w:t>
            </w:r>
          </w:p>
        </w:tc>
        <w:tc>
          <w:tcPr>
            <w:tcW w:w="854" w:type="dxa"/>
            <w:vAlign w:val="top"/>
          </w:tcPr>
          <w:p w14:paraId="7E3E5332">
            <w:pPr>
              <w:pStyle w:val="18"/>
              <w:spacing w:before="164" w:line="221" w:lineRule="auto"/>
              <w:ind w:right="1"/>
              <w:jc w:val="right"/>
              <w:rPr>
                <w:color w:val="auto"/>
                <w:highlight w:val="none"/>
              </w:rPr>
            </w:pPr>
            <w:r>
              <w:rPr>
                <w:color w:val="auto"/>
                <w:spacing w:val="-1"/>
                <w:highlight w:val="none"/>
              </w:rPr>
              <w:t>职称专业</w:t>
            </w:r>
          </w:p>
        </w:tc>
        <w:tc>
          <w:tcPr>
            <w:tcW w:w="854" w:type="dxa"/>
            <w:vAlign w:val="top"/>
          </w:tcPr>
          <w:p w14:paraId="179E5B8B">
            <w:pPr>
              <w:pStyle w:val="18"/>
              <w:spacing w:before="29" w:line="225" w:lineRule="auto"/>
              <w:ind w:left="221" w:right="1" w:hanging="210"/>
              <w:rPr>
                <w:color w:val="auto"/>
                <w:highlight w:val="none"/>
              </w:rPr>
            </w:pPr>
            <w:r>
              <w:rPr>
                <w:color w:val="auto"/>
                <w:spacing w:val="-2"/>
                <w:highlight w:val="none"/>
              </w:rPr>
              <w:t>职称专业</w:t>
            </w:r>
            <w:r>
              <w:rPr>
                <w:color w:val="auto"/>
                <w:spacing w:val="2"/>
                <w:highlight w:val="none"/>
              </w:rPr>
              <w:t xml:space="preserve"> </w:t>
            </w:r>
            <w:r>
              <w:rPr>
                <w:color w:val="auto"/>
                <w:spacing w:val="-2"/>
                <w:highlight w:val="none"/>
              </w:rPr>
              <w:t>类别</w:t>
            </w:r>
          </w:p>
        </w:tc>
        <w:tc>
          <w:tcPr>
            <w:tcW w:w="849" w:type="dxa"/>
            <w:vAlign w:val="top"/>
          </w:tcPr>
          <w:p w14:paraId="0B791037">
            <w:pPr>
              <w:pStyle w:val="18"/>
              <w:spacing w:before="163" w:line="220" w:lineRule="auto"/>
              <w:jc w:val="right"/>
              <w:rPr>
                <w:color w:val="auto"/>
                <w:highlight w:val="none"/>
              </w:rPr>
            </w:pPr>
            <w:r>
              <w:rPr>
                <w:color w:val="auto"/>
                <w:spacing w:val="-2"/>
                <w:highlight w:val="none"/>
              </w:rPr>
              <w:t>证书名称</w:t>
            </w:r>
          </w:p>
        </w:tc>
        <w:tc>
          <w:tcPr>
            <w:tcW w:w="850" w:type="dxa"/>
            <w:vAlign w:val="top"/>
          </w:tcPr>
          <w:p w14:paraId="42A22CF0">
            <w:pPr>
              <w:pStyle w:val="18"/>
              <w:spacing w:before="164" w:line="221" w:lineRule="auto"/>
              <w:ind w:left="226"/>
              <w:rPr>
                <w:color w:val="auto"/>
                <w:highlight w:val="none"/>
              </w:rPr>
            </w:pPr>
            <w:r>
              <w:rPr>
                <w:color w:val="auto"/>
                <w:spacing w:val="-3"/>
                <w:highlight w:val="none"/>
              </w:rPr>
              <w:t>级别</w:t>
            </w:r>
          </w:p>
        </w:tc>
        <w:tc>
          <w:tcPr>
            <w:tcW w:w="854" w:type="dxa"/>
            <w:vAlign w:val="top"/>
          </w:tcPr>
          <w:p w14:paraId="571CF72B">
            <w:pPr>
              <w:pStyle w:val="18"/>
              <w:spacing w:before="163" w:line="222" w:lineRule="auto"/>
              <w:ind w:left="223"/>
              <w:rPr>
                <w:color w:val="auto"/>
                <w:highlight w:val="none"/>
              </w:rPr>
            </w:pPr>
            <w:r>
              <w:rPr>
                <w:color w:val="auto"/>
                <w:spacing w:val="-2"/>
                <w:highlight w:val="none"/>
              </w:rPr>
              <w:t>证号</w:t>
            </w:r>
          </w:p>
        </w:tc>
        <w:tc>
          <w:tcPr>
            <w:tcW w:w="744" w:type="dxa"/>
            <w:vAlign w:val="top"/>
          </w:tcPr>
          <w:p w14:paraId="5354ED16">
            <w:pPr>
              <w:pStyle w:val="18"/>
              <w:spacing w:before="164" w:line="221" w:lineRule="auto"/>
              <w:ind w:left="167"/>
              <w:rPr>
                <w:color w:val="auto"/>
                <w:highlight w:val="none"/>
              </w:rPr>
            </w:pPr>
            <w:r>
              <w:rPr>
                <w:color w:val="auto"/>
                <w:spacing w:val="-2"/>
                <w:highlight w:val="none"/>
              </w:rPr>
              <w:t>专业</w:t>
            </w:r>
          </w:p>
        </w:tc>
        <w:tc>
          <w:tcPr>
            <w:tcW w:w="1128" w:type="dxa"/>
            <w:vMerge w:val="continue"/>
            <w:tcBorders>
              <w:top w:val="nil"/>
            </w:tcBorders>
            <w:vAlign w:val="top"/>
          </w:tcPr>
          <w:p w14:paraId="3204D913">
            <w:pPr>
              <w:rPr>
                <w:rFonts w:ascii="Arial"/>
                <w:color w:val="auto"/>
                <w:sz w:val="21"/>
                <w:highlight w:val="none"/>
              </w:rPr>
            </w:pPr>
          </w:p>
        </w:tc>
        <w:tc>
          <w:tcPr>
            <w:tcW w:w="946" w:type="dxa"/>
            <w:vMerge w:val="continue"/>
            <w:tcBorders>
              <w:top w:val="nil"/>
            </w:tcBorders>
            <w:vAlign w:val="top"/>
          </w:tcPr>
          <w:p w14:paraId="1B7FB449">
            <w:pPr>
              <w:rPr>
                <w:rFonts w:ascii="Arial"/>
                <w:color w:val="auto"/>
                <w:sz w:val="21"/>
                <w:highlight w:val="none"/>
              </w:rPr>
            </w:pPr>
          </w:p>
        </w:tc>
      </w:tr>
      <w:tr w14:paraId="13D6B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2F51BDEE">
            <w:pPr>
              <w:spacing w:before="154" w:line="189" w:lineRule="auto"/>
              <w:ind w:left="15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272" w:type="dxa"/>
            <w:vAlign w:val="top"/>
          </w:tcPr>
          <w:p w14:paraId="42282351">
            <w:pPr>
              <w:rPr>
                <w:rFonts w:ascii="Arial"/>
                <w:color w:val="auto"/>
                <w:sz w:val="21"/>
                <w:highlight w:val="none"/>
              </w:rPr>
            </w:pPr>
          </w:p>
        </w:tc>
        <w:tc>
          <w:tcPr>
            <w:tcW w:w="825" w:type="dxa"/>
            <w:vAlign w:val="top"/>
          </w:tcPr>
          <w:p w14:paraId="552D5547">
            <w:pPr>
              <w:rPr>
                <w:rFonts w:ascii="Arial"/>
                <w:color w:val="auto"/>
                <w:sz w:val="21"/>
                <w:highlight w:val="none"/>
              </w:rPr>
            </w:pPr>
          </w:p>
        </w:tc>
        <w:tc>
          <w:tcPr>
            <w:tcW w:w="533" w:type="dxa"/>
            <w:vAlign w:val="top"/>
          </w:tcPr>
          <w:p w14:paraId="56BF81F1">
            <w:pPr>
              <w:rPr>
                <w:rFonts w:ascii="Arial"/>
                <w:color w:val="auto"/>
                <w:sz w:val="21"/>
                <w:highlight w:val="none"/>
              </w:rPr>
            </w:pPr>
          </w:p>
        </w:tc>
        <w:tc>
          <w:tcPr>
            <w:tcW w:w="749" w:type="dxa"/>
            <w:vAlign w:val="top"/>
          </w:tcPr>
          <w:p w14:paraId="2E48EA74">
            <w:pPr>
              <w:rPr>
                <w:rFonts w:ascii="Arial"/>
                <w:color w:val="auto"/>
                <w:sz w:val="21"/>
                <w:highlight w:val="none"/>
              </w:rPr>
            </w:pPr>
          </w:p>
        </w:tc>
        <w:tc>
          <w:tcPr>
            <w:tcW w:w="753" w:type="dxa"/>
            <w:vAlign w:val="top"/>
          </w:tcPr>
          <w:p w14:paraId="7726288F">
            <w:pPr>
              <w:rPr>
                <w:rFonts w:ascii="Arial"/>
                <w:color w:val="auto"/>
                <w:sz w:val="21"/>
                <w:highlight w:val="none"/>
              </w:rPr>
            </w:pPr>
          </w:p>
        </w:tc>
        <w:tc>
          <w:tcPr>
            <w:tcW w:w="965" w:type="dxa"/>
            <w:vAlign w:val="top"/>
          </w:tcPr>
          <w:p w14:paraId="00EA6C8A">
            <w:pPr>
              <w:rPr>
                <w:rFonts w:ascii="Arial"/>
                <w:color w:val="auto"/>
                <w:sz w:val="21"/>
                <w:highlight w:val="none"/>
              </w:rPr>
            </w:pPr>
          </w:p>
        </w:tc>
        <w:tc>
          <w:tcPr>
            <w:tcW w:w="1032" w:type="dxa"/>
            <w:vAlign w:val="top"/>
          </w:tcPr>
          <w:p w14:paraId="1BBA9A5B">
            <w:pPr>
              <w:rPr>
                <w:rFonts w:ascii="Arial"/>
                <w:color w:val="auto"/>
                <w:sz w:val="21"/>
                <w:highlight w:val="none"/>
              </w:rPr>
            </w:pPr>
          </w:p>
        </w:tc>
        <w:tc>
          <w:tcPr>
            <w:tcW w:w="855" w:type="dxa"/>
            <w:vAlign w:val="top"/>
          </w:tcPr>
          <w:p w14:paraId="4CED09B9">
            <w:pPr>
              <w:rPr>
                <w:rFonts w:ascii="Arial"/>
                <w:color w:val="auto"/>
                <w:sz w:val="21"/>
                <w:highlight w:val="none"/>
              </w:rPr>
            </w:pPr>
          </w:p>
        </w:tc>
        <w:tc>
          <w:tcPr>
            <w:tcW w:w="854" w:type="dxa"/>
            <w:vAlign w:val="top"/>
          </w:tcPr>
          <w:p w14:paraId="032251E2">
            <w:pPr>
              <w:rPr>
                <w:rFonts w:ascii="Arial"/>
                <w:color w:val="auto"/>
                <w:sz w:val="21"/>
                <w:highlight w:val="none"/>
              </w:rPr>
            </w:pPr>
          </w:p>
        </w:tc>
        <w:tc>
          <w:tcPr>
            <w:tcW w:w="854" w:type="dxa"/>
            <w:vAlign w:val="top"/>
          </w:tcPr>
          <w:p w14:paraId="171135B4">
            <w:pPr>
              <w:rPr>
                <w:rFonts w:ascii="Arial"/>
                <w:color w:val="auto"/>
                <w:sz w:val="21"/>
                <w:highlight w:val="none"/>
              </w:rPr>
            </w:pPr>
          </w:p>
        </w:tc>
        <w:tc>
          <w:tcPr>
            <w:tcW w:w="849" w:type="dxa"/>
            <w:vAlign w:val="top"/>
          </w:tcPr>
          <w:p w14:paraId="687653B6">
            <w:pPr>
              <w:rPr>
                <w:rFonts w:ascii="Arial"/>
                <w:color w:val="auto"/>
                <w:sz w:val="21"/>
                <w:highlight w:val="none"/>
              </w:rPr>
            </w:pPr>
          </w:p>
        </w:tc>
        <w:tc>
          <w:tcPr>
            <w:tcW w:w="850" w:type="dxa"/>
            <w:vAlign w:val="top"/>
          </w:tcPr>
          <w:p w14:paraId="34FF0F7D">
            <w:pPr>
              <w:rPr>
                <w:rFonts w:ascii="Arial"/>
                <w:color w:val="auto"/>
                <w:sz w:val="21"/>
                <w:highlight w:val="none"/>
              </w:rPr>
            </w:pPr>
          </w:p>
        </w:tc>
        <w:tc>
          <w:tcPr>
            <w:tcW w:w="854" w:type="dxa"/>
            <w:vAlign w:val="top"/>
          </w:tcPr>
          <w:p w14:paraId="24F66DDA">
            <w:pPr>
              <w:rPr>
                <w:rFonts w:ascii="Arial"/>
                <w:color w:val="auto"/>
                <w:sz w:val="21"/>
                <w:highlight w:val="none"/>
              </w:rPr>
            </w:pPr>
          </w:p>
        </w:tc>
        <w:tc>
          <w:tcPr>
            <w:tcW w:w="744" w:type="dxa"/>
            <w:vAlign w:val="top"/>
          </w:tcPr>
          <w:p w14:paraId="14161211">
            <w:pPr>
              <w:rPr>
                <w:rFonts w:ascii="Arial"/>
                <w:color w:val="auto"/>
                <w:sz w:val="21"/>
                <w:highlight w:val="none"/>
              </w:rPr>
            </w:pPr>
          </w:p>
        </w:tc>
        <w:tc>
          <w:tcPr>
            <w:tcW w:w="1128" w:type="dxa"/>
            <w:vAlign w:val="top"/>
          </w:tcPr>
          <w:p w14:paraId="089BCE3E">
            <w:pPr>
              <w:rPr>
                <w:rFonts w:ascii="Arial"/>
                <w:color w:val="auto"/>
                <w:sz w:val="21"/>
                <w:highlight w:val="none"/>
              </w:rPr>
            </w:pPr>
          </w:p>
        </w:tc>
        <w:tc>
          <w:tcPr>
            <w:tcW w:w="946" w:type="dxa"/>
            <w:vAlign w:val="top"/>
          </w:tcPr>
          <w:p w14:paraId="645E054A">
            <w:pPr>
              <w:rPr>
                <w:rFonts w:ascii="Arial"/>
                <w:color w:val="auto"/>
                <w:sz w:val="21"/>
                <w:highlight w:val="none"/>
              </w:rPr>
            </w:pPr>
          </w:p>
        </w:tc>
      </w:tr>
      <w:tr w14:paraId="19D95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512BC89E">
            <w:pPr>
              <w:spacing w:before="154" w:line="189" w:lineRule="auto"/>
              <w:ind w:left="13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272" w:type="dxa"/>
            <w:vAlign w:val="top"/>
          </w:tcPr>
          <w:p w14:paraId="43F64496">
            <w:pPr>
              <w:rPr>
                <w:rFonts w:ascii="Arial"/>
                <w:color w:val="auto"/>
                <w:sz w:val="21"/>
                <w:highlight w:val="none"/>
              </w:rPr>
            </w:pPr>
          </w:p>
        </w:tc>
        <w:tc>
          <w:tcPr>
            <w:tcW w:w="825" w:type="dxa"/>
            <w:vAlign w:val="top"/>
          </w:tcPr>
          <w:p w14:paraId="7D3B486A">
            <w:pPr>
              <w:rPr>
                <w:rFonts w:ascii="Arial"/>
                <w:color w:val="auto"/>
                <w:sz w:val="21"/>
                <w:highlight w:val="none"/>
              </w:rPr>
            </w:pPr>
          </w:p>
        </w:tc>
        <w:tc>
          <w:tcPr>
            <w:tcW w:w="533" w:type="dxa"/>
            <w:vAlign w:val="top"/>
          </w:tcPr>
          <w:p w14:paraId="61B64158">
            <w:pPr>
              <w:rPr>
                <w:rFonts w:ascii="Arial"/>
                <w:color w:val="auto"/>
                <w:sz w:val="21"/>
                <w:highlight w:val="none"/>
              </w:rPr>
            </w:pPr>
          </w:p>
        </w:tc>
        <w:tc>
          <w:tcPr>
            <w:tcW w:w="749" w:type="dxa"/>
            <w:vAlign w:val="top"/>
          </w:tcPr>
          <w:p w14:paraId="283A7844">
            <w:pPr>
              <w:rPr>
                <w:rFonts w:ascii="Arial"/>
                <w:color w:val="auto"/>
                <w:sz w:val="21"/>
                <w:highlight w:val="none"/>
              </w:rPr>
            </w:pPr>
          </w:p>
        </w:tc>
        <w:tc>
          <w:tcPr>
            <w:tcW w:w="753" w:type="dxa"/>
            <w:vAlign w:val="top"/>
          </w:tcPr>
          <w:p w14:paraId="2C173CAC">
            <w:pPr>
              <w:rPr>
                <w:rFonts w:ascii="Arial"/>
                <w:color w:val="auto"/>
                <w:sz w:val="21"/>
                <w:highlight w:val="none"/>
              </w:rPr>
            </w:pPr>
          </w:p>
        </w:tc>
        <w:tc>
          <w:tcPr>
            <w:tcW w:w="965" w:type="dxa"/>
            <w:vAlign w:val="top"/>
          </w:tcPr>
          <w:p w14:paraId="1D4A509A">
            <w:pPr>
              <w:rPr>
                <w:rFonts w:ascii="Arial"/>
                <w:color w:val="auto"/>
                <w:sz w:val="21"/>
                <w:highlight w:val="none"/>
              </w:rPr>
            </w:pPr>
          </w:p>
        </w:tc>
        <w:tc>
          <w:tcPr>
            <w:tcW w:w="1032" w:type="dxa"/>
            <w:vAlign w:val="top"/>
          </w:tcPr>
          <w:p w14:paraId="52E2D78E">
            <w:pPr>
              <w:rPr>
                <w:rFonts w:ascii="Arial"/>
                <w:color w:val="auto"/>
                <w:sz w:val="21"/>
                <w:highlight w:val="none"/>
              </w:rPr>
            </w:pPr>
          </w:p>
        </w:tc>
        <w:tc>
          <w:tcPr>
            <w:tcW w:w="855" w:type="dxa"/>
            <w:vAlign w:val="top"/>
          </w:tcPr>
          <w:p w14:paraId="66AC6662">
            <w:pPr>
              <w:rPr>
                <w:rFonts w:ascii="Arial"/>
                <w:color w:val="auto"/>
                <w:sz w:val="21"/>
                <w:highlight w:val="none"/>
              </w:rPr>
            </w:pPr>
          </w:p>
        </w:tc>
        <w:tc>
          <w:tcPr>
            <w:tcW w:w="854" w:type="dxa"/>
            <w:vAlign w:val="top"/>
          </w:tcPr>
          <w:p w14:paraId="4389BB4D">
            <w:pPr>
              <w:rPr>
                <w:rFonts w:ascii="Arial"/>
                <w:color w:val="auto"/>
                <w:sz w:val="21"/>
                <w:highlight w:val="none"/>
              </w:rPr>
            </w:pPr>
          </w:p>
        </w:tc>
        <w:tc>
          <w:tcPr>
            <w:tcW w:w="854" w:type="dxa"/>
            <w:vAlign w:val="top"/>
          </w:tcPr>
          <w:p w14:paraId="31F3E91A">
            <w:pPr>
              <w:rPr>
                <w:rFonts w:ascii="Arial"/>
                <w:color w:val="auto"/>
                <w:sz w:val="21"/>
                <w:highlight w:val="none"/>
              </w:rPr>
            </w:pPr>
          </w:p>
        </w:tc>
        <w:tc>
          <w:tcPr>
            <w:tcW w:w="849" w:type="dxa"/>
            <w:vAlign w:val="top"/>
          </w:tcPr>
          <w:p w14:paraId="3E7D73CA">
            <w:pPr>
              <w:rPr>
                <w:rFonts w:ascii="Arial"/>
                <w:color w:val="auto"/>
                <w:sz w:val="21"/>
                <w:highlight w:val="none"/>
              </w:rPr>
            </w:pPr>
          </w:p>
        </w:tc>
        <w:tc>
          <w:tcPr>
            <w:tcW w:w="850" w:type="dxa"/>
            <w:vAlign w:val="top"/>
          </w:tcPr>
          <w:p w14:paraId="7852AC35">
            <w:pPr>
              <w:rPr>
                <w:rFonts w:ascii="Arial"/>
                <w:color w:val="auto"/>
                <w:sz w:val="21"/>
                <w:highlight w:val="none"/>
              </w:rPr>
            </w:pPr>
          </w:p>
        </w:tc>
        <w:tc>
          <w:tcPr>
            <w:tcW w:w="854" w:type="dxa"/>
            <w:vAlign w:val="top"/>
          </w:tcPr>
          <w:p w14:paraId="1BCF8905">
            <w:pPr>
              <w:rPr>
                <w:rFonts w:ascii="Arial"/>
                <w:color w:val="auto"/>
                <w:sz w:val="21"/>
                <w:highlight w:val="none"/>
              </w:rPr>
            </w:pPr>
          </w:p>
        </w:tc>
        <w:tc>
          <w:tcPr>
            <w:tcW w:w="744" w:type="dxa"/>
            <w:vAlign w:val="top"/>
          </w:tcPr>
          <w:p w14:paraId="681C600C">
            <w:pPr>
              <w:rPr>
                <w:rFonts w:ascii="Arial"/>
                <w:color w:val="auto"/>
                <w:sz w:val="21"/>
                <w:highlight w:val="none"/>
              </w:rPr>
            </w:pPr>
          </w:p>
        </w:tc>
        <w:tc>
          <w:tcPr>
            <w:tcW w:w="1128" w:type="dxa"/>
            <w:vAlign w:val="top"/>
          </w:tcPr>
          <w:p w14:paraId="596B676C">
            <w:pPr>
              <w:rPr>
                <w:rFonts w:ascii="Arial"/>
                <w:color w:val="auto"/>
                <w:sz w:val="21"/>
                <w:highlight w:val="none"/>
              </w:rPr>
            </w:pPr>
          </w:p>
        </w:tc>
        <w:tc>
          <w:tcPr>
            <w:tcW w:w="946" w:type="dxa"/>
            <w:vAlign w:val="top"/>
          </w:tcPr>
          <w:p w14:paraId="15EF590A">
            <w:pPr>
              <w:rPr>
                <w:rFonts w:ascii="Arial"/>
                <w:color w:val="auto"/>
                <w:sz w:val="21"/>
                <w:highlight w:val="none"/>
              </w:rPr>
            </w:pPr>
          </w:p>
        </w:tc>
      </w:tr>
      <w:tr w14:paraId="3AE2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379864B3">
            <w:pPr>
              <w:spacing w:before="154"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272" w:type="dxa"/>
            <w:vAlign w:val="top"/>
          </w:tcPr>
          <w:p w14:paraId="109C161E">
            <w:pPr>
              <w:rPr>
                <w:rFonts w:ascii="Arial"/>
                <w:color w:val="auto"/>
                <w:sz w:val="21"/>
                <w:highlight w:val="none"/>
              </w:rPr>
            </w:pPr>
          </w:p>
        </w:tc>
        <w:tc>
          <w:tcPr>
            <w:tcW w:w="825" w:type="dxa"/>
            <w:vAlign w:val="top"/>
          </w:tcPr>
          <w:p w14:paraId="354ECFE8">
            <w:pPr>
              <w:rPr>
                <w:rFonts w:ascii="Arial"/>
                <w:color w:val="auto"/>
                <w:sz w:val="21"/>
                <w:highlight w:val="none"/>
              </w:rPr>
            </w:pPr>
          </w:p>
        </w:tc>
        <w:tc>
          <w:tcPr>
            <w:tcW w:w="533" w:type="dxa"/>
            <w:vAlign w:val="top"/>
          </w:tcPr>
          <w:p w14:paraId="32D602EC">
            <w:pPr>
              <w:rPr>
                <w:rFonts w:ascii="Arial"/>
                <w:color w:val="auto"/>
                <w:sz w:val="21"/>
                <w:highlight w:val="none"/>
              </w:rPr>
            </w:pPr>
          </w:p>
        </w:tc>
        <w:tc>
          <w:tcPr>
            <w:tcW w:w="749" w:type="dxa"/>
            <w:vAlign w:val="top"/>
          </w:tcPr>
          <w:p w14:paraId="4A0F9082">
            <w:pPr>
              <w:rPr>
                <w:rFonts w:ascii="Arial"/>
                <w:color w:val="auto"/>
                <w:sz w:val="21"/>
                <w:highlight w:val="none"/>
              </w:rPr>
            </w:pPr>
          </w:p>
        </w:tc>
        <w:tc>
          <w:tcPr>
            <w:tcW w:w="753" w:type="dxa"/>
            <w:vAlign w:val="top"/>
          </w:tcPr>
          <w:p w14:paraId="3DC204C3">
            <w:pPr>
              <w:rPr>
                <w:rFonts w:ascii="Arial"/>
                <w:color w:val="auto"/>
                <w:sz w:val="21"/>
                <w:highlight w:val="none"/>
              </w:rPr>
            </w:pPr>
          </w:p>
        </w:tc>
        <w:tc>
          <w:tcPr>
            <w:tcW w:w="965" w:type="dxa"/>
            <w:vAlign w:val="top"/>
          </w:tcPr>
          <w:p w14:paraId="4721FCEC">
            <w:pPr>
              <w:rPr>
                <w:rFonts w:ascii="Arial"/>
                <w:color w:val="auto"/>
                <w:sz w:val="21"/>
                <w:highlight w:val="none"/>
              </w:rPr>
            </w:pPr>
          </w:p>
        </w:tc>
        <w:tc>
          <w:tcPr>
            <w:tcW w:w="1032" w:type="dxa"/>
            <w:vAlign w:val="top"/>
          </w:tcPr>
          <w:p w14:paraId="2B019806">
            <w:pPr>
              <w:rPr>
                <w:rFonts w:ascii="Arial"/>
                <w:color w:val="auto"/>
                <w:sz w:val="21"/>
                <w:highlight w:val="none"/>
              </w:rPr>
            </w:pPr>
          </w:p>
        </w:tc>
        <w:tc>
          <w:tcPr>
            <w:tcW w:w="855" w:type="dxa"/>
            <w:vAlign w:val="top"/>
          </w:tcPr>
          <w:p w14:paraId="53AC684B">
            <w:pPr>
              <w:rPr>
                <w:rFonts w:ascii="Arial"/>
                <w:color w:val="auto"/>
                <w:sz w:val="21"/>
                <w:highlight w:val="none"/>
              </w:rPr>
            </w:pPr>
          </w:p>
        </w:tc>
        <w:tc>
          <w:tcPr>
            <w:tcW w:w="854" w:type="dxa"/>
            <w:vAlign w:val="top"/>
          </w:tcPr>
          <w:p w14:paraId="63BB2820">
            <w:pPr>
              <w:rPr>
                <w:rFonts w:ascii="Arial"/>
                <w:color w:val="auto"/>
                <w:sz w:val="21"/>
                <w:highlight w:val="none"/>
              </w:rPr>
            </w:pPr>
          </w:p>
        </w:tc>
        <w:tc>
          <w:tcPr>
            <w:tcW w:w="854" w:type="dxa"/>
            <w:vAlign w:val="top"/>
          </w:tcPr>
          <w:p w14:paraId="690582A9">
            <w:pPr>
              <w:rPr>
                <w:rFonts w:ascii="Arial"/>
                <w:color w:val="auto"/>
                <w:sz w:val="21"/>
                <w:highlight w:val="none"/>
              </w:rPr>
            </w:pPr>
          </w:p>
        </w:tc>
        <w:tc>
          <w:tcPr>
            <w:tcW w:w="849" w:type="dxa"/>
            <w:vAlign w:val="top"/>
          </w:tcPr>
          <w:p w14:paraId="265C6D4A">
            <w:pPr>
              <w:rPr>
                <w:rFonts w:ascii="Arial"/>
                <w:color w:val="auto"/>
                <w:sz w:val="21"/>
                <w:highlight w:val="none"/>
              </w:rPr>
            </w:pPr>
          </w:p>
        </w:tc>
        <w:tc>
          <w:tcPr>
            <w:tcW w:w="850" w:type="dxa"/>
            <w:vAlign w:val="top"/>
          </w:tcPr>
          <w:p w14:paraId="1D364FA7">
            <w:pPr>
              <w:rPr>
                <w:rFonts w:ascii="Arial"/>
                <w:color w:val="auto"/>
                <w:sz w:val="21"/>
                <w:highlight w:val="none"/>
              </w:rPr>
            </w:pPr>
          </w:p>
        </w:tc>
        <w:tc>
          <w:tcPr>
            <w:tcW w:w="854" w:type="dxa"/>
            <w:vAlign w:val="top"/>
          </w:tcPr>
          <w:p w14:paraId="5D0D98D5">
            <w:pPr>
              <w:rPr>
                <w:rFonts w:ascii="Arial"/>
                <w:color w:val="auto"/>
                <w:sz w:val="21"/>
                <w:highlight w:val="none"/>
              </w:rPr>
            </w:pPr>
          </w:p>
        </w:tc>
        <w:tc>
          <w:tcPr>
            <w:tcW w:w="744" w:type="dxa"/>
            <w:vAlign w:val="top"/>
          </w:tcPr>
          <w:p w14:paraId="0B867704">
            <w:pPr>
              <w:rPr>
                <w:rFonts w:ascii="Arial"/>
                <w:color w:val="auto"/>
                <w:sz w:val="21"/>
                <w:highlight w:val="none"/>
              </w:rPr>
            </w:pPr>
          </w:p>
        </w:tc>
        <w:tc>
          <w:tcPr>
            <w:tcW w:w="1128" w:type="dxa"/>
            <w:vAlign w:val="top"/>
          </w:tcPr>
          <w:p w14:paraId="2B9BFB4C">
            <w:pPr>
              <w:rPr>
                <w:rFonts w:ascii="Arial"/>
                <w:color w:val="auto"/>
                <w:sz w:val="21"/>
                <w:highlight w:val="none"/>
              </w:rPr>
            </w:pPr>
          </w:p>
        </w:tc>
        <w:tc>
          <w:tcPr>
            <w:tcW w:w="946" w:type="dxa"/>
            <w:vAlign w:val="top"/>
          </w:tcPr>
          <w:p w14:paraId="5A4428C4">
            <w:pPr>
              <w:rPr>
                <w:rFonts w:ascii="Arial"/>
                <w:color w:val="auto"/>
                <w:sz w:val="21"/>
                <w:highlight w:val="none"/>
              </w:rPr>
            </w:pPr>
          </w:p>
        </w:tc>
      </w:tr>
      <w:tr w14:paraId="09F93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11542EA9">
            <w:pPr>
              <w:spacing w:before="159" w:line="189" w:lineRule="auto"/>
              <w:ind w:left="13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272" w:type="dxa"/>
            <w:vAlign w:val="top"/>
          </w:tcPr>
          <w:p w14:paraId="4990888F">
            <w:pPr>
              <w:rPr>
                <w:rFonts w:ascii="Arial"/>
                <w:color w:val="auto"/>
                <w:sz w:val="21"/>
                <w:highlight w:val="none"/>
              </w:rPr>
            </w:pPr>
          </w:p>
        </w:tc>
        <w:tc>
          <w:tcPr>
            <w:tcW w:w="825" w:type="dxa"/>
            <w:vAlign w:val="top"/>
          </w:tcPr>
          <w:p w14:paraId="70960ABD">
            <w:pPr>
              <w:rPr>
                <w:rFonts w:ascii="Arial"/>
                <w:color w:val="auto"/>
                <w:sz w:val="21"/>
                <w:highlight w:val="none"/>
              </w:rPr>
            </w:pPr>
          </w:p>
        </w:tc>
        <w:tc>
          <w:tcPr>
            <w:tcW w:w="533" w:type="dxa"/>
            <w:vAlign w:val="top"/>
          </w:tcPr>
          <w:p w14:paraId="7FCA7E3A">
            <w:pPr>
              <w:rPr>
                <w:rFonts w:ascii="Arial"/>
                <w:color w:val="auto"/>
                <w:sz w:val="21"/>
                <w:highlight w:val="none"/>
              </w:rPr>
            </w:pPr>
          </w:p>
        </w:tc>
        <w:tc>
          <w:tcPr>
            <w:tcW w:w="749" w:type="dxa"/>
            <w:vAlign w:val="top"/>
          </w:tcPr>
          <w:p w14:paraId="4AA5E37E">
            <w:pPr>
              <w:rPr>
                <w:rFonts w:ascii="Arial"/>
                <w:color w:val="auto"/>
                <w:sz w:val="21"/>
                <w:highlight w:val="none"/>
              </w:rPr>
            </w:pPr>
          </w:p>
        </w:tc>
        <w:tc>
          <w:tcPr>
            <w:tcW w:w="753" w:type="dxa"/>
            <w:vAlign w:val="top"/>
          </w:tcPr>
          <w:p w14:paraId="55ACCBFD">
            <w:pPr>
              <w:rPr>
                <w:rFonts w:ascii="Arial"/>
                <w:color w:val="auto"/>
                <w:sz w:val="21"/>
                <w:highlight w:val="none"/>
              </w:rPr>
            </w:pPr>
          </w:p>
        </w:tc>
        <w:tc>
          <w:tcPr>
            <w:tcW w:w="965" w:type="dxa"/>
            <w:vAlign w:val="top"/>
          </w:tcPr>
          <w:p w14:paraId="64A1237F">
            <w:pPr>
              <w:rPr>
                <w:rFonts w:ascii="Arial"/>
                <w:color w:val="auto"/>
                <w:sz w:val="21"/>
                <w:highlight w:val="none"/>
              </w:rPr>
            </w:pPr>
          </w:p>
        </w:tc>
        <w:tc>
          <w:tcPr>
            <w:tcW w:w="1032" w:type="dxa"/>
            <w:vAlign w:val="top"/>
          </w:tcPr>
          <w:p w14:paraId="6CAE9789">
            <w:pPr>
              <w:rPr>
                <w:rFonts w:ascii="Arial"/>
                <w:color w:val="auto"/>
                <w:sz w:val="21"/>
                <w:highlight w:val="none"/>
              </w:rPr>
            </w:pPr>
          </w:p>
        </w:tc>
        <w:tc>
          <w:tcPr>
            <w:tcW w:w="855" w:type="dxa"/>
            <w:vAlign w:val="top"/>
          </w:tcPr>
          <w:p w14:paraId="0B4E0845">
            <w:pPr>
              <w:rPr>
                <w:rFonts w:ascii="Arial"/>
                <w:color w:val="auto"/>
                <w:sz w:val="21"/>
                <w:highlight w:val="none"/>
              </w:rPr>
            </w:pPr>
          </w:p>
        </w:tc>
        <w:tc>
          <w:tcPr>
            <w:tcW w:w="854" w:type="dxa"/>
            <w:vAlign w:val="top"/>
          </w:tcPr>
          <w:p w14:paraId="252F1E54">
            <w:pPr>
              <w:rPr>
                <w:rFonts w:ascii="Arial"/>
                <w:color w:val="auto"/>
                <w:sz w:val="21"/>
                <w:highlight w:val="none"/>
              </w:rPr>
            </w:pPr>
          </w:p>
        </w:tc>
        <w:tc>
          <w:tcPr>
            <w:tcW w:w="854" w:type="dxa"/>
            <w:vAlign w:val="top"/>
          </w:tcPr>
          <w:p w14:paraId="12AC617A">
            <w:pPr>
              <w:rPr>
                <w:rFonts w:ascii="Arial"/>
                <w:color w:val="auto"/>
                <w:sz w:val="21"/>
                <w:highlight w:val="none"/>
              </w:rPr>
            </w:pPr>
          </w:p>
        </w:tc>
        <w:tc>
          <w:tcPr>
            <w:tcW w:w="849" w:type="dxa"/>
            <w:vAlign w:val="top"/>
          </w:tcPr>
          <w:p w14:paraId="4954CB17">
            <w:pPr>
              <w:rPr>
                <w:rFonts w:ascii="Arial"/>
                <w:color w:val="auto"/>
                <w:sz w:val="21"/>
                <w:highlight w:val="none"/>
              </w:rPr>
            </w:pPr>
          </w:p>
        </w:tc>
        <w:tc>
          <w:tcPr>
            <w:tcW w:w="850" w:type="dxa"/>
            <w:vAlign w:val="top"/>
          </w:tcPr>
          <w:p w14:paraId="58927B33">
            <w:pPr>
              <w:rPr>
                <w:rFonts w:ascii="Arial"/>
                <w:color w:val="auto"/>
                <w:sz w:val="21"/>
                <w:highlight w:val="none"/>
              </w:rPr>
            </w:pPr>
          </w:p>
        </w:tc>
        <w:tc>
          <w:tcPr>
            <w:tcW w:w="854" w:type="dxa"/>
            <w:vAlign w:val="top"/>
          </w:tcPr>
          <w:p w14:paraId="6CBB2B6F">
            <w:pPr>
              <w:rPr>
                <w:rFonts w:ascii="Arial"/>
                <w:color w:val="auto"/>
                <w:sz w:val="21"/>
                <w:highlight w:val="none"/>
              </w:rPr>
            </w:pPr>
          </w:p>
        </w:tc>
        <w:tc>
          <w:tcPr>
            <w:tcW w:w="744" w:type="dxa"/>
            <w:vAlign w:val="top"/>
          </w:tcPr>
          <w:p w14:paraId="15045A11">
            <w:pPr>
              <w:rPr>
                <w:rFonts w:ascii="Arial"/>
                <w:color w:val="auto"/>
                <w:sz w:val="21"/>
                <w:highlight w:val="none"/>
              </w:rPr>
            </w:pPr>
          </w:p>
        </w:tc>
        <w:tc>
          <w:tcPr>
            <w:tcW w:w="1128" w:type="dxa"/>
            <w:vAlign w:val="top"/>
          </w:tcPr>
          <w:p w14:paraId="65EAF933">
            <w:pPr>
              <w:rPr>
                <w:rFonts w:ascii="Arial"/>
                <w:color w:val="auto"/>
                <w:sz w:val="21"/>
                <w:highlight w:val="none"/>
              </w:rPr>
            </w:pPr>
          </w:p>
        </w:tc>
        <w:tc>
          <w:tcPr>
            <w:tcW w:w="946" w:type="dxa"/>
            <w:vAlign w:val="top"/>
          </w:tcPr>
          <w:p w14:paraId="07DC0FC8">
            <w:pPr>
              <w:rPr>
                <w:rFonts w:ascii="Arial"/>
                <w:color w:val="auto"/>
                <w:sz w:val="21"/>
                <w:highlight w:val="none"/>
              </w:rPr>
            </w:pPr>
          </w:p>
        </w:tc>
      </w:tr>
      <w:tr w14:paraId="4BFFA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7DD6A447">
            <w:pPr>
              <w:spacing w:before="157" w:line="186" w:lineRule="auto"/>
              <w:ind w:left="1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272" w:type="dxa"/>
            <w:vAlign w:val="top"/>
          </w:tcPr>
          <w:p w14:paraId="5DD74CD3">
            <w:pPr>
              <w:rPr>
                <w:rFonts w:ascii="Arial"/>
                <w:color w:val="auto"/>
                <w:sz w:val="21"/>
                <w:highlight w:val="none"/>
              </w:rPr>
            </w:pPr>
          </w:p>
        </w:tc>
        <w:tc>
          <w:tcPr>
            <w:tcW w:w="825" w:type="dxa"/>
            <w:vAlign w:val="top"/>
          </w:tcPr>
          <w:p w14:paraId="50852413">
            <w:pPr>
              <w:rPr>
                <w:rFonts w:ascii="Arial"/>
                <w:color w:val="auto"/>
                <w:sz w:val="21"/>
                <w:highlight w:val="none"/>
              </w:rPr>
            </w:pPr>
          </w:p>
        </w:tc>
        <w:tc>
          <w:tcPr>
            <w:tcW w:w="533" w:type="dxa"/>
            <w:vAlign w:val="top"/>
          </w:tcPr>
          <w:p w14:paraId="13A6DD0B">
            <w:pPr>
              <w:rPr>
                <w:rFonts w:ascii="Arial"/>
                <w:color w:val="auto"/>
                <w:sz w:val="21"/>
                <w:highlight w:val="none"/>
              </w:rPr>
            </w:pPr>
          </w:p>
        </w:tc>
        <w:tc>
          <w:tcPr>
            <w:tcW w:w="749" w:type="dxa"/>
            <w:vAlign w:val="top"/>
          </w:tcPr>
          <w:p w14:paraId="0B2FAAF9">
            <w:pPr>
              <w:rPr>
                <w:rFonts w:ascii="Arial"/>
                <w:color w:val="auto"/>
                <w:sz w:val="21"/>
                <w:highlight w:val="none"/>
              </w:rPr>
            </w:pPr>
          </w:p>
        </w:tc>
        <w:tc>
          <w:tcPr>
            <w:tcW w:w="753" w:type="dxa"/>
            <w:vAlign w:val="top"/>
          </w:tcPr>
          <w:p w14:paraId="32AABB09">
            <w:pPr>
              <w:rPr>
                <w:rFonts w:ascii="Arial"/>
                <w:color w:val="auto"/>
                <w:sz w:val="21"/>
                <w:highlight w:val="none"/>
              </w:rPr>
            </w:pPr>
          </w:p>
        </w:tc>
        <w:tc>
          <w:tcPr>
            <w:tcW w:w="965" w:type="dxa"/>
            <w:vAlign w:val="top"/>
          </w:tcPr>
          <w:p w14:paraId="6E0DCCDE">
            <w:pPr>
              <w:rPr>
                <w:rFonts w:ascii="Arial"/>
                <w:color w:val="auto"/>
                <w:sz w:val="21"/>
                <w:highlight w:val="none"/>
              </w:rPr>
            </w:pPr>
          </w:p>
        </w:tc>
        <w:tc>
          <w:tcPr>
            <w:tcW w:w="1032" w:type="dxa"/>
            <w:vAlign w:val="top"/>
          </w:tcPr>
          <w:p w14:paraId="0B3CD951">
            <w:pPr>
              <w:rPr>
                <w:rFonts w:ascii="Arial"/>
                <w:color w:val="auto"/>
                <w:sz w:val="21"/>
                <w:highlight w:val="none"/>
              </w:rPr>
            </w:pPr>
          </w:p>
        </w:tc>
        <w:tc>
          <w:tcPr>
            <w:tcW w:w="855" w:type="dxa"/>
            <w:vAlign w:val="top"/>
          </w:tcPr>
          <w:p w14:paraId="1F3EA5BE">
            <w:pPr>
              <w:rPr>
                <w:rFonts w:ascii="Arial"/>
                <w:color w:val="auto"/>
                <w:sz w:val="21"/>
                <w:highlight w:val="none"/>
              </w:rPr>
            </w:pPr>
          </w:p>
        </w:tc>
        <w:tc>
          <w:tcPr>
            <w:tcW w:w="854" w:type="dxa"/>
            <w:vAlign w:val="top"/>
          </w:tcPr>
          <w:p w14:paraId="35DC68D0">
            <w:pPr>
              <w:rPr>
                <w:rFonts w:ascii="Arial"/>
                <w:color w:val="auto"/>
                <w:sz w:val="21"/>
                <w:highlight w:val="none"/>
              </w:rPr>
            </w:pPr>
          </w:p>
        </w:tc>
        <w:tc>
          <w:tcPr>
            <w:tcW w:w="854" w:type="dxa"/>
            <w:vAlign w:val="top"/>
          </w:tcPr>
          <w:p w14:paraId="4BC6E87B">
            <w:pPr>
              <w:rPr>
                <w:rFonts w:ascii="Arial"/>
                <w:color w:val="auto"/>
                <w:sz w:val="21"/>
                <w:highlight w:val="none"/>
              </w:rPr>
            </w:pPr>
          </w:p>
        </w:tc>
        <w:tc>
          <w:tcPr>
            <w:tcW w:w="849" w:type="dxa"/>
            <w:vAlign w:val="top"/>
          </w:tcPr>
          <w:p w14:paraId="55CF6982">
            <w:pPr>
              <w:rPr>
                <w:rFonts w:ascii="Arial"/>
                <w:color w:val="auto"/>
                <w:sz w:val="21"/>
                <w:highlight w:val="none"/>
              </w:rPr>
            </w:pPr>
          </w:p>
        </w:tc>
        <w:tc>
          <w:tcPr>
            <w:tcW w:w="850" w:type="dxa"/>
            <w:vAlign w:val="top"/>
          </w:tcPr>
          <w:p w14:paraId="17F78232">
            <w:pPr>
              <w:rPr>
                <w:rFonts w:ascii="Arial"/>
                <w:color w:val="auto"/>
                <w:sz w:val="21"/>
                <w:highlight w:val="none"/>
              </w:rPr>
            </w:pPr>
          </w:p>
        </w:tc>
        <w:tc>
          <w:tcPr>
            <w:tcW w:w="854" w:type="dxa"/>
            <w:vAlign w:val="top"/>
          </w:tcPr>
          <w:p w14:paraId="18209591">
            <w:pPr>
              <w:rPr>
                <w:rFonts w:ascii="Arial"/>
                <w:color w:val="auto"/>
                <w:sz w:val="21"/>
                <w:highlight w:val="none"/>
              </w:rPr>
            </w:pPr>
          </w:p>
        </w:tc>
        <w:tc>
          <w:tcPr>
            <w:tcW w:w="744" w:type="dxa"/>
            <w:vAlign w:val="top"/>
          </w:tcPr>
          <w:p w14:paraId="7BF9DC1E">
            <w:pPr>
              <w:rPr>
                <w:rFonts w:ascii="Arial"/>
                <w:color w:val="auto"/>
                <w:sz w:val="21"/>
                <w:highlight w:val="none"/>
              </w:rPr>
            </w:pPr>
          </w:p>
        </w:tc>
        <w:tc>
          <w:tcPr>
            <w:tcW w:w="1128" w:type="dxa"/>
            <w:vAlign w:val="top"/>
          </w:tcPr>
          <w:p w14:paraId="44948129">
            <w:pPr>
              <w:rPr>
                <w:rFonts w:ascii="Arial"/>
                <w:color w:val="auto"/>
                <w:sz w:val="21"/>
                <w:highlight w:val="none"/>
              </w:rPr>
            </w:pPr>
          </w:p>
        </w:tc>
        <w:tc>
          <w:tcPr>
            <w:tcW w:w="946" w:type="dxa"/>
            <w:vAlign w:val="top"/>
          </w:tcPr>
          <w:p w14:paraId="3276239A">
            <w:pPr>
              <w:rPr>
                <w:rFonts w:ascii="Arial"/>
                <w:color w:val="auto"/>
                <w:sz w:val="21"/>
                <w:highlight w:val="none"/>
              </w:rPr>
            </w:pPr>
          </w:p>
        </w:tc>
      </w:tr>
      <w:tr w14:paraId="35E6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7E53278A">
            <w:pPr>
              <w:spacing w:before="154" w:line="189" w:lineRule="auto"/>
              <w:ind w:left="14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272" w:type="dxa"/>
            <w:vAlign w:val="top"/>
          </w:tcPr>
          <w:p w14:paraId="6945F973">
            <w:pPr>
              <w:rPr>
                <w:rFonts w:ascii="Arial"/>
                <w:color w:val="auto"/>
                <w:sz w:val="21"/>
                <w:highlight w:val="none"/>
              </w:rPr>
            </w:pPr>
          </w:p>
        </w:tc>
        <w:tc>
          <w:tcPr>
            <w:tcW w:w="825" w:type="dxa"/>
            <w:vAlign w:val="top"/>
          </w:tcPr>
          <w:p w14:paraId="33B0BF3C">
            <w:pPr>
              <w:rPr>
                <w:rFonts w:ascii="Arial"/>
                <w:color w:val="auto"/>
                <w:sz w:val="21"/>
                <w:highlight w:val="none"/>
              </w:rPr>
            </w:pPr>
          </w:p>
        </w:tc>
        <w:tc>
          <w:tcPr>
            <w:tcW w:w="533" w:type="dxa"/>
            <w:vAlign w:val="top"/>
          </w:tcPr>
          <w:p w14:paraId="6769EB23">
            <w:pPr>
              <w:rPr>
                <w:rFonts w:ascii="Arial"/>
                <w:color w:val="auto"/>
                <w:sz w:val="21"/>
                <w:highlight w:val="none"/>
              </w:rPr>
            </w:pPr>
          </w:p>
        </w:tc>
        <w:tc>
          <w:tcPr>
            <w:tcW w:w="749" w:type="dxa"/>
            <w:vAlign w:val="top"/>
          </w:tcPr>
          <w:p w14:paraId="10BA2A2A">
            <w:pPr>
              <w:rPr>
                <w:rFonts w:ascii="Arial"/>
                <w:color w:val="auto"/>
                <w:sz w:val="21"/>
                <w:highlight w:val="none"/>
              </w:rPr>
            </w:pPr>
          </w:p>
        </w:tc>
        <w:tc>
          <w:tcPr>
            <w:tcW w:w="753" w:type="dxa"/>
            <w:vAlign w:val="top"/>
          </w:tcPr>
          <w:p w14:paraId="4DDD53A7">
            <w:pPr>
              <w:rPr>
                <w:rFonts w:ascii="Arial"/>
                <w:color w:val="auto"/>
                <w:sz w:val="21"/>
                <w:highlight w:val="none"/>
              </w:rPr>
            </w:pPr>
          </w:p>
        </w:tc>
        <w:tc>
          <w:tcPr>
            <w:tcW w:w="965" w:type="dxa"/>
            <w:vAlign w:val="top"/>
          </w:tcPr>
          <w:p w14:paraId="01285E23">
            <w:pPr>
              <w:rPr>
                <w:rFonts w:ascii="Arial"/>
                <w:color w:val="auto"/>
                <w:sz w:val="21"/>
                <w:highlight w:val="none"/>
              </w:rPr>
            </w:pPr>
          </w:p>
        </w:tc>
        <w:tc>
          <w:tcPr>
            <w:tcW w:w="1032" w:type="dxa"/>
            <w:vAlign w:val="top"/>
          </w:tcPr>
          <w:p w14:paraId="79A065E1">
            <w:pPr>
              <w:rPr>
                <w:rFonts w:ascii="Arial"/>
                <w:color w:val="auto"/>
                <w:sz w:val="21"/>
                <w:highlight w:val="none"/>
              </w:rPr>
            </w:pPr>
          </w:p>
        </w:tc>
        <w:tc>
          <w:tcPr>
            <w:tcW w:w="855" w:type="dxa"/>
            <w:vAlign w:val="top"/>
          </w:tcPr>
          <w:p w14:paraId="17BE8BC2">
            <w:pPr>
              <w:rPr>
                <w:rFonts w:ascii="Arial"/>
                <w:color w:val="auto"/>
                <w:sz w:val="21"/>
                <w:highlight w:val="none"/>
              </w:rPr>
            </w:pPr>
          </w:p>
        </w:tc>
        <w:tc>
          <w:tcPr>
            <w:tcW w:w="854" w:type="dxa"/>
            <w:vAlign w:val="top"/>
          </w:tcPr>
          <w:p w14:paraId="2100F60F">
            <w:pPr>
              <w:rPr>
                <w:rFonts w:ascii="Arial"/>
                <w:color w:val="auto"/>
                <w:sz w:val="21"/>
                <w:highlight w:val="none"/>
              </w:rPr>
            </w:pPr>
          </w:p>
        </w:tc>
        <w:tc>
          <w:tcPr>
            <w:tcW w:w="854" w:type="dxa"/>
            <w:vAlign w:val="top"/>
          </w:tcPr>
          <w:p w14:paraId="644E3BF8">
            <w:pPr>
              <w:rPr>
                <w:rFonts w:ascii="Arial"/>
                <w:color w:val="auto"/>
                <w:sz w:val="21"/>
                <w:highlight w:val="none"/>
              </w:rPr>
            </w:pPr>
          </w:p>
        </w:tc>
        <w:tc>
          <w:tcPr>
            <w:tcW w:w="849" w:type="dxa"/>
            <w:vAlign w:val="top"/>
          </w:tcPr>
          <w:p w14:paraId="586B46B0">
            <w:pPr>
              <w:rPr>
                <w:rFonts w:ascii="Arial"/>
                <w:color w:val="auto"/>
                <w:sz w:val="21"/>
                <w:highlight w:val="none"/>
              </w:rPr>
            </w:pPr>
          </w:p>
        </w:tc>
        <w:tc>
          <w:tcPr>
            <w:tcW w:w="850" w:type="dxa"/>
            <w:vAlign w:val="top"/>
          </w:tcPr>
          <w:p w14:paraId="36C7169C">
            <w:pPr>
              <w:rPr>
                <w:rFonts w:ascii="Arial"/>
                <w:color w:val="auto"/>
                <w:sz w:val="21"/>
                <w:highlight w:val="none"/>
              </w:rPr>
            </w:pPr>
          </w:p>
        </w:tc>
        <w:tc>
          <w:tcPr>
            <w:tcW w:w="854" w:type="dxa"/>
            <w:vAlign w:val="top"/>
          </w:tcPr>
          <w:p w14:paraId="44EBBCA8">
            <w:pPr>
              <w:rPr>
                <w:rFonts w:ascii="Arial"/>
                <w:color w:val="auto"/>
                <w:sz w:val="21"/>
                <w:highlight w:val="none"/>
              </w:rPr>
            </w:pPr>
          </w:p>
        </w:tc>
        <w:tc>
          <w:tcPr>
            <w:tcW w:w="744" w:type="dxa"/>
            <w:vAlign w:val="top"/>
          </w:tcPr>
          <w:p w14:paraId="7F1D3C83">
            <w:pPr>
              <w:rPr>
                <w:rFonts w:ascii="Arial"/>
                <w:color w:val="auto"/>
                <w:sz w:val="21"/>
                <w:highlight w:val="none"/>
              </w:rPr>
            </w:pPr>
          </w:p>
        </w:tc>
        <w:tc>
          <w:tcPr>
            <w:tcW w:w="1128" w:type="dxa"/>
            <w:vAlign w:val="top"/>
          </w:tcPr>
          <w:p w14:paraId="3011F85A">
            <w:pPr>
              <w:rPr>
                <w:rFonts w:ascii="Arial"/>
                <w:color w:val="auto"/>
                <w:sz w:val="21"/>
                <w:highlight w:val="none"/>
              </w:rPr>
            </w:pPr>
          </w:p>
        </w:tc>
        <w:tc>
          <w:tcPr>
            <w:tcW w:w="946" w:type="dxa"/>
            <w:vAlign w:val="top"/>
          </w:tcPr>
          <w:p w14:paraId="1FE8BA71">
            <w:pPr>
              <w:rPr>
                <w:rFonts w:ascii="Arial"/>
                <w:color w:val="auto"/>
                <w:sz w:val="21"/>
                <w:highlight w:val="none"/>
              </w:rPr>
            </w:pPr>
          </w:p>
        </w:tc>
      </w:tr>
      <w:tr w14:paraId="5BFF0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01E18647">
            <w:pPr>
              <w:spacing w:before="158" w:line="186"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1272" w:type="dxa"/>
            <w:vAlign w:val="top"/>
          </w:tcPr>
          <w:p w14:paraId="7D080B58">
            <w:pPr>
              <w:rPr>
                <w:rFonts w:ascii="Arial"/>
                <w:color w:val="auto"/>
                <w:sz w:val="21"/>
                <w:highlight w:val="none"/>
              </w:rPr>
            </w:pPr>
          </w:p>
        </w:tc>
        <w:tc>
          <w:tcPr>
            <w:tcW w:w="825" w:type="dxa"/>
            <w:vAlign w:val="top"/>
          </w:tcPr>
          <w:p w14:paraId="0A840C5F">
            <w:pPr>
              <w:rPr>
                <w:rFonts w:ascii="Arial"/>
                <w:color w:val="auto"/>
                <w:sz w:val="21"/>
                <w:highlight w:val="none"/>
              </w:rPr>
            </w:pPr>
          </w:p>
        </w:tc>
        <w:tc>
          <w:tcPr>
            <w:tcW w:w="533" w:type="dxa"/>
            <w:vAlign w:val="top"/>
          </w:tcPr>
          <w:p w14:paraId="6B1FD23B">
            <w:pPr>
              <w:rPr>
                <w:rFonts w:ascii="Arial"/>
                <w:color w:val="auto"/>
                <w:sz w:val="21"/>
                <w:highlight w:val="none"/>
              </w:rPr>
            </w:pPr>
          </w:p>
        </w:tc>
        <w:tc>
          <w:tcPr>
            <w:tcW w:w="749" w:type="dxa"/>
            <w:vAlign w:val="top"/>
          </w:tcPr>
          <w:p w14:paraId="20EA672C">
            <w:pPr>
              <w:rPr>
                <w:rFonts w:ascii="Arial"/>
                <w:color w:val="auto"/>
                <w:sz w:val="21"/>
                <w:highlight w:val="none"/>
              </w:rPr>
            </w:pPr>
          </w:p>
        </w:tc>
        <w:tc>
          <w:tcPr>
            <w:tcW w:w="753" w:type="dxa"/>
            <w:vAlign w:val="top"/>
          </w:tcPr>
          <w:p w14:paraId="1B3BD0F6">
            <w:pPr>
              <w:rPr>
                <w:rFonts w:ascii="Arial"/>
                <w:color w:val="auto"/>
                <w:sz w:val="21"/>
                <w:highlight w:val="none"/>
              </w:rPr>
            </w:pPr>
          </w:p>
        </w:tc>
        <w:tc>
          <w:tcPr>
            <w:tcW w:w="965" w:type="dxa"/>
            <w:vAlign w:val="top"/>
          </w:tcPr>
          <w:p w14:paraId="309C0A5A">
            <w:pPr>
              <w:rPr>
                <w:rFonts w:ascii="Arial"/>
                <w:color w:val="auto"/>
                <w:sz w:val="21"/>
                <w:highlight w:val="none"/>
              </w:rPr>
            </w:pPr>
          </w:p>
        </w:tc>
        <w:tc>
          <w:tcPr>
            <w:tcW w:w="1032" w:type="dxa"/>
            <w:vAlign w:val="top"/>
          </w:tcPr>
          <w:p w14:paraId="660EC71F">
            <w:pPr>
              <w:rPr>
                <w:rFonts w:ascii="Arial"/>
                <w:color w:val="auto"/>
                <w:sz w:val="21"/>
                <w:highlight w:val="none"/>
              </w:rPr>
            </w:pPr>
          </w:p>
        </w:tc>
        <w:tc>
          <w:tcPr>
            <w:tcW w:w="855" w:type="dxa"/>
            <w:vAlign w:val="top"/>
          </w:tcPr>
          <w:p w14:paraId="5606CE68">
            <w:pPr>
              <w:rPr>
                <w:rFonts w:ascii="Arial"/>
                <w:color w:val="auto"/>
                <w:sz w:val="21"/>
                <w:highlight w:val="none"/>
              </w:rPr>
            </w:pPr>
          </w:p>
        </w:tc>
        <w:tc>
          <w:tcPr>
            <w:tcW w:w="854" w:type="dxa"/>
            <w:vAlign w:val="top"/>
          </w:tcPr>
          <w:p w14:paraId="48D13453">
            <w:pPr>
              <w:rPr>
                <w:rFonts w:ascii="Arial"/>
                <w:color w:val="auto"/>
                <w:sz w:val="21"/>
                <w:highlight w:val="none"/>
              </w:rPr>
            </w:pPr>
          </w:p>
        </w:tc>
        <w:tc>
          <w:tcPr>
            <w:tcW w:w="854" w:type="dxa"/>
            <w:vAlign w:val="top"/>
          </w:tcPr>
          <w:p w14:paraId="6176245E">
            <w:pPr>
              <w:rPr>
                <w:rFonts w:ascii="Arial"/>
                <w:color w:val="auto"/>
                <w:sz w:val="21"/>
                <w:highlight w:val="none"/>
              </w:rPr>
            </w:pPr>
          </w:p>
        </w:tc>
        <w:tc>
          <w:tcPr>
            <w:tcW w:w="849" w:type="dxa"/>
            <w:vAlign w:val="top"/>
          </w:tcPr>
          <w:p w14:paraId="09FA2A28">
            <w:pPr>
              <w:rPr>
                <w:rFonts w:ascii="Arial"/>
                <w:color w:val="auto"/>
                <w:sz w:val="21"/>
                <w:highlight w:val="none"/>
              </w:rPr>
            </w:pPr>
          </w:p>
        </w:tc>
        <w:tc>
          <w:tcPr>
            <w:tcW w:w="850" w:type="dxa"/>
            <w:vAlign w:val="top"/>
          </w:tcPr>
          <w:p w14:paraId="207BBBEB">
            <w:pPr>
              <w:rPr>
                <w:rFonts w:ascii="Arial"/>
                <w:color w:val="auto"/>
                <w:sz w:val="21"/>
                <w:highlight w:val="none"/>
              </w:rPr>
            </w:pPr>
          </w:p>
        </w:tc>
        <w:tc>
          <w:tcPr>
            <w:tcW w:w="854" w:type="dxa"/>
            <w:vAlign w:val="top"/>
          </w:tcPr>
          <w:p w14:paraId="66596012">
            <w:pPr>
              <w:rPr>
                <w:rFonts w:ascii="Arial"/>
                <w:color w:val="auto"/>
                <w:sz w:val="21"/>
                <w:highlight w:val="none"/>
              </w:rPr>
            </w:pPr>
          </w:p>
        </w:tc>
        <w:tc>
          <w:tcPr>
            <w:tcW w:w="744" w:type="dxa"/>
            <w:vAlign w:val="top"/>
          </w:tcPr>
          <w:p w14:paraId="7B3EA15C">
            <w:pPr>
              <w:rPr>
                <w:rFonts w:ascii="Arial"/>
                <w:color w:val="auto"/>
                <w:sz w:val="21"/>
                <w:highlight w:val="none"/>
              </w:rPr>
            </w:pPr>
          </w:p>
        </w:tc>
        <w:tc>
          <w:tcPr>
            <w:tcW w:w="1128" w:type="dxa"/>
            <w:vAlign w:val="top"/>
          </w:tcPr>
          <w:p w14:paraId="56F5A302">
            <w:pPr>
              <w:rPr>
                <w:rFonts w:ascii="Arial"/>
                <w:color w:val="auto"/>
                <w:sz w:val="21"/>
                <w:highlight w:val="none"/>
              </w:rPr>
            </w:pPr>
          </w:p>
        </w:tc>
        <w:tc>
          <w:tcPr>
            <w:tcW w:w="946" w:type="dxa"/>
            <w:vAlign w:val="top"/>
          </w:tcPr>
          <w:p w14:paraId="7D62B8BC">
            <w:pPr>
              <w:rPr>
                <w:rFonts w:ascii="Arial"/>
                <w:color w:val="auto"/>
                <w:sz w:val="21"/>
                <w:highlight w:val="none"/>
              </w:rPr>
            </w:pPr>
          </w:p>
        </w:tc>
      </w:tr>
      <w:tr w14:paraId="02865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5BC5688B">
            <w:pPr>
              <w:spacing w:before="156" w:line="189" w:lineRule="auto"/>
              <w:ind w:left="1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1272" w:type="dxa"/>
            <w:vAlign w:val="top"/>
          </w:tcPr>
          <w:p w14:paraId="5FC63E61">
            <w:pPr>
              <w:rPr>
                <w:rFonts w:ascii="Arial"/>
                <w:color w:val="auto"/>
                <w:sz w:val="21"/>
                <w:highlight w:val="none"/>
              </w:rPr>
            </w:pPr>
          </w:p>
        </w:tc>
        <w:tc>
          <w:tcPr>
            <w:tcW w:w="825" w:type="dxa"/>
            <w:vAlign w:val="top"/>
          </w:tcPr>
          <w:p w14:paraId="699A6034">
            <w:pPr>
              <w:rPr>
                <w:rFonts w:ascii="Arial"/>
                <w:color w:val="auto"/>
                <w:sz w:val="21"/>
                <w:highlight w:val="none"/>
              </w:rPr>
            </w:pPr>
          </w:p>
        </w:tc>
        <w:tc>
          <w:tcPr>
            <w:tcW w:w="533" w:type="dxa"/>
            <w:vAlign w:val="top"/>
          </w:tcPr>
          <w:p w14:paraId="68F29F8E">
            <w:pPr>
              <w:rPr>
                <w:rFonts w:ascii="Arial"/>
                <w:color w:val="auto"/>
                <w:sz w:val="21"/>
                <w:highlight w:val="none"/>
              </w:rPr>
            </w:pPr>
          </w:p>
        </w:tc>
        <w:tc>
          <w:tcPr>
            <w:tcW w:w="749" w:type="dxa"/>
            <w:vAlign w:val="top"/>
          </w:tcPr>
          <w:p w14:paraId="76BC82C4">
            <w:pPr>
              <w:rPr>
                <w:rFonts w:ascii="Arial"/>
                <w:color w:val="auto"/>
                <w:sz w:val="21"/>
                <w:highlight w:val="none"/>
              </w:rPr>
            </w:pPr>
          </w:p>
        </w:tc>
        <w:tc>
          <w:tcPr>
            <w:tcW w:w="753" w:type="dxa"/>
            <w:vAlign w:val="top"/>
          </w:tcPr>
          <w:p w14:paraId="30D1EB55">
            <w:pPr>
              <w:rPr>
                <w:rFonts w:ascii="Arial"/>
                <w:color w:val="auto"/>
                <w:sz w:val="21"/>
                <w:highlight w:val="none"/>
              </w:rPr>
            </w:pPr>
          </w:p>
        </w:tc>
        <w:tc>
          <w:tcPr>
            <w:tcW w:w="965" w:type="dxa"/>
            <w:vAlign w:val="top"/>
          </w:tcPr>
          <w:p w14:paraId="74F3FBDA">
            <w:pPr>
              <w:rPr>
                <w:rFonts w:ascii="Arial"/>
                <w:color w:val="auto"/>
                <w:sz w:val="21"/>
                <w:highlight w:val="none"/>
              </w:rPr>
            </w:pPr>
          </w:p>
        </w:tc>
        <w:tc>
          <w:tcPr>
            <w:tcW w:w="1032" w:type="dxa"/>
            <w:vAlign w:val="top"/>
          </w:tcPr>
          <w:p w14:paraId="09506C33">
            <w:pPr>
              <w:rPr>
                <w:rFonts w:ascii="Arial"/>
                <w:color w:val="auto"/>
                <w:sz w:val="21"/>
                <w:highlight w:val="none"/>
              </w:rPr>
            </w:pPr>
          </w:p>
        </w:tc>
        <w:tc>
          <w:tcPr>
            <w:tcW w:w="855" w:type="dxa"/>
            <w:vAlign w:val="top"/>
          </w:tcPr>
          <w:p w14:paraId="337A8AED">
            <w:pPr>
              <w:rPr>
                <w:rFonts w:ascii="Arial"/>
                <w:color w:val="auto"/>
                <w:sz w:val="21"/>
                <w:highlight w:val="none"/>
              </w:rPr>
            </w:pPr>
          </w:p>
        </w:tc>
        <w:tc>
          <w:tcPr>
            <w:tcW w:w="854" w:type="dxa"/>
            <w:vAlign w:val="top"/>
          </w:tcPr>
          <w:p w14:paraId="07E1A707">
            <w:pPr>
              <w:rPr>
                <w:rFonts w:ascii="Arial"/>
                <w:color w:val="auto"/>
                <w:sz w:val="21"/>
                <w:highlight w:val="none"/>
              </w:rPr>
            </w:pPr>
          </w:p>
        </w:tc>
        <w:tc>
          <w:tcPr>
            <w:tcW w:w="854" w:type="dxa"/>
            <w:vAlign w:val="top"/>
          </w:tcPr>
          <w:p w14:paraId="674B3FB5">
            <w:pPr>
              <w:rPr>
                <w:rFonts w:ascii="Arial"/>
                <w:color w:val="auto"/>
                <w:sz w:val="21"/>
                <w:highlight w:val="none"/>
              </w:rPr>
            </w:pPr>
          </w:p>
        </w:tc>
        <w:tc>
          <w:tcPr>
            <w:tcW w:w="849" w:type="dxa"/>
            <w:vAlign w:val="top"/>
          </w:tcPr>
          <w:p w14:paraId="328F50F2">
            <w:pPr>
              <w:rPr>
                <w:rFonts w:ascii="Arial"/>
                <w:color w:val="auto"/>
                <w:sz w:val="21"/>
                <w:highlight w:val="none"/>
              </w:rPr>
            </w:pPr>
          </w:p>
        </w:tc>
        <w:tc>
          <w:tcPr>
            <w:tcW w:w="850" w:type="dxa"/>
            <w:vAlign w:val="top"/>
          </w:tcPr>
          <w:p w14:paraId="20BCD902">
            <w:pPr>
              <w:rPr>
                <w:rFonts w:ascii="Arial"/>
                <w:color w:val="auto"/>
                <w:sz w:val="21"/>
                <w:highlight w:val="none"/>
              </w:rPr>
            </w:pPr>
          </w:p>
        </w:tc>
        <w:tc>
          <w:tcPr>
            <w:tcW w:w="854" w:type="dxa"/>
            <w:vAlign w:val="top"/>
          </w:tcPr>
          <w:p w14:paraId="401C0CBA">
            <w:pPr>
              <w:rPr>
                <w:rFonts w:ascii="Arial"/>
                <w:color w:val="auto"/>
                <w:sz w:val="21"/>
                <w:highlight w:val="none"/>
              </w:rPr>
            </w:pPr>
          </w:p>
        </w:tc>
        <w:tc>
          <w:tcPr>
            <w:tcW w:w="744" w:type="dxa"/>
            <w:vAlign w:val="top"/>
          </w:tcPr>
          <w:p w14:paraId="0B5358C9">
            <w:pPr>
              <w:rPr>
                <w:rFonts w:ascii="Arial"/>
                <w:color w:val="auto"/>
                <w:sz w:val="21"/>
                <w:highlight w:val="none"/>
              </w:rPr>
            </w:pPr>
          </w:p>
        </w:tc>
        <w:tc>
          <w:tcPr>
            <w:tcW w:w="1128" w:type="dxa"/>
            <w:vAlign w:val="top"/>
          </w:tcPr>
          <w:p w14:paraId="58857F38">
            <w:pPr>
              <w:rPr>
                <w:rFonts w:ascii="Arial"/>
                <w:color w:val="auto"/>
                <w:sz w:val="21"/>
                <w:highlight w:val="none"/>
              </w:rPr>
            </w:pPr>
          </w:p>
        </w:tc>
        <w:tc>
          <w:tcPr>
            <w:tcW w:w="946" w:type="dxa"/>
            <w:vAlign w:val="top"/>
          </w:tcPr>
          <w:p w14:paraId="75BF5A7E">
            <w:pPr>
              <w:rPr>
                <w:rFonts w:ascii="Arial"/>
                <w:color w:val="auto"/>
                <w:sz w:val="21"/>
                <w:highlight w:val="none"/>
              </w:rPr>
            </w:pPr>
          </w:p>
        </w:tc>
      </w:tr>
      <w:tr w14:paraId="0E056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602CABF1">
            <w:pPr>
              <w:spacing w:before="161"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9</w:t>
            </w:r>
          </w:p>
        </w:tc>
        <w:tc>
          <w:tcPr>
            <w:tcW w:w="1272" w:type="dxa"/>
            <w:vAlign w:val="top"/>
          </w:tcPr>
          <w:p w14:paraId="357E001F">
            <w:pPr>
              <w:rPr>
                <w:rFonts w:ascii="Arial"/>
                <w:color w:val="auto"/>
                <w:sz w:val="21"/>
                <w:highlight w:val="none"/>
              </w:rPr>
            </w:pPr>
          </w:p>
        </w:tc>
        <w:tc>
          <w:tcPr>
            <w:tcW w:w="825" w:type="dxa"/>
            <w:vAlign w:val="top"/>
          </w:tcPr>
          <w:p w14:paraId="1E579BA5">
            <w:pPr>
              <w:rPr>
                <w:rFonts w:ascii="Arial"/>
                <w:color w:val="auto"/>
                <w:sz w:val="21"/>
                <w:highlight w:val="none"/>
              </w:rPr>
            </w:pPr>
          </w:p>
        </w:tc>
        <w:tc>
          <w:tcPr>
            <w:tcW w:w="533" w:type="dxa"/>
            <w:vAlign w:val="top"/>
          </w:tcPr>
          <w:p w14:paraId="38558841">
            <w:pPr>
              <w:rPr>
                <w:rFonts w:ascii="Arial"/>
                <w:color w:val="auto"/>
                <w:sz w:val="21"/>
                <w:highlight w:val="none"/>
              </w:rPr>
            </w:pPr>
          </w:p>
        </w:tc>
        <w:tc>
          <w:tcPr>
            <w:tcW w:w="749" w:type="dxa"/>
            <w:vAlign w:val="top"/>
          </w:tcPr>
          <w:p w14:paraId="6024424B">
            <w:pPr>
              <w:rPr>
                <w:rFonts w:ascii="Arial"/>
                <w:color w:val="auto"/>
                <w:sz w:val="21"/>
                <w:highlight w:val="none"/>
              </w:rPr>
            </w:pPr>
          </w:p>
        </w:tc>
        <w:tc>
          <w:tcPr>
            <w:tcW w:w="753" w:type="dxa"/>
            <w:vAlign w:val="top"/>
          </w:tcPr>
          <w:p w14:paraId="6BD56C4B">
            <w:pPr>
              <w:rPr>
                <w:rFonts w:ascii="Arial"/>
                <w:color w:val="auto"/>
                <w:sz w:val="21"/>
                <w:highlight w:val="none"/>
              </w:rPr>
            </w:pPr>
          </w:p>
        </w:tc>
        <w:tc>
          <w:tcPr>
            <w:tcW w:w="965" w:type="dxa"/>
            <w:vAlign w:val="top"/>
          </w:tcPr>
          <w:p w14:paraId="175871BF">
            <w:pPr>
              <w:rPr>
                <w:rFonts w:ascii="Arial"/>
                <w:color w:val="auto"/>
                <w:sz w:val="21"/>
                <w:highlight w:val="none"/>
              </w:rPr>
            </w:pPr>
          </w:p>
        </w:tc>
        <w:tc>
          <w:tcPr>
            <w:tcW w:w="1032" w:type="dxa"/>
            <w:vAlign w:val="top"/>
          </w:tcPr>
          <w:p w14:paraId="1E852466">
            <w:pPr>
              <w:rPr>
                <w:rFonts w:ascii="Arial"/>
                <w:color w:val="auto"/>
                <w:sz w:val="21"/>
                <w:highlight w:val="none"/>
              </w:rPr>
            </w:pPr>
          </w:p>
        </w:tc>
        <w:tc>
          <w:tcPr>
            <w:tcW w:w="855" w:type="dxa"/>
            <w:vAlign w:val="top"/>
          </w:tcPr>
          <w:p w14:paraId="5F863496">
            <w:pPr>
              <w:rPr>
                <w:rFonts w:ascii="Arial"/>
                <w:color w:val="auto"/>
                <w:sz w:val="21"/>
                <w:highlight w:val="none"/>
              </w:rPr>
            </w:pPr>
          </w:p>
        </w:tc>
        <w:tc>
          <w:tcPr>
            <w:tcW w:w="854" w:type="dxa"/>
            <w:vAlign w:val="top"/>
          </w:tcPr>
          <w:p w14:paraId="1318B9D5">
            <w:pPr>
              <w:rPr>
                <w:rFonts w:ascii="Arial"/>
                <w:color w:val="auto"/>
                <w:sz w:val="21"/>
                <w:highlight w:val="none"/>
              </w:rPr>
            </w:pPr>
          </w:p>
        </w:tc>
        <w:tc>
          <w:tcPr>
            <w:tcW w:w="854" w:type="dxa"/>
            <w:vAlign w:val="top"/>
          </w:tcPr>
          <w:p w14:paraId="463036CA">
            <w:pPr>
              <w:rPr>
                <w:rFonts w:ascii="Arial"/>
                <w:color w:val="auto"/>
                <w:sz w:val="21"/>
                <w:highlight w:val="none"/>
              </w:rPr>
            </w:pPr>
          </w:p>
        </w:tc>
        <w:tc>
          <w:tcPr>
            <w:tcW w:w="849" w:type="dxa"/>
            <w:vAlign w:val="top"/>
          </w:tcPr>
          <w:p w14:paraId="6340BE29">
            <w:pPr>
              <w:rPr>
                <w:rFonts w:ascii="Arial"/>
                <w:color w:val="auto"/>
                <w:sz w:val="21"/>
                <w:highlight w:val="none"/>
              </w:rPr>
            </w:pPr>
          </w:p>
        </w:tc>
        <w:tc>
          <w:tcPr>
            <w:tcW w:w="850" w:type="dxa"/>
            <w:vAlign w:val="top"/>
          </w:tcPr>
          <w:p w14:paraId="3D45CF5D">
            <w:pPr>
              <w:rPr>
                <w:rFonts w:ascii="Arial"/>
                <w:color w:val="auto"/>
                <w:sz w:val="21"/>
                <w:highlight w:val="none"/>
              </w:rPr>
            </w:pPr>
          </w:p>
        </w:tc>
        <w:tc>
          <w:tcPr>
            <w:tcW w:w="854" w:type="dxa"/>
            <w:vAlign w:val="top"/>
          </w:tcPr>
          <w:p w14:paraId="781A79E0">
            <w:pPr>
              <w:rPr>
                <w:rFonts w:ascii="Arial"/>
                <w:color w:val="auto"/>
                <w:sz w:val="21"/>
                <w:highlight w:val="none"/>
              </w:rPr>
            </w:pPr>
          </w:p>
        </w:tc>
        <w:tc>
          <w:tcPr>
            <w:tcW w:w="744" w:type="dxa"/>
            <w:vAlign w:val="top"/>
          </w:tcPr>
          <w:p w14:paraId="249FEA17">
            <w:pPr>
              <w:rPr>
                <w:rFonts w:ascii="Arial"/>
                <w:color w:val="auto"/>
                <w:sz w:val="21"/>
                <w:highlight w:val="none"/>
              </w:rPr>
            </w:pPr>
          </w:p>
        </w:tc>
        <w:tc>
          <w:tcPr>
            <w:tcW w:w="1128" w:type="dxa"/>
            <w:vAlign w:val="top"/>
          </w:tcPr>
          <w:p w14:paraId="007226FB">
            <w:pPr>
              <w:rPr>
                <w:rFonts w:ascii="Arial"/>
                <w:color w:val="auto"/>
                <w:sz w:val="21"/>
                <w:highlight w:val="none"/>
              </w:rPr>
            </w:pPr>
          </w:p>
        </w:tc>
        <w:tc>
          <w:tcPr>
            <w:tcW w:w="946" w:type="dxa"/>
            <w:vAlign w:val="top"/>
          </w:tcPr>
          <w:p w14:paraId="29D9BE73">
            <w:pPr>
              <w:rPr>
                <w:rFonts w:ascii="Arial"/>
                <w:color w:val="auto"/>
                <w:sz w:val="21"/>
                <w:highlight w:val="none"/>
              </w:rPr>
            </w:pPr>
          </w:p>
        </w:tc>
      </w:tr>
      <w:tr w14:paraId="084D6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43486ECC">
            <w:pPr>
              <w:pStyle w:val="18"/>
              <w:spacing w:before="120" w:line="325" w:lineRule="exact"/>
              <w:ind w:left="102"/>
              <w:rPr>
                <w:color w:val="auto"/>
                <w:highlight w:val="none"/>
              </w:rPr>
            </w:pPr>
            <w:r>
              <w:rPr>
                <w:color w:val="auto"/>
                <w:position w:val="2"/>
                <w:highlight w:val="none"/>
              </w:rPr>
              <w:t>…</w:t>
            </w:r>
          </w:p>
        </w:tc>
        <w:tc>
          <w:tcPr>
            <w:tcW w:w="1272" w:type="dxa"/>
            <w:vAlign w:val="top"/>
          </w:tcPr>
          <w:p w14:paraId="28135119">
            <w:pPr>
              <w:rPr>
                <w:rFonts w:ascii="Arial"/>
                <w:color w:val="auto"/>
                <w:sz w:val="21"/>
                <w:highlight w:val="none"/>
              </w:rPr>
            </w:pPr>
          </w:p>
        </w:tc>
        <w:tc>
          <w:tcPr>
            <w:tcW w:w="825" w:type="dxa"/>
            <w:vAlign w:val="top"/>
          </w:tcPr>
          <w:p w14:paraId="16F2D4C8">
            <w:pPr>
              <w:rPr>
                <w:rFonts w:ascii="Arial"/>
                <w:color w:val="auto"/>
                <w:sz w:val="21"/>
                <w:highlight w:val="none"/>
              </w:rPr>
            </w:pPr>
          </w:p>
        </w:tc>
        <w:tc>
          <w:tcPr>
            <w:tcW w:w="533" w:type="dxa"/>
            <w:vAlign w:val="top"/>
          </w:tcPr>
          <w:p w14:paraId="45C2B185">
            <w:pPr>
              <w:rPr>
                <w:rFonts w:ascii="Arial"/>
                <w:color w:val="auto"/>
                <w:sz w:val="21"/>
                <w:highlight w:val="none"/>
              </w:rPr>
            </w:pPr>
          </w:p>
        </w:tc>
        <w:tc>
          <w:tcPr>
            <w:tcW w:w="749" w:type="dxa"/>
            <w:vAlign w:val="top"/>
          </w:tcPr>
          <w:p w14:paraId="6E268505">
            <w:pPr>
              <w:rPr>
                <w:rFonts w:ascii="Arial"/>
                <w:color w:val="auto"/>
                <w:sz w:val="21"/>
                <w:highlight w:val="none"/>
              </w:rPr>
            </w:pPr>
          </w:p>
        </w:tc>
        <w:tc>
          <w:tcPr>
            <w:tcW w:w="753" w:type="dxa"/>
            <w:vAlign w:val="top"/>
          </w:tcPr>
          <w:p w14:paraId="5B572A53">
            <w:pPr>
              <w:rPr>
                <w:rFonts w:ascii="Arial"/>
                <w:color w:val="auto"/>
                <w:sz w:val="21"/>
                <w:highlight w:val="none"/>
              </w:rPr>
            </w:pPr>
          </w:p>
        </w:tc>
        <w:tc>
          <w:tcPr>
            <w:tcW w:w="965" w:type="dxa"/>
            <w:vAlign w:val="top"/>
          </w:tcPr>
          <w:p w14:paraId="1F0E507E">
            <w:pPr>
              <w:rPr>
                <w:rFonts w:ascii="Arial"/>
                <w:color w:val="auto"/>
                <w:sz w:val="21"/>
                <w:highlight w:val="none"/>
              </w:rPr>
            </w:pPr>
          </w:p>
        </w:tc>
        <w:tc>
          <w:tcPr>
            <w:tcW w:w="1032" w:type="dxa"/>
            <w:vAlign w:val="top"/>
          </w:tcPr>
          <w:p w14:paraId="73AF42E6">
            <w:pPr>
              <w:rPr>
                <w:rFonts w:ascii="Arial"/>
                <w:color w:val="auto"/>
                <w:sz w:val="21"/>
                <w:highlight w:val="none"/>
              </w:rPr>
            </w:pPr>
          </w:p>
        </w:tc>
        <w:tc>
          <w:tcPr>
            <w:tcW w:w="855" w:type="dxa"/>
            <w:vAlign w:val="top"/>
          </w:tcPr>
          <w:p w14:paraId="3573431E">
            <w:pPr>
              <w:rPr>
                <w:rFonts w:ascii="Arial"/>
                <w:color w:val="auto"/>
                <w:sz w:val="21"/>
                <w:highlight w:val="none"/>
              </w:rPr>
            </w:pPr>
          </w:p>
        </w:tc>
        <w:tc>
          <w:tcPr>
            <w:tcW w:w="854" w:type="dxa"/>
            <w:vAlign w:val="top"/>
          </w:tcPr>
          <w:p w14:paraId="263410F6">
            <w:pPr>
              <w:rPr>
                <w:rFonts w:ascii="Arial"/>
                <w:color w:val="auto"/>
                <w:sz w:val="21"/>
                <w:highlight w:val="none"/>
              </w:rPr>
            </w:pPr>
          </w:p>
        </w:tc>
        <w:tc>
          <w:tcPr>
            <w:tcW w:w="854" w:type="dxa"/>
            <w:vAlign w:val="top"/>
          </w:tcPr>
          <w:p w14:paraId="3369DEED">
            <w:pPr>
              <w:rPr>
                <w:rFonts w:ascii="Arial"/>
                <w:color w:val="auto"/>
                <w:sz w:val="21"/>
                <w:highlight w:val="none"/>
              </w:rPr>
            </w:pPr>
          </w:p>
        </w:tc>
        <w:tc>
          <w:tcPr>
            <w:tcW w:w="849" w:type="dxa"/>
            <w:vAlign w:val="top"/>
          </w:tcPr>
          <w:p w14:paraId="43B152E0">
            <w:pPr>
              <w:rPr>
                <w:rFonts w:ascii="Arial"/>
                <w:color w:val="auto"/>
                <w:sz w:val="21"/>
                <w:highlight w:val="none"/>
              </w:rPr>
            </w:pPr>
          </w:p>
        </w:tc>
        <w:tc>
          <w:tcPr>
            <w:tcW w:w="850" w:type="dxa"/>
            <w:vAlign w:val="top"/>
          </w:tcPr>
          <w:p w14:paraId="19BE1EB3">
            <w:pPr>
              <w:rPr>
                <w:rFonts w:ascii="Arial"/>
                <w:color w:val="auto"/>
                <w:sz w:val="21"/>
                <w:highlight w:val="none"/>
              </w:rPr>
            </w:pPr>
          </w:p>
        </w:tc>
        <w:tc>
          <w:tcPr>
            <w:tcW w:w="854" w:type="dxa"/>
            <w:vAlign w:val="top"/>
          </w:tcPr>
          <w:p w14:paraId="263C2EDF">
            <w:pPr>
              <w:rPr>
                <w:rFonts w:ascii="Arial"/>
                <w:color w:val="auto"/>
                <w:sz w:val="21"/>
                <w:highlight w:val="none"/>
              </w:rPr>
            </w:pPr>
          </w:p>
        </w:tc>
        <w:tc>
          <w:tcPr>
            <w:tcW w:w="744" w:type="dxa"/>
            <w:vAlign w:val="top"/>
          </w:tcPr>
          <w:p w14:paraId="038DAF02">
            <w:pPr>
              <w:rPr>
                <w:rFonts w:ascii="Arial"/>
                <w:color w:val="auto"/>
                <w:sz w:val="21"/>
                <w:highlight w:val="none"/>
              </w:rPr>
            </w:pPr>
          </w:p>
        </w:tc>
        <w:tc>
          <w:tcPr>
            <w:tcW w:w="1128" w:type="dxa"/>
            <w:vAlign w:val="top"/>
          </w:tcPr>
          <w:p w14:paraId="4CA44AB1">
            <w:pPr>
              <w:rPr>
                <w:rFonts w:ascii="Arial"/>
                <w:color w:val="auto"/>
                <w:sz w:val="21"/>
                <w:highlight w:val="none"/>
              </w:rPr>
            </w:pPr>
          </w:p>
        </w:tc>
        <w:tc>
          <w:tcPr>
            <w:tcW w:w="946" w:type="dxa"/>
            <w:vAlign w:val="top"/>
          </w:tcPr>
          <w:p w14:paraId="508F90F4">
            <w:pPr>
              <w:rPr>
                <w:rFonts w:ascii="Arial"/>
                <w:color w:val="auto"/>
                <w:sz w:val="21"/>
                <w:highlight w:val="none"/>
              </w:rPr>
            </w:pPr>
          </w:p>
        </w:tc>
      </w:tr>
    </w:tbl>
    <w:p w14:paraId="4ADFE1BA">
      <w:pPr>
        <w:spacing w:before="154" w:line="399" w:lineRule="exact"/>
        <w:ind w:left="25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备注：1.执业、职业单位是指拟投入的项目管理机构人员目前是否在投标人处注</w:t>
      </w:r>
      <w:r>
        <w:rPr>
          <w:rFonts w:ascii="宋体" w:hAnsi="宋体" w:eastAsia="宋体" w:cs="宋体"/>
          <w:color w:val="auto"/>
          <w:spacing w:val="-1"/>
          <w:position w:val="14"/>
          <w:sz w:val="21"/>
          <w:szCs w:val="21"/>
          <w:highlight w:val="none"/>
        </w:rPr>
        <w:t>册执业或岗位登记。</w:t>
      </w:r>
    </w:p>
    <w:p w14:paraId="03E1DBCA">
      <w:pPr>
        <w:spacing w:before="1" w:line="219" w:lineRule="auto"/>
        <w:ind w:left="879"/>
        <w:rPr>
          <w:rFonts w:ascii="宋体" w:hAnsi="宋体" w:eastAsia="宋体" w:cs="宋体"/>
          <w:color w:val="auto"/>
          <w:sz w:val="21"/>
          <w:szCs w:val="21"/>
          <w:highlight w:val="none"/>
        </w:rPr>
      </w:pPr>
      <w:r>
        <w:rPr>
          <w:rFonts w:ascii="宋体" w:hAnsi="宋体" w:eastAsia="宋体" w:cs="宋体"/>
          <w:color w:val="auto"/>
          <w:sz w:val="21"/>
          <w:szCs w:val="21"/>
          <w:highlight w:val="none"/>
        </w:rPr>
        <w:t>2.附项目管理机构主要人员社会保险证明。社会保险证明中缴费单位应</w:t>
      </w:r>
      <w:r>
        <w:rPr>
          <w:rFonts w:ascii="宋体" w:hAnsi="宋体" w:eastAsia="宋体" w:cs="宋体"/>
          <w:color w:val="auto"/>
          <w:spacing w:val="-1"/>
          <w:sz w:val="21"/>
          <w:szCs w:val="21"/>
          <w:highlight w:val="none"/>
        </w:rPr>
        <w:t>与投标单位一致。</w:t>
      </w:r>
    </w:p>
    <w:p w14:paraId="7EE8B1D9">
      <w:pPr>
        <w:spacing w:line="219" w:lineRule="auto"/>
        <w:rPr>
          <w:rFonts w:ascii="宋体" w:hAnsi="宋体" w:eastAsia="宋体" w:cs="宋体"/>
          <w:color w:val="auto"/>
          <w:sz w:val="21"/>
          <w:szCs w:val="21"/>
          <w:highlight w:val="none"/>
        </w:rPr>
        <w:sectPr>
          <w:footerReference r:id="rId165" w:type="default"/>
          <w:pgSz w:w="16839" w:h="11905"/>
          <w:pgMar w:top="400" w:right="1190" w:bottom="999" w:left="1200" w:header="0" w:footer="823" w:gutter="0"/>
          <w:pgNumType w:fmt="decimal"/>
          <w:cols w:space="720" w:num="1"/>
        </w:sectPr>
      </w:pPr>
    </w:p>
    <w:p w14:paraId="26BB0DDF">
      <w:pPr>
        <w:pStyle w:val="5"/>
        <w:spacing w:line="257" w:lineRule="auto"/>
        <w:rPr>
          <w:color w:val="auto"/>
          <w:highlight w:val="none"/>
        </w:rPr>
      </w:pPr>
    </w:p>
    <w:p w14:paraId="5939CD49">
      <w:pPr>
        <w:pStyle w:val="5"/>
        <w:spacing w:line="257" w:lineRule="auto"/>
        <w:rPr>
          <w:color w:val="auto"/>
          <w:highlight w:val="none"/>
        </w:rPr>
      </w:pPr>
    </w:p>
    <w:p w14:paraId="75289ABB">
      <w:pPr>
        <w:pStyle w:val="5"/>
        <w:spacing w:line="257" w:lineRule="auto"/>
        <w:rPr>
          <w:color w:val="auto"/>
          <w:highlight w:val="none"/>
        </w:rPr>
      </w:pPr>
    </w:p>
    <w:p w14:paraId="1A8E4E1D">
      <w:pPr>
        <w:pStyle w:val="5"/>
        <w:spacing w:line="257" w:lineRule="auto"/>
        <w:rPr>
          <w:color w:val="auto"/>
          <w:highlight w:val="none"/>
        </w:rPr>
      </w:pPr>
    </w:p>
    <w:p w14:paraId="263BDFBC">
      <w:pPr>
        <w:spacing w:before="87" w:line="225" w:lineRule="auto"/>
        <w:ind w:left="2800"/>
        <w:rPr>
          <w:rFonts w:ascii="黑体" w:hAnsi="黑体" w:eastAsia="黑体" w:cs="黑体"/>
          <w:color w:val="auto"/>
          <w:sz w:val="27"/>
          <w:szCs w:val="27"/>
          <w:highlight w:val="none"/>
        </w:rPr>
      </w:pPr>
      <w:bookmarkStart w:id="1755" w:name="bookmark310"/>
      <w:bookmarkEnd w:id="1755"/>
      <w:bookmarkStart w:id="1756" w:name="bookmark311"/>
      <w:bookmarkEnd w:id="1756"/>
      <w:r>
        <w:rPr>
          <w:rFonts w:ascii="黑体" w:hAnsi="黑体" w:eastAsia="黑体" w:cs="黑体"/>
          <w:color w:val="auto"/>
          <w:spacing w:val="4"/>
          <w:sz w:val="27"/>
          <w:szCs w:val="27"/>
          <w:highlight w:val="none"/>
        </w:rPr>
        <w:t>（二）项目经理简历表</w:t>
      </w:r>
    </w:p>
    <w:p w14:paraId="5AAC2E4C">
      <w:pPr>
        <w:spacing w:before="168"/>
        <w:rPr>
          <w:color w:val="auto"/>
          <w:highlight w:val="none"/>
        </w:rPr>
      </w:pPr>
    </w:p>
    <w:tbl>
      <w:tblPr>
        <w:tblStyle w:val="17"/>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4F432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3674FA0">
            <w:pPr>
              <w:pStyle w:val="18"/>
              <w:spacing w:before="125" w:line="221" w:lineRule="auto"/>
              <w:ind w:left="243"/>
              <w:rPr>
                <w:color w:val="auto"/>
                <w:highlight w:val="none"/>
              </w:rPr>
            </w:pPr>
            <w:r>
              <w:rPr>
                <w:color w:val="auto"/>
                <w:spacing w:val="-4"/>
                <w:highlight w:val="none"/>
              </w:rPr>
              <w:t>姓</w:t>
            </w:r>
            <w:r>
              <w:rPr>
                <w:color w:val="auto"/>
                <w:spacing w:val="5"/>
                <w:highlight w:val="none"/>
              </w:rPr>
              <w:t xml:space="preserve">  </w:t>
            </w:r>
            <w:r>
              <w:rPr>
                <w:color w:val="auto"/>
                <w:spacing w:val="-4"/>
                <w:highlight w:val="none"/>
              </w:rPr>
              <w:t>名</w:t>
            </w:r>
          </w:p>
        </w:tc>
        <w:tc>
          <w:tcPr>
            <w:tcW w:w="878" w:type="dxa"/>
            <w:vAlign w:val="top"/>
          </w:tcPr>
          <w:p w14:paraId="2B787E99">
            <w:pPr>
              <w:rPr>
                <w:rFonts w:ascii="Arial"/>
                <w:color w:val="auto"/>
                <w:sz w:val="21"/>
                <w:highlight w:val="none"/>
              </w:rPr>
            </w:pPr>
          </w:p>
        </w:tc>
        <w:tc>
          <w:tcPr>
            <w:tcW w:w="1066" w:type="dxa"/>
            <w:vAlign w:val="top"/>
          </w:tcPr>
          <w:p w14:paraId="6D50DCF3">
            <w:pPr>
              <w:pStyle w:val="18"/>
              <w:spacing w:before="125" w:line="221" w:lineRule="auto"/>
              <w:ind w:left="226"/>
              <w:rPr>
                <w:color w:val="auto"/>
                <w:highlight w:val="none"/>
              </w:rPr>
            </w:pPr>
            <w:r>
              <w:rPr>
                <w:color w:val="auto"/>
                <w:spacing w:val="-4"/>
                <w:highlight w:val="none"/>
              </w:rPr>
              <w:t>年</w:t>
            </w:r>
            <w:r>
              <w:rPr>
                <w:color w:val="auto"/>
                <w:spacing w:val="4"/>
                <w:highlight w:val="none"/>
              </w:rPr>
              <w:t xml:space="preserve">  </w:t>
            </w:r>
            <w:r>
              <w:rPr>
                <w:color w:val="auto"/>
                <w:spacing w:val="-4"/>
                <w:highlight w:val="none"/>
              </w:rPr>
              <w:t>龄</w:t>
            </w:r>
          </w:p>
        </w:tc>
        <w:tc>
          <w:tcPr>
            <w:tcW w:w="1190" w:type="dxa"/>
            <w:vAlign w:val="top"/>
          </w:tcPr>
          <w:p w14:paraId="55818EF1">
            <w:pPr>
              <w:rPr>
                <w:rFonts w:ascii="Arial"/>
                <w:color w:val="auto"/>
                <w:sz w:val="21"/>
                <w:highlight w:val="none"/>
              </w:rPr>
            </w:pPr>
          </w:p>
        </w:tc>
        <w:tc>
          <w:tcPr>
            <w:tcW w:w="1963" w:type="dxa"/>
            <w:vAlign w:val="top"/>
          </w:tcPr>
          <w:p w14:paraId="524BD4AE">
            <w:pPr>
              <w:pStyle w:val="18"/>
              <w:spacing w:before="125" w:line="222" w:lineRule="auto"/>
              <w:ind w:left="783"/>
              <w:rPr>
                <w:color w:val="auto"/>
                <w:highlight w:val="none"/>
              </w:rPr>
            </w:pPr>
            <w:r>
              <w:rPr>
                <w:color w:val="auto"/>
                <w:spacing w:val="-3"/>
                <w:highlight w:val="none"/>
              </w:rPr>
              <w:t>学历</w:t>
            </w:r>
          </w:p>
        </w:tc>
        <w:tc>
          <w:tcPr>
            <w:tcW w:w="1996" w:type="dxa"/>
            <w:vAlign w:val="top"/>
          </w:tcPr>
          <w:p w14:paraId="0232A04B">
            <w:pPr>
              <w:rPr>
                <w:rFonts w:ascii="Arial"/>
                <w:color w:val="auto"/>
                <w:sz w:val="21"/>
                <w:highlight w:val="none"/>
              </w:rPr>
            </w:pPr>
          </w:p>
        </w:tc>
      </w:tr>
      <w:tr w14:paraId="754F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13F9A54F">
            <w:pPr>
              <w:pStyle w:val="18"/>
              <w:spacing w:before="120" w:line="223" w:lineRule="auto"/>
              <w:ind w:left="244"/>
              <w:rPr>
                <w:color w:val="auto"/>
                <w:highlight w:val="none"/>
              </w:rPr>
            </w:pPr>
            <w:r>
              <w:rPr>
                <w:color w:val="auto"/>
                <w:spacing w:val="-4"/>
                <w:highlight w:val="none"/>
              </w:rPr>
              <w:t>职</w:t>
            </w:r>
            <w:r>
              <w:rPr>
                <w:color w:val="auto"/>
                <w:spacing w:val="4"/>
                <w:highlight w:val="none"/>
              </w:rPr>
              <w:t xml:space="preserve">  </w:t>
            </w:r>
            <w:r>
              <w:rPr>
                <w:color w:val="auto"/>
                <w:spacing w:val="-4"/>
                <w:highlight w:val="none"/>
              </w:rPr>
              <w:t>称</w:t>
            </w:r>
          </w:p>
        </w:tc>
        <w:tc>
          <w:tcPr>
            <w:tcW w:w="878" w:type="dxa"/>
            <w:vAlign w:val="top"/>
          </w:tcPr>
          <w:p w14:paraId="5D2D6946">
            <w:pPr>
              <w:rPr>
                <w:rFonts w:ascii="Arial"/>
                <w:color w:val="auto"/>
                <w:sz w:val="21"/>
                <w:highlight w:val="none"/>
              </w:rPr>
            </w:pPr>
          </w:p>
        </w:tc>
        <w:tc>
          <w:tcPr>
            <w:tcW w:w="1066" w:type="dxa"/>
            <w:vAlign w:val="top"/>
          </w:tcPr>
          <w:p w14:paraId="41860986">
            <w:pPr>
              <w:pStyle w:val="18"/>
              <w:spacing w:before="120" w:line="221" w:lineRule="auto"/>
              <w:ind w:left="226"/>
              <w:rPr>
                <w:color w:val="auto"/>
                <w:highlight w:val="none"/>
              </w:rPr>
            </w:pPr>
            <w:r>
              <w:rPr>
                <w:color w:val="auto"/>
                <w:spacing w:val="-4"/>
                <w:highlight w:val="none"/>
              </w:rPr>
              <w:t>职</w:t>
            </w:r>
            <w:r>
              <w:rPr>
                <w:color w:val="auto"/>
                <w:spacing w:val="5"/>
                <w:highlight w:val="none"/>
              </w:rPr>
              <w:t xml:space="preserve">  </w:t>
            </w:r>
            <w:r>
              <w:rPr>
                <w:color w:val="auto"/>
                <w:spacing w:val="-4"/>
                <w:highlight w:val="none"/>
              </w:rPr>
              <w:t>务</w:t>
            </w:r>
          </w:p>
        </w:tc>
        <w:tc>
          <w:tcPr>
            <w:tcW w:w="1190" w:type="dxa"/>
            <w:vAlign w:val="top"/>
          </w:tcPr>
          <w:p w14:paraId="70C05111">
            <w:pPr>
              <w:rPr>
                <w:rFonts w:ascii="Arial"/>
                <w:color w:val="auto"/>
                <w:sz w:val="21"/>
                <w:highlight w:val="none"/>
              </w:rPr>
            </w:pPr>
          </w:p>
        </w:tc>
        <w:tc>
          <w:tcPr>
            <w:tcW w:w="1963" w:type="dxa"/>
            <w:vAlign w:val="top"/>
          </w:tcPr>
          <w:p w14:paraId="2C1788A0">
            <w:pPr>
              <w:pStyle w:val="18"/>
              <w:spacing w:before="120" w:line="220" w:lineRule="auto"/>
              <w:ind w:left="250"/>
              <w:rPr>
                <w:color w:val="auto"/>
                <w:highlight w:val="none"/>
              </w:rPr>
            </w:pPr>
            <w:r>
              <w:rPr>
                <w:color w:val="auto"/>
                <w:spacing w:val="-1"/>
                <w:highlight w:val="none"/>
              </w:rPr>
              <w:t>拟在本工程任职</w:t>
            </w:r>
          </w:p>
        </w:tc>
        <w:tc>
          <w:tcPr>
            <w:tcW w:w="1996" w:type="dxa"/>
            <w:vAlign w:val="top"/>
          </w:tcPr>
          <w:p w14:paraId="19ADADF1">
            <w:pPr>
              <w:pStyle w:val="18"/>
              <w:spacing w:before="121" w:line="221" w:lineRule="auto"/>
              <w:ind w:left="586"/>
              <w:rPr>
                <w:color w:val="auto"/>
                <w:highlight w:val="none"/>
              </w:rPr>
            </w:pPr>
            <w:r>
              <w:rPr>
                <w:color w:val="auto"/>
                <w:spacing w:val="-2"/>
                <w:highlight w:val="none"/>
              </w:rPr>
              <w:t>项目经理</w:t>
            </w:r>
          </w:p>
        </w:tc>
      </w:tr>
      <w:tr w14:paraId="6520F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74DE8DF2">
            <w:pPr>
              <w:pStyle w:val="18"/>
              <w:spacing w:before="121" w:line="221" w:lineRule="auto"/>
              <w:ind w:left="372"/>
              <w:rPr>
                <w:color w:val="auto"/>
                <w:highlight w:val="none"/>
              </w:rPr>
            </w:pPr>
            <w:r>
              <w:rPr>
                <w:color w:val="auto"/>
                <w:spacing w:val="-1"/>
                <w:highlight w:val="none"/>
              </w:rPr>
              <w:t>注册建造师执业资格等级</w:t>
            </w:r>
          </w:p>
        </w:tc>
        <w:tc>
          <w:tcPr>
            <w:tcW w:w="1190" w:type="dxa"/>
            <w:vAlign w:val="top"/>
          </w:tcPr>
          <w:p w14:paraId="1F54D7EF">
            <w:pPr>
              <w:pStyle w:val="18"/>
              <w:spacing w:before="121" w:line="223" w:lineRule="auto"/>
              <w:ind w:left="820"/>
              <w:rPr>
                <w:color w:val="auto"/>
                <w:highlight w:val="none"/>
              </w:rPr>
            </w:pPr>
            <w:r>
              <w:rPr>
                <w:color w:val="auto"/>
                <w:highlight w:val="none"/>
              </w:rPr>
              <w:t>级</w:t>
            </w:r>
          </w:p>
        </w:tc>
        <w:tc>
          <w:tcPr>
            <w:tcW w:w="1963" w:type="dxa"/>
            <w:vAlign w:val="top"/>
          </w:tcPr>
          <w:p w14:paraId="5D87CDBB">
            <w:pPr>
              <w:pStyle w:val="18"/>
              <w:spacing w:before="121" w:line="221" w:lineRule="auto"/>
              <w:ind w:left="464"/>
              <w:rPr>
                <w:color w:val="auto"/>
                <w:highlight w:val="none"/>
              </w:rPr>
            </w:pPr>
            <w:r>
              <w:rPr>
                <w:color w:val="auto"/>
                <w:spacing w:val="-1"/>
                <w:highlight w:val="none"/>
              </w:rPr>
              <w:t>建造师专业</w:t>
            </w:r>
          </w:p>
        </w:tc>
        <w:tc>
          <w:tcPr>
            <w:tcW w:w="1996" w:type="dxa"/>
            <w:vAlign w:val="top"/>
          </w:tcPr>
          <w:p w14:paraId="60EFC32C">
            <w:pPr>
              <w:rPr>
                <w:rFonts w:ascii="Arial"/>
                <w:color w:val="auto"/>
                <w:sz w:val="21"/>
                <w:highlight w:val="none"/>
              </w:rPr>
            </w:pPr>
          </w:p>
        </w:tc>
      </w:tr>
      <w:tr w14:paraId="2C66A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0B6C16AA">
            <w:pPr>
              <w:pStyle w:val="18"/>
              <w:spacing w:before="122" w:line="220" w:lineRule="auto"/>
              <w:ind w:left="482"/>
              <w:rPr>
                <w:color w:val="auto"/>
                <w:highlight w:val="none"/>
              </w:rPr>
            </w:pPr>
            <w:r>
              <w:rPr>
                <w:color w:val="auto"/>
                <w:spacing w:val="-1"/>
                <w:highlight w:val="none"/>
              </w:rPr>
              <w:t>安全生产考核合格证书</w:t>
            </w:r>
          </w:p>
        </w:tc>
        <w:tc>
          <w:tcPr>
            <w:tcW w:w="5149" w:type="dxa"/>
            <w:gridSpan w:val="3"/>
            <w:vAlign w:val="top"/>
          </w:tcPr>
          <w:p w14:paraId="328206F4">
            <w:pPr>
              <w:rPr>
                <w:rFonts w:ascii="Arial"/>
                <w:color w:val="auto"/>
                <w:sz w:val="21"/>
                <w:highlight w:val="none"/>
              </w:rPr>
            </w:pPr>
          </w:p>
        </w:tc>
      </w:tr>
      <w:tr w14:paraId="348CF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130E55D">
            <w:pPr>
              <w:pStyle w:val="18"/>
              <w:spacing w:before="121" w:line="221" w:lineRule="auto"/>
              <w:ind w:left="141"/>
              <w:rPr>
                <w:color w:val="auto"/>
                <w:highlight w:val="none"/>
              </w:rPr>
            </w:pPr>
            <w:r>
              <w:rPr>
                <w:color w:val="auto"/>
                <w:spacing w:val="-2"/>
                <w:highlight w:val="none"/>
              </w:rPr>
              <w:t>毕业学校</w:t>
            </w:r>
          </w:p>
        </w:tc>
        <w:tc>
          <w:tcPr>
            <w:tcW w:w="7093" w:type="dxa"/>
            <w:gridSpan w:val="5"/>
            <w:vAlign w:val="top"/>
          </w:tcPr>
          <w:p w14:paraId="7808621A">
            <w:pPr>
              <w:pStyle w:val="18"/>
              <w:spacing w:before="121" w:line="221" w:lineRule="auto"/>
              <w:ind w:left="955"/>
              <w:rPr>
                <w:color w:val="auto"/>
                <w:highlight w:val="none"/>
              </w:rPr>
            </w:pPr>
            <w:r>
              <w:rPr>
                <w:color w:val="auto"/>
                <w:spacing w:val="-1"/>
                <w:highlight w:val="none"/>
              </w:rPr>
              <w:t>年毕业于                  学校</w:t>
            </w:r>
            <w:r>
              <w:rPr>
                <w:color w:val="auto"/>
                <w:spacing w:val="2"/>
                <w:highlight w:val="none"/>
              </w:rPr>
              <w:t xml:space="preserve">            </w:t>
            </w:r>
            <w:r>
              <w:rPr>
                <w:color w:val="auto"/>
                <w:spacing w:val="-1"/>
                <w:highlight w:val="none"/>
              </w:rPr>
              <w:t>专业</w:t>
            </w:r>
          </w:p>
        </w:tc>
      </w:tr>
      <w:tr w14:paraId="3E82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5CE2412F">
            <w:pPr>
              <w:pStyle w:val="18"/>
              <w:spacing w:before="122" w:line="221" w:lineRule="auto"/>
              <w:ind w:left="3476"/>
              <w:rPr>
                <w:color w:val="auto"/>
                <w:highlight w:val="none"/>
              </w:rPr>
            </w:pPr>
            <w:r>
              <w:rPr>
                <w:color w:val="auto"/>
                <w:spacing w:val="-1"/>
                <w:highlight w:val="none"/>
              </w:rPr>
              <w:t>主要工作经历</w:t>
            </w:r>
          </w:p>
        </w:tc>
      </w:tr>
      <w:tr w14:paraId="02E89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07EB0E7B">
            <w:pPr>
              <w:pStyle w:val="18"/>
              <w:spacing w:before="122" w:line="223" w:lineRule="auto"/>
              <w:ind w:left="253"/>
              <w:rPr>
                <w:color w:val="auto"/>
                <w:highlight w:val="none"/>
              </w:rPr>
            </w:pPr>
            <w:r>
              <w:rPr>
                <w:color w:val="auto"/>
                <w:spacing w:val="-9"/>
                <w:highlight w:val="none"/>
              </w:rPr>
              <w:t>时</w:t>
            </w:r>
            <w:r>
              <w:rPr>
                <w:color w:val="auto"/>
                <w:spacing w:val="12"/>
                <w:highlight w:val="none"/>
              </w:rPr>
              <w:t xml:space="preserve">  </w:t>
            </w:r>
            <w:r>
              <w:rPr>
                <w:color w:val="auto"/>
                <w:spacing w:val="-9"/>
                <w:highlight w:val="none"/>
              </w:rPr>
              <w:t>间</w:t>
            </w:r>
          </w:p>
        </w:tc>
        <w:tc>
          <w:tcPr>
            <w:tcW w:w="3134" w:type="dxa"/>
            <w:gridSpan w:val="3"/>
            <w:vAlign w:val="top"/>
          </w:tcPr>
          <w:p w14:paraId="3EE57E87">
            <w:pPr>
              <w:pStyle w:val="18"/>
              <w:spacing w:before="122" w:line="221" w:lineRule="auto"/>
              <w:ind w:left="524"/>
              <w:rPr>
                <w:color w:val="auto"/>
                <w:highlight w:val="none"/>
              </w:rPr>
            </w:pPr>
            <w:r>
              <w:rPr>
                <w:color w:val="auto"/>
                <w:spacing w:val="-1"/>
                <w:highlight w:val="none"/>
              </w:rPr>
              <w:t>参加过的类似项目名称</w:t>
            </w:r>
          </w:p>
        </w:tc>
        <w:tc>
          <w:tcPr>
            <w:tcW w:w="1963" w:type="dxa"/>
            <w:vAlign w:val="top"/>
          </w:tcPr>
          <w:p w14:paraId="0056415A">
            <w:pPr>
              <w:pStyle w:val="18"/>
              <w:spacing w:before="122" w:line="221" w:lineRule="auto"/>
              <w:ind w:left="358"/>
              <w:rPr>
                <w:color w:val="auto"/>
                <w:highlight w:val="none"/>
              </w:rPr>
            </w:pPr>
            <w:r>
              <w:rPr>
                <w:color w:val="auto"/>
                <w:spacing w:val="-1"/>
                <w:highlight w:val="none"/>
              </w:rPr>
              <w:t>工程概况说明</w:t>
            </w:r>
          </w:p>
        </w:tc>
        <w:tc>
          <w:tcPr>
            <w:tcW w:w="1996" w:type="dxa"/>
            <w:vAlign w:val="top"/>
          </w:tcPr>
          <w:p w14:paraId="231625EA">
            <w:pPr>
              <w:pStyle w:val="18"/>
              <w:spacing w:before="122" w:line="221" w:lineRule="auto"/>
              <w:ind w:left="168"/>
              <w:rPr>
                <w:color w:val="auto"/>
                <w:highlight w:val="none"/>
              </w:rPr>
            </w:pPr>
            <w:r>
              <w:rPr>
                <w:color w:val="auto"/>
                <w:spacing w:val="-1"/>
                <w:highlight w:val="none"/>
              </w:rPr>
              <w:t>发包人及联系电话</w:t>
            </w:r>
          </w:p>
        </w:tc>
      </w:tr>
      <w:tr w14:paraId="10504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E00C97B">
            <w:pPr>
              <w:rPr>
                <w:rFonts w:ascii="Arial"/>
                <w:color w:val="auto"/>
                <w:sz w:val="21"/>
                <w:highlight w:val="none"/>
              </w:rPr>
            </w:pPr>
          </w:p>
        </w:tc>
        <w:tc>
          <w:tcPr>
            <w:tcW w:w="3134" w:type="dxa"/>
            <w:gridSpan w:val="3"/>
            <w:vAlign w:val="top"/>
          </w:tcPr>
          <w:p w14:paraId="40439E54">
            <w:pPr>
              <w:rPr>
                <w:rFonts w:ascii="Arial"/>
                <w:color w:val="auto"/>
                <w:sz w:val="21"/>
                <w:highlight w:val="none"/>
              </w:rPr>
            </w:pPr>
          </w:p>
        </w:tc>
        <w:tc>
          <w:tcPr>
            <w:tcW w:w="1963" w:type="dxa"/>
            <w:vAlign w:val="top"/>
          </w:tcPr>
          <w:p w14:paraId="247420B2">
            <w:pPr>
              <w:rPr>
                <w:rFonts w:ascii="Arial"/>
                <w:color w:val="auto"/>
                <w:sz w:val="21"/>
                <w:highlight w:val="none"/>
              </w:rPr>
            </w:pPr>
          </w:p>
        </w:tc>
        <w:tc>
          <w:tcPr>
            <w:tcW w:w="1996" w:type="dxa"/>
            <w:vAlign w:val="top"/>
          </w:tcPr>
          <w:p w14:paraId="0FF97E48">
            <w:pPr>
              <w:rPr>
                <w:rFonts w:ascii="Arial"/>
                <w:color w:val="auto"/>
                <w:sz w:val="21"/>
                <w:highlight w:val="none"/>
              </w:rPr>
            </w:pPr>
          </w:p>
        </w:tc>
      </w:tr>
      <w:tr w14:paraId="0381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D790F33">
            <w:pPr>
              <w:rPr>
                <w:rFonts w:ascii="Arial"/>
                <w:color w:val="auto"/>
                <w:sz w:val="21"/>
                <w:highlight w:val="none"/>
              </w:rPr>
            </w:pPr>
          </w:p>
        </w:tc>
        <w:tc>
          <w:tcPr>
            <w:tcW w:w="3134" w:type="dxa"/>
            <w:gridSpan w:val="3"/>
            <w:vAlign w:val="top"/>
          </w:tcPr>
          <w:p w14:paraId="5ACEC281">
            <w:pPr>
              <w:rPr>
                <w:rFonts w:ascii="Arial"/>
                <w:color w:val="auto"/>
                <w:sz w:val="21"/>
                <w:highlight w:val="none"/>
              </w:rPr>
            </w:pPr>
          </w:p>
        </w:tc>
        <w:tc>
          <w:tcPr>
            <w:tcW w:w="1963" w:type="dxa"/>
            <w:vAlign w:val="top"/>
          </w:tcPr>
          <w:p w14:paraId="4056FE74">
            <w:pPr>
              <w:rPr>
                <w:rFonts w:ascii="Arial"/>
                <w:color w:val="auto"/>
                <w:sz w:val="21"/>
                <w:highlight w:val="none"/>
              </w:rPr>
            </w:pPr>
          </w:p>
        </w:tc>
        <w:tc>
          <w:tcPr>
            <w:tcW w:w="1996" w:type="dxa"/>
            <w:vAlign w:val="top"/>
          </w:tcPr>
          <w:p w14:paraId="27CA833A">
            <w:pPr>
              <w:rPr>
                <w:rFonts w:ascii="Arial"/>
                <w:color w:val="auto"/>
                <w:sz w:val="21"/>
                <w:highlight w:val="none"/>
              </w:rPr>
            </w:pPr>
          </w:p>
        </w:tc>
      </w:tr>
      <w:tr w14:paraId="7E4A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56AEF3D8">
            <w:pPr>
              <w:rPr>
                <w:rFonts w:ascii="Arial"/>
                <w:color w:val="auto"/>
                <w:sz w:val="21"/>
                <w:highlight w:val="none"/>
              </w:rPr>
            </w:pPr>
          </w:p>
        </w:tc>
        <w:tc>
          <w:tcPr>
            <w:tcW w:w="3134" w:type="dxa"/>
            <w:gridSpan w:val="3"/>
            <w:vAlign w:val="top"/>
          </w:tcPr>
          <w:p w14:paraId="6E9F43C7">
            <w:pPr>
              <w:rPr>
                <w:rFonts w:ascii="Arial"/>
                <w:color w:val="auto"/>
                <w:sz w:val="21"/>
                <w:highlight w:val="none"/>
              </w:rPr>
            </w:pPr>
          </w:p>
        </w:tc>
        <w:tc>
          <w:tcPr>
            <w:tcW w:w="1963" w:type="dxa"/>
            <w:vAlign w:val="top"/>
          </w:tcPr>
          <w:p w14:paraId="51FE9FD3">
            <w:pPr>
              <w:rPr>
                <w:rFonts w:ascii="Arial"/>
                <w:color w:val="auto"/>
                <w:sz w:val="21"/>
                <w:highlight w:val="none"/>
              </w:rPr>
            </w:pPr>
          </w:p>
        </w:tc>
        <w:tc>
          <w:tcPr>
            <w:tcW w:w="1996" w:type="dxa"/>
            <w:vAlign w:val="top"/>
          </w:tcPr>
          <w:p w14:paraId="09CCE6CF">
            <w:pPr>
              <w:rPr>
                <w:rFonts w:ascii="Arial"/>
                <w:color w:val="auto"/>
                <w:sz w:val="21"/>
                <w:highlight w:val="none"/>
              </w:rPr>
            </w:pPr>
          </w:p>
        </w:tc>
      </w:tr>
      <w:tr w14:paraId="04D7F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A2F1F55">
            <w:pPr>
              <w:rPr>
                <w:rFonts w:ascii="Arial"/>
                <w:color w:val="auto"/>
                <w:sz w:val="21"/>
                <w:highlight w:val="none"/>
              </w:rPr>
            </w:pPr>
          </w:p>
        </w:tc>
        <w:tc>
          <w:tcPr>
            <w:tcW w:w="3134" w:type="dxa"/>
            <w:gridSpan w:val="3"/>
            <w:vAlign w:val="top"/>
          </w:tcPr>
          <w:p w14:paraId="222D3B0A">
            <w:pPr>
              <w:rPr>
                <w:rFonts w:ascii="Arial"/>
                <w:color w:val="auto"/>
                <w:sz w:val="21"/>
                <w:highlight w:val="none"/>
              </w:rPr>
            </w:pPr>
          </w:p>
        </w:tc>
        <w:tc>
          <w:tcPr>
            <w:tcW w:w="1963" w:type="dxa"/>
            <w:vAlign w:val="top"/>
          </w:tcPr>
          <w:p w14:paraId="2C253A86">
            <w:pPr>
              <w:rPr>
                <w:rFonts w:ascii="Arial"/>
                <w:color w:val="auto"/>
                <w:sz w:val="21"/>
                <w:highlight w:val="none"/>
              </w:rPr>
            </w:pPr>
          </w:p>
        </w:tc>
        <w:tc>
          <w:tcPr>
            <w:tcW w:w="1996" w:type="dxa"/>
            <w:vAlign w:val="top"/>
          </w:tcPr>
          <w:p w14:paraId="1586F470">
            <w:pPr>
              <w:rPr>
                <w:rFonts w:ascii="Arial"/>
                <w:color w:val="auto"/>
                <w:sz w:val="21"/>
                <w:highlight w:val="none"/>
              </w:rPr>
            </w:pPr>
          </w:p>
        </w:tc>
      </w:tr>
      <w:tr w14:paraId="6DFFB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52C8CD60">
            <w:pPr>
              <w:rPr>
                <w:rFonts w:ascii="Arial"/>
                <w:color w:val="auto"/>
                <w:sz w:val="21"/>
                <w:highlight w:val="none"/>
              </w:rPr>
            </w:pPr>
          </w:p>
        </w:tc>
        <w:tc>
          <w:tcPr>
            <w:tcW w:w="3134" w:type="dxa"/>
            <w:gridSpan w:val="3"/>
            <w:vAlign w:val="top"/>
          </w:tcPr>
          <w:p w14:paraId="74416799">
            <w:pPr>
              <w:rPr>
                <w:rFonts w:ascii="Arial"/>
                <w:color w:val="auto"/>
                <w:sz w:val="21"/>
                <w:highlight w:val="none"/>
              </w:rPr>
            </w:pPr>
          </w:p>
        </w:tc>
        <w:tc>
          <w:tcPr>
            <w:tcW w:w="1963" w:type="dxa"/>
            <w:vAlign w:val="top"/>
          </w:tcPr>
          <w:p w14:paraId="5DD7CC78">
            <w:pPr>
              <w:rPr>
                <w:rFonts w:ascii="Arial"/>
                <w:color w:val="auto"/>
                <w:sz w:val="21"/>
                <w:highlight w:val="none"/>
              </w:rPr>
            </w:pPr>
          </w:p>
        </w:tc>
        <w:tc>
          <w:tcPr>
            <w:tcW w:w="1996" w:type="dxa"/>
            <w:vAlign w:val="top"/>
          </w:tcPr>
          <w:p w14:paraId="1F10689D">
            <w:pPr>
              <w:rPr>
                <w:rFonts w:ascii="Arial"/>
                <w:color w:val="auto"/>
                <w:sz w:val="21"/>
                <w:highlight w:val="none"/>
              </w:rPr>
            </w:pPr>
          </w:p>
        </w:tc>
      </w:tr>
      <w:tr w14:paraId="76142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ED70514">
            <w:pPr>
              <w:rPr>
                <w:rFonts w:ascii="Arial"/>
                <w:color w:val="auto"/>
                <w:sz w:val="21"/>
                <w:highlight w:val="none"/>
              </w:rPr>
            </w:pPr>
          </w:p>
        </w:tc>
        <w:tc>
          <w:tcPr>
            <w:tcW w:w="3134" w:type="dxa"/>
            <w:gridSpan w:val="3"/>
            <w:vAlign w:val="top"/>
          </w:tcPr>
          <w:p w14:paraId="765A48C6">
            <w:pPr>
              <w:rPr>
                <w:rFonts w:ascii="Arial"/>
                <w:color w:val="auto"/>
                <w:sz w:val="21"/>
                <w:highlight w:val="none"/>
              </w:rPr>
            </w:pPr>
          </w:p>
        </w:tc>
        <w:tc>
          <w:tcPr>
            <w:tcW w:w="1963" w:type="dxa"/>
            <w:vAlign w:val="top"/>
          </w:tcPr>
          <w:p w14:paraId="1138BB91">
            <w:pPr>
              <w:rPr>
                <w:rFonts w:ascii="Arial"/>
                <w:color w:val="auto"/>
                <w:sz w:val="21"/>
                <w:highlight w:val="none"/>
              </w:rPr>
            </w:pPr>
          </w:p>
        </w:tc>
        <w:tc>
          <w:tcPr>
            <w:tcW w:w="1996" w:type="dxa"/>
            <w:vAlign w:val="top"/>
          </w:tcPr>
          <w:p w14:paraId="35B85C98">
            <w:pPr>
              <w:rPr>
                <w:rFonts w:ascii="Arial"/>
                <w:color w:val="auto"/>
                <w:sz w:val="21"/>
                <w:highlight w:val="none"/>
              </w:rPr>
            </w:pPr>
          </w:p>
        </w:tc>
      </w:tr>
      <w:tr w14:paraId="7A4F3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01B047E">
            <w:pPr>
              <w:rPr>
                <w:rFonts w:ascii="Arial"/>
                <w:color w:val="auto"/>
                <w:sz w:val="21"/>
                <w:highlight w:val="none"/>
              </w:rPr>
            </w:pPr>
          </w:p>
        </w:tc>
        <w:tc>
          <w:tcPr>
            <w:tcW w:w="3134" w:type="dxa"/>
            <w:gridSpan w:val="3"/>
            <w:vAlign w:val="top"/>
          </w:tcPr>
          <w:p w14:paraId="784C57A1">
            <w:pPr>
              <w:rPr>
                <w:rFonts w:ascii="Arial"/>
                <w:color w:val="auto"/>
                <w:sz w:val="21"/>
                <w:highlight w:val="none"/>
              </w:rPr>
            </w:pPr>
          </w:p>
        </w:tc>
        <w:tc>
          <w:tcPr>
            <w:tcW w:w="1963" w:type="dxa"/>
            <w:vAlign w:val="top"/>
          </w:tcPr>
          <w:p w14:paraId="33C3BF9D">
            <w:pPr>
              <w:rPr>
                <w:rFonts w:ascii="Arial"/>
                <w:color w:val="auto"/>
                <w:sz w:val="21"/>
                <w:highlight w:val="none"/>
              </w:rPr>
            </w:pPr>
          </w:p>
        </w:tc>
        <w:tc>
          <w:tcPr>
            <w:tcW w:w="1996" w:type="dxa"/>
            <w:vAlign w:val="top"/>
          </w:tcPr>
          <w:p w14:paraId="4D14EA62">
            <w:pPr>
              <w:rPr>
                <w:rFonts w:ascii="Arial"/>
                <w:color w:val="auto"/>
                <w:sz w:val="21"/>
                <w:highlight w:val="none"/>
              </w:rPr>
            </w:pPr>
          </w:p>
        </w:tc>
      </w:tr>
      <w:tr w14:paraId="508A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2BDD2C1">
            <w:pPr>
              <w:rPr>
                <w:rFonts w:ascii="Arial"/>
                <w:color w:val="auto"/>
                <w:sz w:val="21"/>
                <w:highlight w:val="none"/>
              </w:rPr>
            </w:pPr>
          </w:p>
        </w:tc>
        <w:tc>
          <w:tcPr>
            <w:tcW w:w="3134" w:type="dxa"/>
            <w:gridSpan w:val="3"/>
            <w:vAlign w:val="top"/>
          </w:tcPr>
          <w:p w14:paraId="2E4B7EFC">
            <w:pPr>
              <w:rPr>
                <w:rFonts w:ascii="Arial"/>
                <w:color w:val="auto"/>
                <w:sz w:val="21"/>
                <w:highlight w:val="none"/>
              </w:rPr>
            </w:pPr>
          </w:p>
        </w:tc>
        <w:tc>
          <w:tcPr>
            <w:tcW w:w="1963" w:type="dxa"/>
            <w:vAlign w:val="top"/>
          </w:tcPr>
          <w:p w14:paraId="61AC3D57">
            <w:pPr>
              <w:rPr>
                <w:rFonts w:ascii="Arial"/>
                <w:color w:val="auto"/>
                <w:sz w:val="21"/>
                <w:highlight w:val="none"/>
              </w:rPr>
            </w:pPr>
          </w:p>
        </w:tc>
        <w:tc>
          <w:tcPr>
            <w:tcW w:w="1996" w:type="dxa"/>
            <w:vAlign w:val="top"/>
          </w:tcPr>
          <w:p w14:paraId="2756EE11">
            <w:pPr>
              <w:rPr>
                <w:rFonts w:ascii="Arial"/>
                <w:color w:val="auto"/>
                <w:sz w:val="21"/>
                <w:highlight w:val="none"/>
              </w:rPr>
            </w:pPr>
          </w:p>
        </w:tc>
      </w:tr>
      <w:tr w14:paraId="0FBE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31BF6A2F">
            <w:pPr>
              <w:rPr>
                <w:rFonts w:ascii="Arial"/>
                <w:color w:val="auto"/>
                <w:sz w:val="21"/>
                <w:highlight w:val="none"/>
              </w:rPr>
            </w:pPr>
          </w:p>
        </w:tc>
        <w:tc>
          <w:tcPr>
            <w:tcW w:w="3134" w:type="dxa"/>
            <w:gridSpan w:val="3"/>
            <w:vAlign w:val="top"/>
          </w:tcPr>
          <w:p w14:paraId="0542CF7E">
            <w:pPr>
              <w:rPr>
                <w:rFonts w:ascii="Arial"/>
                <w:color w:val="auto"/>
                <w:sz w:val="21"/>
                <w:highlight w:val="none"/>
              </w:rPr>
            </w:pPr>
          </w:p>
        </w:tc>
        <w:tc>
          <w:tcPr>
            <w:tcW w:w="1963" w:type="dxa"/>
            <w:vAlign w:val="top"/>
          </w:tcPr>
          <w:p w14:paraId="375D69EB">
            <w:pPr>
              <w:rPr>
                <w:rFonts w:ascii="Arial"/>
                <w:color w:val="auto"/>
                <w:sz w:val="21"/>
                <w:highlight w:val="none"/>
              </w:rPr>
            </w:pPr>
          </w:p>
        </w:tc>
        <w:tc>
          <w:tcPr>
            <w:tcW w:w="1996" w:type="dxa"/>
            <w:vAlign w:val="top"/>
          </w:tcPr>
          <w:p w14:paraId="5AE85CB6">
            <w:pPr>
              <w:rPr>
                <w:rFonts w:ascii="Arial"/>
                <w:color w:val="auto"/>
                <w:sz w:val="21"/>
                <w:highlight w:val="none"/>
              </w:rPr>
            </w:pPr>
          </w:p>
        </w:tc>
      </w:tr>
    </w:tbl>
    <w:p w14:paraId="7CA8FAA6">
      <w:pPr>
        <w:spacing w:before="78" w:line="253" w:lineRule="auto"/>
        <w:ind w:left="963" w:right="29" w:hanging="9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1.项目经理应附建造师注册证书、安全生产考核合格证书（</w:t>
      </w:r>
      <w:r>
        <w:rPr>
          <w:rFonts w:ascii="Times New Roman" w:hAnsi="Times New Roman" w:eastAsia="Times New Roman" w:cs="Times New Roman"/>
          <w:color w:val="auto"/>
          <w:spacing w:val="-4"/>
          <w:sz w:val="21"/>
          <w:szCs w:val="21"/>
          <w:highlight w:val="none"/>
        </w:rPr>
        <w:t>B</w:t>
      </w:r>
      <w:r>
        <w:rPr>
          <w:rFonts w:ascii="宋体" w:hAnsi="宋体" w:eastAsia="宋体" w:cs="宋体"/>
          <w:color w:val="auto"/>
          <w:spacing w:val="-4"/>
          <w:sz w:val="21"/>
          <w:szCs w:val="21"/>
          <w:highlight w:val="none"/>
        </w:rPr>
        <w:t>证）、职称证书、学历</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证书等材料。</w:t>
      </w:r>
    </w:p>
    <w:p w14:paraId="775559D0">
      <w:pPr>
        <w:spacing w:before="71" w:line="220" w:lineRule="auto"/>
        <w:ind w:left="650"/>
        <w:rPr>
          <w:rFonts w:ascii="宋体" w:hAnsi="宋体" w:eastAsia="宋体" w:cs="宋体"/>
          <w:color w:val="auto"/>
          <w:sz w:val="21"/>
          <w:szCs w:val="21"/>
          <w:highlight w:val="none"/>
        </w:rPr>
      </w:pPr>
      <w:r>
        <w:rPr>
          <w:rFonts w:ascii="宋体" w:hAnsi="宋体" w:eastAsia="宋体" w:cs="宋体"/>
          <w:color w:val="auto"/>
          <w:sz w:val="21"/>
          <w:szCs w:val="21"/>
          <w:highlight w:val="none"/>
        </w:rPr>
        <w:t>2.类似项目限于以项目经理身份参与的项目。须</w:t>
      </w:r>
      <w:r>
        <w:rPr>
          <w:rFonts w:ascii="宋体" w:hAnsi="宋体" w:eastAsia="宋体" w:cs="宋体"/>
          <w:color w:val="auto"/>
          <w:spacing w:val="-1"/>
          <w:sz w:val="21"/>
          <w:szCs w:val="21"/>
          <w:highlight w:val="none"/>
        </w:rPr>
        <w:t>附业绩证明材料。</w:t>
      </w:r>
    </w:p>
    <w:p w14:paraId="67A755F8">
      <w:pPr>
        <w:spacing w:line="220" w:lineRule="auto"/>
        <w:rPr>
          <w:rFonts w:ascii="宋体" w:hAnsi="宋体" w:eastAsia="宋体" w:cs="宋体"/>
          <w:color w:val="auto"/>
          <w:sz w:val="21"/>
          <w:szCs w:val="21"/>
          <w:highlight w:val="none"/>
        </w:rPr>
        <w:sectPr>
          <w:footerReference r:id="rId166" w:type="default"/>
          <w:pgSz w:w="11905" w:h="16839"/>
          <w:pgMar w:top="400" w:right="1785" w:bottom="1004" w:left="1785" w:header="0" w:footer="828" w:gutter="0"/>
          <w:pgNumType w:fmt="decimal"/>
          <w:cols w:space="720" w:num="1"/>
        </w:sectPr>
      </w:pPr>
    </w:p>
    <w:p w14:paraId="292440A2">
      <w:pPr>
        <w:pStyle w:val="5"/>
        <w:spacing w:line="260" w:lineRule="auto"/>
        <w:rPr>
          <w:color w:val="auto"/>
          <w:highlight w:val="none"/>
        </w:rPr>
      </w:pPr>
    </w:p>
    <w:p w14:paraId="242254BA">
      <w:pPr>
        <w:pStyle w:val="5"/>
        <w:spacing w:line="260" w:lineRule="auto"/>
        <w:rPr>
          <w:color w:val="auto"/>
          <w:highlight w:val="none"/>
        </w:rPr>
      </w:pPr>
    </w:p>
    <w:p w14:paraId="1F0BA53D">
      <w:pPr>
        <w:pStyle w:val="5"/>
        <w:spacing w:line="260" w:lineRule="auto"/>
        <w:rPr>
          <w:color w:val="auto"/>
          <w:highlight w:val="none"/>
        </w:rPr>
      </w:pPr>
    </w:p>
    <w:p w14:paraId="07CBECA1">
      <w:pPr>
        <w:pStyle w:val="5"/>
        <w:spacing w:line="260" w:lineRule="auto"/>
        <w:rPr>
          <w:color w:val="auto"/>
          <w:highlight w:val="none"/>
        </w:rPr>
      </w:pPr>
    </w:p>
    <w:p w14:paraId="2576F853">
      <w:pPr>
        <w:pStyle w:val="5"/>
        <w:spacing w:line="261" w:lineRule="auto"/>
        <w:rPr>
          <w:color w:val="auto"/>
          <w:highlight w:val="none"/>
        </w:rPr>
      </w:pPr>
    </w:p>
    <w:p w14:paraId="6B4F4412">
      <w:pPr>
        <w:spacing w:before="87" w:line="225" w:lineRule="auto"/>
        <w:ind w:left="3361"/>
        <w:rPr>
          <w:rFonts w:ascii="黑体" w:hAnsi="黑体" w:eastAsia="黑体" w:cs="黑体"/>
          <w:color w:val="auto"/>
          <w:sz w:val="27"/>
          <w:szCs w:val="27"/>
          <w:highlight w:val="none"/>
        </w:rPr>
      </w:pPr>
      <w:bookmarkStart w:id="1757" w:name="bookmark312"/>
      <w:bookmarkEnd w:id="1757"/>
      <w:r>
        <w:rPr>
          <w:rFonts w:ascii="黑体" w:hAnsi="黑体" w:eastAsia="黑体" w:cs="黑体"/>
          <w:color w:val="auto"/>
          <w:spacing w:val="-1"/>
          <w:sz w:val="27"/>
          <w:szCs w:val="27"/>
          <w:highlight w:val="none"/>
        </w:rPr>
        <w:t>（三）承诺书</w:t>
      </w:r>
    </w:p>
    <w:p w14:paraId="4BBBBE1D">
      <w:pPr>
        <w:tabs>
          <w:tab w:val="left" w:pos="2218"/>
        </w:tabs>
        <w:spacing w:before="290"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5B2FCBEC">
      <w:pPr>
        <w:spacing w:before="162" w:line="388" w:lineRule="auto"/>
        <w:ind w:left="35" w:right="1" w:firstLine="40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我方在此声明，我方拟派往</w:t>
      </w:r>
      <w:r>
        <w:rPr>
          <w:rFonts w:ascii="宋体" w:hAnsi="宋体" w:eastAsia="宋体" w:cs="宋体"/>
          <w:color w:val="auto"/>
          <w:spacing w:val="-103"/>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（标段名称</w:t>
      </w:r>
      <w:r>
        <w:rPr>
          <w:rFonts w:ascii="宋体" w:hAnsi="宋体" w:eastAsia="宋体" w:cs="宋体"/>
          <w:color w:val="auto"/>
          <w:spacing w:val="-8"/>
          <w:sz w:val="21"/>
          <w:szCs w:val="21"/>
          <w:highlight w:val="none"/>
        </w:rPr>
        <w:t>）（</w:t>
      </w:r>
      <w:r>
        <w:rPr>
          <w:rFonts w:ascii="宋体" w:hAnsi="宋体" w:eastAsia="宋体" w:cs="宋体"/>
          <w:color w:val="auto"/>
          <w:spacing w:val="-4"/>
          <w:sz w:val="21"/>
          <w:szCs w:val="21"/>
          <w:highlight w:val="none"/>
        </w:rPr>
        <w:t>以下简称“本工程”）</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的项目经理</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 xml:space="preserve">  （项目经理姓名） 现阶段（投标截止时间之前）没有担任</w:t>
      </w:r>
      <w:r>
        <w:rPr>
          <w:rFonts w:ascii="宋体" w:hAnsi="宋体" w:eastAsia="宋体" w:cs="宋体"/>
          <w:color w:val="auto"/>
          <w:spacing w:val="-7"/>
          <w:sz w:val="21"/>
          <w:szCs w:val="21"/>
          <w:highlight w:val="none"/>
        </w:rPr>
        <w:t>其他在</w:t>
      </w:r>
    </w:p>
    <w:p w14:paraId="719FCC1A">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施建设工程项目的项目经理。</w:t>
      </w:r>
    </w:p>
    <w:p w14:paraId="292E9C78">
      <w:pPr>
        <w:spacing w:before="185" w:line="388" w:lineRule="auto"/>
        <w:ind w:left="17" w:right="7"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根据《注册建造师执业管理办法（试行）》第九条规定“注册建造师不得同时担任两个</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及以上建设工程施工项目负责人”，第十条规定“注册建造</w:t>
      </w:r>
      <w:r>
        <w:rPr>
          <w:rFonts w:ascii="宋体" w:hAnsi="宋体" w:eastAsia="宋体" w:cs="宋体"/>
          <w:color w:val="auto"/>
          <w:spacing w:val="-3"/>
          <w:sz w:val="21"/>
          <w:szCs w:val="21"/>
          <w:highlight w:val="none"/>
        </w:rPr>
        <w:t>师担任施工项目负责人期间原则</w:t>
      </w:r>
    </w:p>
    <w:p w14:paraId="77C45BDE">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上不得更换”。我方拟派项目经理的能够参加本工程的投标是基于以下理</w:t>
      </w:r>
      <w:r>
        <w:rPr>
          <w:rFonts w:ascii="宋体" w:hAnsi="宋体" w:eastAsia="宋体" w:cs="宋体"/>
          <w:color w:val="auto"/>
          <w:spacing w:val="-5"/>
          <w:sz w:val="21"/>
          <w:szCs w:val="21"/>
          <w:highlight w:val="none"/>
        </w:rPr>
        <w:t>由：</w:t>
      </w:r>
    </w:p>
    <w:p w14:paraId="74A23C24">
      <w:pPr>
        <w:spacing w:before="187" w:line="220" w:lineRule="auto"/>
        <w:ind w:left="56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拟派项目经理无在建工程。</w:t>
      </w:r>
    </w:p>
    <w:p w14:paraId="463DFB5B">
      <w:pPr>
        <w:spacing w:before="191" w:line="220" w:lineRule="auto"/>
        <w:ind w:right="22"/>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拟派项目经理存在《注册建造师执业管理办法</w:t>
      </w:r>
      <w:r>
        <w:rPr>
          <w:rFonts w:ascii="宋体" w:hAnsi="宋体" w:eastAsia="宋体" w:cs="宋体"/>
          <w:color w:val="auto"/>
          <w:spacing w:val="-4"/>
          <w:sz w:val="21"/>
          <w:szCs w:val="21"/>
          <w:highlight w:val="none"/>
        </w:rPr>
        <w:t>（试行）》第九条规定的下列情形：</w:t>
      </w:r>
    </w:p>
    <w:p w14:paraId="7C1D563B">
      <w:pPr>
        <w:spacing w:before="192"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□同一工程相邻分段发包或分期施工的</w:t>
      </w:r>
      <w:r>
        <w:rPr>
          <w:rFonts w:ascii="宋体" w:hAnsi="宋体" w:eastAsia="宋体" w:cs="宋体"/>
          <w:color w:val="auto"/>
          <w:spacing w:val="-51"/>
          <w:sz w:val="21"/>
          <w:szCs w:val="21"/>
          <w:highlight w:val="none"/>
        </w:rPr>
        <w:t xml:space="preserve"> </w:t>
      </w:r>
      <w:r>
        <w:rPr>
          <w:rFonts w:ascii="宋体" w:hAnsi="宋体" w:eastAsia="宋体" w:cs="宋体"/>
          <w:color w:val="auto"/>
          <w:spacing w:val="-2"/>
          <w:sz w:val="21"/>
          <w:szCs w:val="21"/>
          <w:highlight w:val="none"/>
        </w:rPr>
        <w:t>;</w:t>
      </w:r>
    </w:p>
    <w:p w14:paraId="7282604F">
      <w:pPr>
        <w:spacing w:before="185"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□合同约定的工程验收合格的；</w:t>
      </w:r>
    </w:p>
    <w:p w14:paraId="4AD1671E">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□因非承包方原因致使工程项目停工超过</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120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天（含</w:t>
      </w:r>
      <w:r>
        <w:rPr>
          <w:rFonts w:ascii="宋体" w:hAnsi="宋体" w:eastAsia="宋体" w:cs="宋体"/>
          <w:color w:val="auto"/>
          <w:spacing w:val="-51"/>
          <w:sz w:val="21"/>
          <w:szCs w:val="21"/>
          <w:highlight w:val="none"/>
        </w:rPr>
        <w:t>），</w:t>
      </w:r>
      <w:r>
        <w:rPr>
          <w:rFonts w:ascii="宋体" w:hAnsi="宋体" w:eastAsia="宋体" w:cs="宋体"/>
          <w:color w:val="auto"/>
          <w:spacing w:val="-2"/>
          <w:sz w:val="21"/>
          <w:szCs w:val="21"/>
          <w:highlight w:val="none"/>
        </w:rPr>
        <w:t>经建设单位同意的。</w:t>
      </w:r>
    </w:p>
    <w:p w14:paraId="4EA9A9C3">
      <w:pPr>
        <w:spacing w:before="191" w:line="220" w:lineRule="auto"/>
        <w:ind w:right="28"/>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宋体" w:hAnsi="宋体" w:eastAsia="宋体" w:cs="宋体"/>
          <w:color w:val="auto"/>
          <w:spacing w:val="75"/>
          <w:sz w:val="21"/>
          <w:szCs w:val="21"/>
          <w:highlight w:val="none"/>
        </w:rPr>
        <w:t xml:space="preserve"> </w:t>
      </w:r>
      <w:r>
        <w:rPr>
          <w:rFonts w:ascii="宋体" w:hAnsi="宋体" w:eastAsia="宋体" w:cs="宋体"/>
          <w:color w:val="auto"/>
          <w:sz w:val="21"/>
          <w:szCs w:val="21"/>
          <w:highlight w:val="none"/>
        </w:rPr>
        <w:t>拟派项目经理担任其他施工项目负责人期间因下列原因进行了更换，并办理书面</w:t>
      </w:r>
    </w:p>
    <w:p w14:paraId="548BD215">
      <w:pPr>
        <w:spacing w:before="187" w:line="221" w:lineRule="auto"/>
        <w:ind w:left="2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交接手续：</w:t>
      </w:r>
    </w:p>
    <w:p w14:paraId="3A27A868">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□发包方与注册建造师受聘企业已解除承包合同的；</w:t>
      </w:r>
    </w:p>
    <w:p w14:paraId="505FD237">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□发包方同意更换项目负责人的；</w:t>
      </w:r>
    </w:p>
    <w:p w14:paraId="3A770622">
      <w:pPr>
        <w:spacing w:before="185"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□因不可抗力等特殊情况必须更换项目负责人的。</w:t>
      </w:r>
    </w:p>
    <w:p w14:paraId="1AC44A0C">
      <w:pPr>
        <w:spacing w:before="191" w:line="239" w:lineRule="auto"/>
        <w:ind w:left="563"/>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宋体" w:hAnsi="宋体" w:eastAsia="宋体" w:cs="宋体"/>
          <w:color w:val="auto"/>
          <w:spacing w:val="-52"/>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15"/>
          <w:sz w:val="21"/>
          <w:szCs w:val="21"/>
          <w:highlight w:val="none"/>
        </w:rPr>
        <w:t>。</w:t>
      </w:r>
    </w:p>
    <w:p w14:paraId="05F4771F">
      <w:pPr>
        <w:spacing w:before="170" w:line="437" w:lineRule="exact"/>
        <w:ind w:left="442"/>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我方保证上述信息的真实性和准确性， 并承担相应的法律责任。</w:t>
      </w:r>
    </w:p>
    <w:p w14:paraId="56131F6E">
      <w:pPr>
        <w:spacing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特此承诺</w:t>
      </w:r>
    </w:p>
    <w:p w14:paraId="35743EFA">
      <w:pPr>
        <w:pStyle w:val="5"/>
        <w:spacing w:line="417" w:lineRule="auto"/>
        <w:rPr>
          <w:color w:val="auto"/>
          <w:highlight w:val="none"/>
        </w:rPr>
      </w:pPr>
    </w:p>
    <w:p w14:paraId="1022C669">
      <w:pPr>
        <w:spacing w:before="69" w:line="359" w:lineRule="auto"/>
        <w:ind w:right="7"/>
        <w:jc w:val="right"/>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投标人</w:t>
      </w:r>
      <w:r>
        <w:rPr>
          <w:rFonts w:ascii="宋体" w:hAnsi="宋体" w:eastAsia="宋体" w:cs="宋体"/>
          <w:color w:val="auto"/>
          <w:spacing w:val="3"/>
          <w:sz w:val="21"/>
          <w:szCs w:val="21"/>
          <w:highlight w:val="none"/>
        </w:rPr>
        <w:t>：</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4"/>
          <w:sz w:val="21"/>
          <w:szCs w:val="21"/>
          <w:highlight w:val="none"/>
        </w:rPr>
        <w:t>盖单位章）</w:t>
      </w:r>
    </w:p>
    <w:p w14:paraId="763D190F">
      <w:pPr>
        <w:spacing w:before="1" w:line="219" w:lineRule="auto"/>
        <w:ind w:right="11"/>
        <w:jc w:val="right"/>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4A7F388A">
      <w:pPr>
        <w:tabs>
          <w:tab w:val="left" w:pos="6017"/>
        </w:tabs>
        <w:spacing w:before="158" w:line="221" w:lineRule="auto"/>
        <w:ind w:left="496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56D9770E">
      <w:pPr>
        <w:spacing w:line="221" w:lineRule="auto"/>
        <w:rPr>
          <w:rFonts w:ascii="宋体" w:hAnsi="宋体" w:eastAsia="宋体" w:cs="宋体"/>
          <w:color w:val="auto"/>
          <w:sz w:val="21"/>
          <w:szCs w:val="21"/>
          <w:highlight w:val="none"/>
        </w:rPr>
        <w:sectPr>
          <w:footerReference r:id="rId167" w:type="default"/>
          <w:pgSz w:w="11905" w:h="16839"/>
          <w:pgMar w:top="400" w:right="1785" w:bottom="1004" w:left="1785" w:header="0" w:footer="828" w:gutter="0"/>
          <w:pgNumType w:fmt="decimal"/>
          <w:cols w:space="720" w:num="1"/>
        </w:sectPr>
      </w:pPr>
    </w:p>
    <w:p w14:paraId="1862B8DA">
      <w:pPr>
        <w:pStyle w:val="5"/>
        <w:spacing w:line="257" w:lineRule="auto"/>
        <w:rPr>
          <w:color w:val="auto"/>
          <w:highlight w:val="none"/>
        </w:rPr>
      </w:pPr>
    </w:p>
    <w:p w14:paraId="5F18184D">
      <w:pPr>
        <w:pStyle w:val="5"/>
        <w:spacing w:line="257" w:lineRule="auto"/>
        <w:rPr>
          <w:color w:val="auto"/>
          <w:highlight w:val="none"/>
        </w:rPr>
      </w:pPr>
    </w:p>
    <w:p w14:paraId="2A13E1AA">
      <w:pPr>
        <w:pStyle w:val="5"/>
        <w:spacing w:line="257" w:lineRule="auto"/>
        <w:rPr>
          <w:color w:val="auto"/>
          <w:highlight w:val="none"/>
        </w:rPr>
      </w:pPr>
    </w:p>
    <w:p w14:paraId="51B89552">
      <w:pPr>
        <w:pStyle w:val="5"/>
        <w:spacing w:line="257" w:lineRule="auto"/>
        <w:rPr>
          <w:color w:val="auto"/>
          <w:highlight w:val="none"/>
        </w:rPr>
      </w:pPr>
    </w:p>
    <w:p w14:paraId="70C0BF90">
      <w:pPr>
        <w:spacing w:before="88" w:line="224" w:lineRule="auto"/>
        <w:ind w:left="1959"/>
        <w:rPr>
          <w:rFonts w:ascii="黑体" w:hAnsi="黑体" w:eastAsia="黑体" w:cs="黑体"/>
          <w:color w:val="auto"/>
          <w:sz w:val="27"/>
          <w:szCs w:val="27"/>
          <w:highlight w:val="none"/>
        </w:rPr>
      </w:pPr>
      <w:bookmarkStart w:id="1758" w:name="bookmark313"/>
      <w:bookmarkEnd w:id="1758"/>
      <w:bookmarkStart w:id="1759" w:name="bookmark314"/>
      <w:bookmarkEnd w:id="1759"/>
      <w:r>
        <w:rPr>
          <w:rFonts w:ascii="黑体" w:hAnsi="黑体" w:eastAsia="黑体" w:cs="黑体"/>
          <w:color w:val="auto"/>
          <w:spacing w:val="6"/>
          <w:sz w:val="27"/>
          <w:szCs w:val="27"/>
          <w:highlight w:val="none"/>
        </w:rPr>
        <w:t>（四）其他主要项目管理人员简历表</w:t>
      </w:r>
    </w:p>
    <w:p w14:paraId="70910A59">
      <w:pPr>
        <w:spacing w:before="20"/>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7801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64DAECF2">
            <w:pPr>
              <w:pStyle w:val="18"/>
              <w:spacing w:before="91" w:line="231" w:lineRule="auto"/>
              <w:ind w:left="250" w:right="224" w:firstLine="16"/>
              <w:rPr>
                <w:color w:val="auto"/>
                <w:highlight w:val="none"/>
              </w:rPr>
            </w:pPr>
            <w:r>
              <w:rPr>
                <w:color w:val="auto"/>
                <w:spacing w:val="-7"/>
                <w:highlight w:val="none"/>
              </w:rPr>
              <w:t>岗位名称</w:t>
            </w:r>
            <w:r>
              <w:rPr>
                <w:color w:val="auto"/>
                <w:highlight w:val="none"/>
              </w:rPr>
              <w:t xml:space="preserve"> </w:t>
            </w:r>
            <w:r>
              <w:rPr>
                <w:color w:val="auto"/>
                <w:spacing w:val="-5"/>
                <w:highlight w:val="none"/>
              </w:rPr>
              <w:t>（职务）</w:t>
            </w:r>
          </w:p>
        </w:tc>
        <w:tc>
          <w:tcPr>
            <w:tcW w:w="7001" w:type="dxa"/>
            <w:gridSpan w:val="3"/>
            <w:vAlign w:val="top"/>
          </w:tcPr>
          <w:p w14:paraId="51B0D472">
            <w:pPr>
              <w:rPr>
                <w:rFonts w:ascii="Arial"/>
                <w:color w:val="auto"/>
                <w:sz w:val="21"/>
                <w:highlight w:val="none"/>
              </w:rPr>
            </w:pPr>
          </w:p>
        </w:tc>
      </w:tr>
      <w:tr w14:paraId="2792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12F39A76">
            <w:pPr>
              <w:pStyle w:val="18"/>
              <w:spacing w:before="221" w:line="221" w:lineRule="auto"/>
              <w:ind w:left="243"/>
              <w:rPr>
                <w:color w:val="auto"/>
                <w:highlight w:val="none"/>
              </w:rPr>
            </w:pPr>
            <w:r>
              <w:rPr>
                <w:color w:val="auto"/>
                <w:spacing w:val="-4"/>
                <w:highlight w:val="none"/>
              </w:rPr>
              <w:t>姓</w:t>
            </w:r>
            <w:r>
              <w:rPr>
                <w:color w:val="auto"/>
                <w:spacing w:val="3"/>
                <w:highlight w:val="none"/>
              </w:rPr>
              <w:t xml:space="preserve">    </w:t>
            </w:r>
            <w:r>
              <w:rPr>
                <w:color w:val="auto"/>
                <w:spacing w:val="-4"/>
                <w:highlight w:val="none"/>
              </w:rPr>
              <w:t>名</w:t>
            </w:r>
          </w:p>
        </w:tc>
        <w:tc>
          <w:tcPr>
            <w:tcW w:w="2654" w:type="dxa"/>
            <w:vAlign w:val="top"/>
          </w:tcPr>
          <w:p w14:paraId="0EB7B6C9">
            <w:pPr>
              <w:rPr>
                <w:rFonts w:ascii="Arial"/>
                <w:color w:val="auto"/>
                <w:sz w:val="21"/>
                <w:highlight w:val="none"/>
              </w:rPr>
            </w:pPr>
          </w:p>
        </w:tc>
        <w:tc>
          <w:tcPr>
            <w:tcW w:w="1684" w:type="dxa"/>
            <w:vAlign w:val="top"/>
          </w:tcPr>
          <w:p w14:paraId="415DA078">
            <w:pPr>
              <w:pStyle w:val="18"/>
              <w:spacing w:before="221" w:line="221" w:lineRule="auto"/>
              <w:ind w:left="429"/>
              <w:rPr>
                <w:color w:val="auto"/>
                <w:highlight w:val="none"/>
              </w:rPr>
            </w:pPr>
            <w:r>
              <w:rPr>
                <w:color w:val="auto"/>
                <w:spacing w:val="-4"/>
                <w:highlight w:val="none"/>
              </w:rPr>
              <w:t>年</w:t>
            </w:r>
            <w:r>
              <w:rPr>
                <w:color w:val="auto"/>
                <w:spacing w:val="2"/>
                <w:highlight w:val="none"/>
              </w:rPr>
              <w:t xml:space="preserve">    </w:t>
            </w:r>
            <w:r>
              <w:rPr>
                <w:color w:val="auto"/>
                <w:spacing w:val="-4"/>
                <w:highlight w:val="none"/>
              </w:rPr>
              <w:t>龄</w:t>
            </w:r>
          </w:p>
        </w:tc>
        <w:tc>
          <w:tcPr>
            <w:tcW w:w="2663" w:type="dxa"/>
            <w:vAlign w:val="top"/>
          </w:tcPr>
          <w:p w14:paraId="4E8E80E6">
            <w:pPr>
              <w:rPr>
                <w:rFonts w:ascii="Arial"/>
                <w:color w:val="auto"/>
                <w:sz w:val="21"/>
                <w:highlight w:val="none"/>
              </w:rPr>
            </w:pPr>
          </w:p>
        </w:tc>
      </w:tr>
      <w:tr w14:paraId="043A0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42AF6857">
            <w:pPr>
              <w:pStyle w:val="18"/>
              <w:spacing w:before="222" w:line="221" w:lineRule="auto"/>
              <w:ind w:left="246"/>
              <w:rPr>
                <w:color w:val="auto"/>
                <w:highlight w:val="none"/>
              </w:rPr>
            </w:pPr>
            <w:r>
              <w:rPr>
                <w:color w:val="auto"/>
                <w:spacing w:val="-5"/>
                <w:highlight w:val="none"/>
              </w:rPr>
              <w:t>性</w:t>
            </w:r>
            <w:r>
              <w:rPr>
                <w:color w:val="auto"/>
                <w:spacing w:val="3"/>
                <w:highlight w:val="none"/>
              </w:rPr>
              <w:t xml:space="preserve">    </w:t>
            </w:r>
            <w:r>
              <w:rPr>
                <w:color w:val="auto"/>
                <w:spacing w:val="-5"/>
                <w:highlight w:val="none"/>
              </w:rPr>
              <w:t>别</w:t>
            </w:r>
          </w:p>
        </w:tc>
        <w:tc>
          <w:tcPr>
            <w:tcW w:w="2654" w:type="dxa"/>
            <w:vAlign w:val="top"/>
          </w:tcPr>
          <w:p w14:paraId="59C56E4E">
            <w:pPr>
              <w:rPr>
                <w:rFonts w:ascii="Arial"/>
                <w:color w:val="auto"/>
                <w:sz w:val="21"/>
                <w:highlight w:val="none"/>
              </w:rPr>
            </w:pPr>
          </w:p>
        </w:tc>
        <w:tc>
          <w:tcPr>
            <w:tcW w:w="1684" w:type="dxa"/>
            <w:vAlign w:val="top"/>
          </w:tcPr>
          <w:p w14:paraId="54E14A54">
            <w:pPr>
              <w:pStyle w:val="18"/>
              <w:spacing w:before="221" w:line="221" w:lineRule="auto"/>
              <w:ind w:left="432"/>
              <w:rPr>
                <w:color w:val="auto"/>
                <w:highlight w:val="none"/>
              </w:rPr>
            </w:pPr>
            <w:r>
              <w:rPr>
                <w:color w:val="auto"/>
                <w:spacing w:val="-2"/>
                <w:highlight w:val="none"/>
              </w:rPr>
              <w:t>毕业学校</w:t>
            </w:r>
          </w:p>
        </w:tc>
        <w:tc>
          <w:tcPr>
            <w:tcW w:w="2663" w:type="dxa"/>
            <w:vAlign w:val="top"/>
          </w:tcPr>
          <w:p w14:paraId="5AD23E94">
            <w:pPr>
              <w:rPr>
                <w:rFonts w:ascii="Arial"/>
                <w:color w:val="auto"/>
                <w:sz w:val="21"/>
                <w:highlight w:val="none"/>
              </w:rPr>
            </w:pPr>
          </w:p>
        </w:tc>
      </w:tr>
      <w:tr w14:paraId="2D7F7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22998747">
            <w:pPr>
              <w:pStyle w:val="18"/>
              <w:spacing w:before="223" w:line="221" w:lineRule="auto"/>
              <w:ind w:left="142"/>
              <w:rPr>
                <w:color w:val="auto"/>
                <w:highlight w:val="none"/>
              </w:rPr>
            </w:pPr>
            <w:r>
              <w:rPr>
                <w:color w:val="auto"/>
                <w:spacing w:val="-2"/>
                <w:highlight w:val="none"/>
              </w:rPr>
              <w:t>学历和专业</w:t>
            </w:r>
          </w:p>
        </w:tc>
        <w:tc>
          <w:tcPr>
            <w:tcW w:w="2654" w:type="dxa"/>
            <w:vAlign w:val="top"/>
          </w:tcPr>
          <w:p w14:paraId="54F3734D">
            <w:pPr>
              <w:rPr>
                <w:rFonts w:ascii="Arial"/>
                <w:color w:val="auto"/>
                <w:sz w:val="21"/>
                <w:highlight w:val="none"/>
              </w:rPr>
            </w:pPr>
          </w:p>
        </w:tc>
        <w:tc>
          <w:tcPr>
            <w:tcW w:w="1684" w:type="dxa"/>
            <w:vAlign w:val="top"/>
          </w:tcPr>
          <w:p w14:paraId="628EF886">
            <w:pPr>
              <w:pStyle w:val="18"/>
              <w:spacing w:before="223" w:line="221" w:lineRule="auto"/>
              <w:ind w:left="432"/>
              <w:rPr>
                <w:color w:val="auto"/>
                <w:highlight w:val="none"/>
              </w:rPr>
            </w:pPr>
            <w:r>
              <w:rPr>
                <w:color w:val="auto"/>
                <w:spacing w:val="-2"/>
                <w:highlight w:val="none"/>
              </w:rPr>
              <w:t>毕业时间</w:t>
            </w:r>
          </w:p>
        </w:tc>
        <w:tc>
          <w:tcPr>
            <w:tcW w:w="2663" w:type="dxa"/>
            <w:vAlign w:val="top"/>
          </w:tcPr>
          <w:p w14:paraId="49A74165">
            <w:pPr>
              <w:rPr>
                <w:rFonts w:ascii="Arial"/>
                <w:color w:val="auto"/>
                <w:sz w:val="21"/>
                <w:highlight w:val="none"/>
              </w:rPr>
            </w:pPr>
          </w:p>
        </w:tc>
      </w:tr>
      <w:tr w14:paraId="4A7E4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5CF49D70">
            <w:pPr>
              <w:pStyle w:val="18"/>
              <w:spacing w:before="88" w:line="231" w:lineRule="auto"/>
              <w:ind w:left="463" w:right="171" w:hanging="273"/>
              <w:rPr>
                <w:color w:val="auto"/>
                <w:highlight w:val="none"/>
              </w:rPr>
            </w:pPr>
            <w:r>
              <w:rPr>
                <w:color w:val="auto"/>
                <w:spacing w:val="-1"/>
                <w:highlight w:val="none"/>
              </w:rPr>
              <w:t>执业/岗位</w:t>
            </w:r>
            <w:r>
              <w:rPr>
                <w:color w:val="auto"/>
                <w:spacing w:val="1"/>
                <w:highlight w:val="none"/>
              </w:rPr>
              <w:t xml:space="preserve"> </w:t>
            </w:r>
            <w:r>
              <w:rPr>
                <w:color w:val="auto"/>
                <w:spacing w:val="-4"/>
                <w:highlight w:val="none"/>
              </w:rPr>
              <w:t>资格</w:t>
            </w:r>
          </w:p>
        </w:tc>
        <w:tc>
          <w:tcPr>
            <w:tcW w:w="2654" w:type="dxa"/>
            <w:vAlign w:val="top"/>
          </w:tcPr>
          <w:p w14:paraId="401DD2BB">
            <w:pPr>
              <w:rPr>
                <w:rFonts w:ascii="Arial"/>
                <w:color w:val="auto"/>
                <w:sz w:val="21"/>
                <w:highlight w:val="none"/>
              </w:rPr>
            </w:pPr>
          </w:p>
        </w:tc>
        <w:tc>
          <w:tcPr>
            <w:tcW w:w="1684" w:type="dxa"/>
            <w:vAlign w:val="top"/>
          </w:tcPr>
          <w:p w14:paraId="35128159">
            <w:pPr>
              <w:pStyle w:val="18"/>
              <w:spacing w:before="228" w:line="221" w:lineRule="auto"/>
              <w:ind w:left="429"/>
              <w:rPr>
                <w:color w:val="auto"/>
                <w:highlight w:val="none"/>
              </w:rPr>
            </w:pPr>
            <w:r>
              <w:rPr>
                <w:color w:val="auto"/>
                <w:spacing w:val="-1"/>
                <w:highlight w:val="none"/>
              </w:rPr>
              <w:t>专业职称</w:t>
            </w:r>
          </w:p>
        </w:tc>
        <w:tc>
          <w:tcPr>
            <w:tcW w:w="2663" w:type="dxa"/>
            <w:vAlign w:val="top"/>
          </w:tcPr>
          <w:p w14:paraId="6C844FEE">
            <w:pPr>
              <w:rPr>
                <w:rFonts w:ascii="Arial"/>
                <w:color w:val="auto"/>
                <w:sz w:val="21"/>
                <w:highlight w:val="none"/>
              </w:rPr>
            </w:pPr>
          </w:p>
        </w:tc>
      </w:tr>
      <w:tr w14:paraId="26F7F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0467351D">
            <w:pPr>
              <w:pStyle w:val="18"/>
              <w:spacing w:before="89" w:line="230" w:lineRule="auto"/>
              <w:ind w:left="242" w:right="171" w:hanging="52"/>
              <w:rPr>
                <w:color w:val="auto"/>
                <w:highlight w:val="none"/>
              </w:rPr>
            </w:pPr>
            <w:r>
              <w:rPr>
                <w:color w:val="auto"/>
                <w:spacing w:val="-1"/>
                <w:highlight w:val="none"/>
              </w:rPr>
              <w:t>执业/岗位</w:t>
            </w:r>
            <w:r>
              <w:rPr>
                <w:color w:val="auto"/>
                <w:spacing w:val="1"/>
                <w:highlight w:val="none"/>
              </w:rPr>
              <w:t xml:space="preserve"> </w:t>
            </w:r>
            <w:r>
              <w:rPr>
                <w:color w:val="auto"/>
                <w:spacing w:val="-1"/>
                <w:highlight w:val="none"/>
              </w:rPr>
              <w:t>证书编号</w:t>
            </w:r>
          </w:p>
        </w:tc>
        <w:tc>
          <w:tcPr>
            <w:tcW w:w="2654" w:type="dxa"/>
            <w:vAlign w:val="top"/>
          </w:tcPr>
          <w:p w14:paraId="7D3D458D">
            <w:pPr>
              <w:rPr>
                <w:rFonts w:ascii="Arial"/>
                <w:color w:val="auto"/>
                <w:sz w:val="21"/>
                <w:highlight w:val="none"/>
              </w:rPr>
            </w:pPr>
          </w:p>
        </w:tc>
        <w:tc>
          <w:tcPr>
            <w:tcW w:w="1684" w:type="dxa"/>
            <w:vAlign w:val="top"/>
          </w:tcPr>
          <w:p w14:paraId="3791005A">
            <w:pPr>
              <w:pStyle w:val="18"/>
              <w:spacing w:before="223" w:line="221" w:lineRule="auto"/>
              <w:ind w:left="222"/>
              <w:rPr>
                <w:color w:val="auto"/>
                <w:highlight w:val="none"/>
              </w:rPr>
            </w:pPr>
            <w:r>
              <w:rPr>
                <w:color w:val="auto"/>
                <w:spacing w:val="-1"/>
                <w:highlight w:val="none"/>
              </w:rPr>
              <w:t>专业工作年限</w:t>
            </w:r>
          </w:p>
        </w:tc>
        <w:tc>
          <w:tcPr>
            <w:tcW w:w="2663" w:type="dxa"/>
            <w:vAlign w:val="top"/>
          </w:tcPr>
          <w:p w14:paraId="103DB79B">
            <w:pPr>
              <w:rPr>
                <w:rFonts w:ascii="Arial"/>
                <w:color w:val="auto"/>
                <w:sz w:val="21"/>
                <w:highlight w:val="none"/>
              </w:rPr>
            </w:pPr>
          </w:p>
        </w:tc>
      </w:tr>
      <w:tr w14:paraId="7CADB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545A679E">
            <w:pPr>
              <w:spacing w:line="358" w:lineRule="auto"/>
              <w:rPr>
                <w:rFonts w:ascii="Arial"/>
                <w:color w:val="auto"/>
                <w:sz w:val="21"/>
                <w:highlight w:val="none"/>
              </w:rPr>
            </w:pPr>
          </w:p>
          <w:p w14:paraId="082D451E">
            <w:pPr>
              <w:pStyle w:val="18"/>
              <w:spacing w:before="71" w:line="210" w:lineRule="auto"/>
              <w:ind w:left="1126"/>
              <w:rPr>
                <w:color w:val="auto"/>
                <w:highlight w:val="none"/>
              </w:rPr>
            </w:pPr>
            <w:r>
              <w:rPr>
                <w:color w:val="auto"/>
                <w:spacing w:val="1"/>
                <w:highlight w:val="none"/>
              </w:rPr>
              <w:t>主</w:t>
            </w:r>
            <w:r>
              <w:rPr>
                <w:color w:val="auto"/>
                <w:spacing w:val="-46"/>
                <w:highlight w:val="none"/>
              </w:rPr>
              <w:t xml:space="preserve"> </w:t>
            </w:r>
            <w:r>
              <w:rPr>
                <w:color w:val="auto"/>
                <w:spacing w:val="1"/>
                <w:highlight w:val="none"/>
              </w:rPr>
              <w:t>要</w:t>
            </w:r>
            <w:r>
              <w:rPr>
                <w:color w:val="auto"/>
                <w:spacing w:val="-42"/>
                <w:highlight w:val="none"/>
              </w:rPr>
              <w:t xml:space="preserve"> </w:t>
            </w:r>
            <w:r>
              <w:rPr>
                <w:color w:val="auto"/>
                <w:spacing w:val="1"/>
                <w:highlight w:val="none"/>
              </w:rPr>
              <w:t>工</w:t>
            </w:r>
            <w:r>
              <w:rPr>
                <w:color w:val="auto"/>
                <w:spacing w:val="-43"/>
                <w:highlight w:val="none"/>
              </w:rPr>
              <w:t xml:space="preserve"> </w:t>
            </w:r>
            <w:r>
              <w:rPr>
                <w:color w:val="auto"/>
                <w:spacing w:val="1"/>
                <w:highlight w:val="none"/>
              </w:rPr>
              <w:t>作</w:t>
            </w:r>
            <w:r>
              <w:rPr>
                <w:color w:val="auto"/>
                <w:spacing w:val="-47"/>
                <w:highlight w:val="none"/>
              </w:rPr>
              <w:t xml:space="preserve"> </w:t>
            </w:r>
            <w:r>
              <w:rPr>
                <w:color w:val="auto"/>
                <w:spacing w:val="1"/>
                <w:highlight w:val="none"/>
              </w:rPr>
              <w:t>业</w:t>
            </w:r>
            <w:r>
              <w:rPr>
                <w:color w:val="auto"/>
                <w:spacing w:val="-43"/>
                <w:highlight w:val="none"/>
              </w:rPr>
              <w:t xml:space="preserve"> </w:t>
            </w:r>
            <w:r>
              <w:rPr>
                <w:color w:val="auto"/>
                <w:spacing w:val="1"/>
                <w:highlight w:val="none"/>
              </w:rPr>
              <w:t>绩</w:t>
            </w:r>
            <w:r>
              <w:rPr>
                <w:color w:val="auto"/>
                <w:spacing w:val="-43"/>
                <w:highlight w:val="none"/>
              </w:rPr>
              <w:t xml:space="preserve"> </w:t>
            </w:r>
            <w:r>
              <w:rPr>
                <w:color w:val="auto"/>
                <w:spacing w:val="1"/>
                <w:highlight w:val="none"/>
              </w:rPr>
              <w:t>及</w:t>
            </w:r>
            <w:r>
              <w:rPr>
                <w:color w:val="auto"/>
                <w:spacing w:val="-42"/>
                <w:highlight w:val="none"/>
              </w:rPr>
              <w:t xml:space="preserve"> </w:t>
            </w:r>
            <w:r>
              <w:rPr>
                <w:color w:val="auto"/>
                <w:spacing w:val="1"/>
                <w:highlight w:val="none"/>
              </w:rPr>
              <w:t>担</w:t>
            </w:r>
            <w:r>
              <w:rPr>
                <w:color w:val="auto"/>
                <w:spacing w:val="-48"/>
                <w:highlight w:val="none"/>
              </w:rPr>
              <w:t xml:space="preserve"> </w:t>
            </w:r>
            <w:r>
              <w:rPr>
                <w:color w:val="auto"/>
                <w:spacing w:val="1"/>
                <w:highlight w:val="none"/>
              </w:rPr>
              <w:t>任</w:t>
            </w:r>
            <w:r>
              <w:rPr>
                <w:color w:val="auto"/>
                <w:spacing w:val="-42"/>
                <w:highlight w:val="none"/>
              </w:rPr>
              <w:t xml:space="preserve"> </w:t>
            </w:r>
            <w:r>
              <w:rPr>
                <w:color w:val="auto"/>
                <w:spacing w:val="1"/>
                <w:highlight w:val="none"/>
              </w:rPr>
              <w:t>的</w:t>
            </w:r>
            <w:r>
              <w:rPr>
                <w:color w:val="auto"/>
                <w:spacing w:val="-42"/>
                <w:highlight w:val="none"/>
              </w:rPr>
              <w:t xml:space="preserve"> </w:t>
            </w:r>
            <w:r>
              <w:rPr>
                <w:color w:val="auto"/>
                <w:spacing w:val="1"/>
                <w:highlight w:val="none"/>
              </w:rPr>
              <w:t>主</w:t>
            </w:r>
            <w:r>
              <w:rPr>
                <w:color w:val="auto"/>
                <w:spacing w:val="-43"/>
                <w:highlight w:val="none"/>
              </w:rPr>
              <w:t xml:space="preserve"> </w:t>
            </w:r>
            <w:r>
              <w:rPr>
                <w:color w:val="auto"/>
                <w:spacing w:val="1"/>
                <w:highlight w:val="none"/>
              </w:rPr>
              <w:t>要</w:t>
            </w:r>
            <w:r>
              <w:rPr>
                <w:color w:val="auto"/>
                <w:spacing w:val="-47"/>
                <w:highlight w:val="none"/>
              </w:rPr>
              <w:t xml:space="preserve"> </w:t>
            </w:r>
            <w:r>
              <w:rPr>
                <w:color w:val="auto"/>
                <w:spacing w:val="1"/>
                <w:highlight w:val="none"/>
              </w:rPr>
              <w:t>工</w:t>
            </w:r>
            <w:r>
              <w:rPr>
                <w:color w:val="auto"/>
                <w:spacing w:val="-43"/>
                <w:highlight w:val="none"/>
              </w:rPr>
              <w:t xml:space="preserve"> </w:t>
            </w:r>
            <w:r>
              <w:rPr>
                <w:color w:val="auto"/>
                <w:spacing w:val="1"/>
                <w:highlight w:val="none"/>
              </w:rPr>
              <w:t>作</w:t>
            </w:r>
          </w:p>
        </w:tc>
        <w:tc>
          <w:tcPr>
            <w:tcW w:w="7001" w:type="dxa"/>
            <w:gridSpan w:val="3"/>
            <w:vAlign w:val="top"/>
          </w:tcPr>
          <w:p w14:paraId="06165AAC">
            <w:pPr>
              <w:rPr>
                <w:rFonts w:ascii="Arial"/>
                <w:color w:val="auto"/>
                <w:sz w:val="21"/>
                <w:highlight w:val="none"/>
              </w:rPr>
            </w:pPr>
          </w:p>
        </w:tc>
      </w:tr>
    </w:tbl>
    <w:p w14:paraId="1C8C27E0">
      <w:pPr>
        <w:spacing w:before="32" w:line="236" w:lineRule="auto"/>
        <w:ind w:left="646" w:right="5" w:hanging="626"/>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备注：其他主要项目管理人员指项目副经理（如有）、项目技术负责人、</w:t>
      </w:r>
      <w:r>
        <w:rPr>
          <w:rFonts w:ascii="宋体" w:hAnsi="宋体" w:eastAsia="宋体" w:cs="宋体"/>
          <w:color w:val="auto"/>
          <w:spacing w:val="40"/>
          <w:sz w:val="21"/>
          <w:szCs w:val="21"/>
          <w:highlight w:val="none"/>
        </w:rPr>
        <w:t xml:space="preserve"> </w:t>
      </w:r>
      <w:r>
        <w:rPr>
          <w:rFonts w:ascii="宋体" w:hAnsi="宋体" w:eastAsia="宋体" w:cs="宋体"/>
          <w:color w:val="auto"/>
          <w:spacing w:val="-6"/>
          <w:sz w:val="21"/>
          <w:szCs w:val="21"/>
          <w:highlight w:val="none"/>
        </w:rPr>
        <w:t>施工管理、质量管</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理、安全管理及资格条件要求的其他岗位人员。其中项目副经理（如有）、项目技术</w:t>
      </w:r>
      <w:r>
        <w:rPr>
          <w:rFonts w:ascii="宋体" w:hAnsi="宋体" w:eastAsia="宋体" w:cs="宋体"/>
          <w:color w:val="auto"/>
          <w:spacing w:val="16"/>
          <w:sz w:val="21"/>
          <w:szCs w:val="21"/>
          <w:highlight w:val="none"/>
        </w:rPr>
        <w:t xml:space="preserve"> </w:t>
      </w:r>
      <w:r>
        <w:rPr>
          <w:rFonts w:ascii="宋体" w:hAnsi="宋体" w:eastAsia="宋体" w:cs="宋体"/>
          <w:color w:val="auto"/>
          <w:spacing w:val="-10"/>
          <w:sz w:val="21"/>
          <w:szCs w:val="21"/>
          <w:highlight w:val="none"/>
        </w:rPr>
        <w:t>负责人应附资格证书（如有）、注册证书（如有）、职称证书（如有）、学历证书</w:t>
      </w:r>
      <w:r>
        <w:rPr>
          <w:rFonts w:ascii="宋体" w:hAnsi="宋体" w:eastAsia="宋体" w:cs="宋体"/>
          <w:color w:val="auto"/>
          <w:spacing w:val="-43"/>
          <w:sz w:val="21"/>
          <w:szCs w:val="21"/>
          <w:highlight w:val="none"/>
        </w:rPr>
        <w:t xml:space="preserve"> </w:t>
      </w:r>
      <w:r>
        <w:rPr>
          <w:rFonts w:ascii="宋体" w:hAnsi="宋体" w:eastAsia="宋体" w:cs="宋体"/>
          <w:color w:val="auto"/>
          <w:spacing w:val="-10"/>
          <w:sz w:val="21"/>
          <w:szCs w:val="21"/>
          <w:highlight w:val="none"/>
        </w:rPr>
        <w:t>（如</w:t>
      </w:r>
      <w:r>
        <w:rPr>
          <w:rFonts w:ascii="宋体" w:hAnsi="宋体" w:eastAsia="宋体" w:cs="宋体"/>
          <w:color w:val="auto"/>
          <w:sz w:val="21"/>
          <w:szCs w:val="21"/>
          <w:highlight w:val="none"/>
        </w:rPr>
        <w:t xml:space="preserve"> 有）</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rPr>
        <w:t>,主要业绩证明材料（如有</w:t>
      </w:r>
      <w:r>
        <w:rPr>
          <w:rFonts w:ascii="宋体" w:hAnsi="宋体" w:eastAsia="宋体" w:cs="宋体"/>
          <w:color w:val="auto"/>
          <w:spacing w:val="-31"/>
          <w:sz w:val="21"/>
          <w:szCs w:val="21"/>
          <w:highlight w:val="none"/>
        </w:rPr>
        <w:t>）；</w:t>
      </w:r>
      <w:r>
        <w:rPr>
          <w:rFonts w:ascii="宋体" w:hAnsi="宋体" w:eastAsia="宋体" w:cs="宋体"/>
          <w:color w:val="auto"/>
          <w:sz w:val="21"/>
          <w:szCs w:val="21"/>
          <w:highlight w:val="none"/>
        </w:rPr>
        <w:t xml:space="preserve">安全管理人员应附有效的安全生产考核合格证书 </w:t>
      </w:r>
      <w:r>
        <w:rPr>
          <w:rFonts w:ascii="宋体" w:hAnsi="宋体" w:eastAsia="宋体" w:cs="宋体"/>
          <w:color w:val="auto"/>
          <w:spacing w:val="-2"/>
          <w:sz w:val="21"/>
          <w:szCs w:val="21"/>
          <w:highlight w:val="none"/>
        </w:rPr>
        <w:t>（C 证</w:t>
      </w:r>
      <w:r>
        <w:rPr>
          <w:rFonts w:ascii="宋体" w:hAnsi="宋体" w:eastAsia="宋体" w:cs="宋体"/>
          <w:color w:val="auto"/>
          <w:spacing w:val="-11"/>
          <w:sz w:val="21"/>
          <w:szCs w:val="21"/>
          <w:highlight w:val="none"/>
        </w:rPr>
        <w:t>）；</w:t>
      </w:r>
      <w:r>
        <w:rPr>
          <w:rFonts w:ascii="宋体" w:hAnsi="宋体" w:eastAsia="宋体" w:cs="宋体"/>
          <w:color w:val="auto"/>
          <w:spacing w:val="-2"/>
          <w:sz w:val="21"/>
          <w:szCs w:val="21"/>
          <w:highlight w:val="none"/>
        </w:rPr>
        <w:t>施工管理、质量管理及资格条件要求的其他岗位人员应附岗位培训考核合</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格证书。</w:t>
      </w:r>
    </w:p>
    <w:p w14:paraId="763088A0">
      <w:pPr>
        <w:spacing w:line="236" w:lineRule="auto"/>
        <w:rPr>
          <w:rFonts w:ascii="宋体" w:hAnsi="宋体" w:eastAsia="宋体" w:cs="宋体"/>
          <w:color w:val="auto"/>
          <w:sz w:val="21"/>
          <w:szCs w:val="21"/>
          <w:highlight w:val="none"/>
        </w:rPr>
        <w:sectPr>
          <w:footerReference r:id="rId168" w:type="default"/>
          <w:pgSz w:w="11905" w:h="16839"/>
          <w:pgMar w:top="400" w:right="1785" w:bottom="1004" w:left="1785" w:header="0" w:footer="828" w:gutter="0"/>
          <w:pgNumType w:fmt="decimal"/>
          <w:cols w:space="720" w:num="1"/>
        </w:sectPr>
      </w:pPr>
    </w:p>
    <w:p w14:paraId="48C83E96">
      <w:pPr>
        <w:pStyle w:val="5"/>
        <w:spacing w:line="255" w:lineRule="auto"/>
        <w:rPr>
          <w:color w:val="auto"/>
          <w:highlight w:val="none"/>
        </w:rPr>
      </w:pPr>
    </w:p>
    <w:p w14:paraId="465A3B05">
      <w:pPr>
        <w:pStyle w:val="5"/>
        <w:spacing w:line="256" w:lineRule="auto"/>
        <w:rPr>
          <w:color w:val="auto"/>
          <w:highlight w:val="none"/>
        </w:rPr>
      </w:pPr>
    </w:p>
    <w:p w14:paraId="0A5B0C70">
      <w:pPr>
        <w:pStyle w:val="5"/>
        <w:spacing w:line="256" w:lineRule="auto"/>
        <w:rPr>
          <w:color w:val="auto"/>
          <w:highlight w:val="none"/>
        </w:rPr>
      </w:pPr>
    </w:p>
    <w:p w14:paraId="0F2A530F">
      <w:pPr>
        <w:pStyle w:val="5"/>
        <w:spacing w:line="256" w:lineRule="auto"/>
        <w:rPr>
          <w:color w:val="auto"/>
          <w:highlight w:val="none"/>
        </w:rPr>
      </w:pPr>
    </w:p>
    <w:p w14:paraId="18BD22D3">
      <w:pPr>
        <w:spacing w:before="88" w:line="436" w:lineRule="exact"/>
        <w:ind w:left="3054"/>
        <w:rPr>
          <w:rFonts w:ascii="黑体" w:hAnsi="黑体" w:eastAsia="黑体" w:cs="黑体"/>
          <w:color w:val="auto"/>
          <w:sz w:val="27"/>
          <w:szCs w:val="27"/>
          <w:highlight w:val="none"/>
        </w:rPr>
      </w:pPr>
      <w:bookmarkStart w:id="1760" w:name="bookmark315"/>
      <w:bookmarkEnd w:id="1760"/>
      <w:r>
        <w:rPr>
          <w:rFonts w:ascii="黑体" w:hAnsi="黑体" w:eastAsia="黑体" w:cs="黑体"/>
          <w:color w:val="auto"/>
          <w:spacing w:val="8"/>
          <w:position w:val="11"/>
          <w:sz w:val="27"/>
          <w:szCs w:val="27"/>
          <w:highlight w:val="none"/>
        </w:rPr>
        <w:t>七、资格审查资料</w:t>
      </w:r>
    </w:p>
    <w:p w14:paraId="637B6298">
      <w:pPr>
        <w:spacing w:line="219" w:lineRule="auto"/>
        <w:ind w:left="299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（一）投标人基本情况</w:t>
      </w:r>
    </w:p>
    <w:p w14:paraId="7A68F8B3">
      <w:pPr>
        <w:spacing w:before="117" w:line="218" w:lineRule="auto"/>
        <w:ind w:left="3049"/>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Times New Roman" w:hAnsi="Times New Roman" w:eastAsia="Times New Roman" w:cs="Times New Roman"/>
          <w:color w:val="auto"/>
          <w:spacing w:val="-6"/>
          <w:sz w:val="24"/>
          <w:szCs w:val="24"/>
          <w:highlight w:val="none"/>
        </w:rPr>
        <w:t xml:space="preserve">1 </w:t>
      </w:r>
      <w:r>
        <w:rPr>
          <w:rFonts w:ascii="黑体" w:hAnsi="黑体" w:eastAsia="黑体" w:cs="黑体"/>
          <w:color w:val="auto"/>
          <w:spacing w:val="-6"/>
          <w:sz w:val="24"/>
          <w:szCs w:val="24"/>
          <w:highlight w:val="none"/>
        </w:rPr>
        <w:t>投标人基本情况表</w:t>
      </w: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53B8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17FEACDE">
            <w:pPr>
              <w:pStyle w:val="18"/>
              <w:spacing w:before="183" w:line="221" w:lineRule="auto"/>
              <w:ind w:left="265"/>
              <w:rPr>
                <w:color w:val="auto"/>
                <w:highlight w:val="none"/>
              </w:rPr>
            </w:pPr>
            <w:r>
              <w:rPr>
                <w:color w:val="auto"/>
                <w:spacing w:val="-1"/>
                <w:highlight w:val="none"/>
              </w:rPr>
              <w:t>投标人名称</w:t>
            </w:r>
          </w:p>
        </w:tc>
        <w:tc>
          <w:tcPr>
            <w:tcW w:w="6751" w:type="dxa"/>
            <w:gridSpan w:val="7"/>
            <w:vAlign w:val="top"/>
          </w:tcPr>
          <w:p w14:paraId="0E44343D">
            <w:pPr>
              <w:rPr>
                <w:rFonts w:ascii="Arial"/>
                <w:color w:val="auto"/>
                <w:sz w:val="21"/>
                <w:highlight w:val="none"/>
              </w:rPr>
            </w:pPr>
          </w:p>
        </w:tc>
      </w:tr>
      <w:tr w14:paraId="3C8E8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A025AF5">
            <w:pPr>
              <w:pStyle w:val="18"/>
              <w:spacing w:before="179" w:line="222" w:lineRule="auto"/>
              <w:ind w:left="368"/>
              <w:rPr>
                <w:color w:val="auto"/>
                <w:highlight w:val="none"/>
              </w:rPr>
            </w:pPr>
            <w:r>
              <w:rPr>
                <w:color w:val="auto"/>
                <w:spacing w:val="-1"/>
                <w:highlight w:val="none"/>
              </w:rPr>
              <w:t>注册地址</w:t>
            </w:r>
          </w:p>
        </w:tc>
        <w:tc>
          <w:tcPr>
            <w:tcW w:w="3161" w:type="dxa"/>
            <w:gridSpan w:val="3"/>
            <w:vAlign w:val="top"/>
          </w:tcPr>
          <w:p w14:paraId="2688611B">
            <w:pPr>
              <w:rPr>
                <w:rFonts w:ascii="Arial"/>
                <w:color w:val="auto"/>
                <w:sz w:val="21"/>
                <w:highlight w:val="none"/>
              </w:rPr>
            </w:pPr>
          </w:p>
        </w:tc>
        <w:tc>
          <w:tcPr>
            <w:tcW w:w="1171" w:type="dxa"/>
            <w:vAlign w:val="top"/>
          </w:tcPr>
          <w:p w14:paraId="13A6CDB0">
            <w:pPr>
              <w:pStyle w:val="18"/>
              <w:spacing w:before="178" w:line="221" w:lineRule="auto"/>
              <w:ind w:left="210"/>
              <w:rPr>
                <w:color w:val="auto"/>
                <w:highlight w:val="none"/>
              </w:rPr>
            </w:pPr>
            <w:r>
              <w:rPr>
                <w:color w:val="auto"/>
                <w:spacing w:val="-4"/>
                <w:highlight w:val="none"/>
              </w:rPr>
              <w:t>邮政编码</w:t>
            </w:r>
          </w:p>
        </w:tc>
        <w:tc>
          <w:tcPr>
            <w:tcW w:w="2419" w:type="dxa"/>
            <w:gridSpan w:val="3"/>
            <w:vAlign w:val="top"/>
          </w:tcPr>
          <w:p w14:paraId="006A19CF">
            <w:pPr>
              <w:rPr>
                <w:rFonts w:ascii="Arial"/>
                <w:color w:val="auto"/>
                <w:sz w:val="21"/>
                <w:highlight w:val="none"/>
              </w:rPr>
            </w:pPr>
          </w:p>
        </w:tc>
      </w:tr>
      <w:tr w14:paraId="74459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7741FD71">
            <w:pPr>
              <w:spacing w:line="396" w:lineRule="auto"/>
              <w:rPr>
                <w:rFonts w:ascii="Arial"/>
                <w:color w:val="auto"/>
                <w:sz w:val="21"/>
                <w:highlight w:val="none"/>
              </w:rPr>
            </w:pPr>
          </w:p>
          <w:p w14:paraId="1949615E">
            <w:pPr>
              <w:pStyle w:val="18"/>
              <w:spacing w:before="69" w:line="222" w:lineRule="auto"/>
              <w:ind w:left="369"/>
              <w:rPr>
                <w:color w:val="auto"/>
                <w:highlight w:val="none"/>
              </w:rPr>
            </w:pPr>
            <w:r>
              <w:rPr>
                <w:color w:val="auto"/>
                <w:spacing w:val="-1"/>
                <w:highlight w:val="none"/>
              </w:rPr>
              <w:t>联系方式</w:t>
            </w:r>
          </w:p>
        </w:tc>
        <w:tc>
          <w:tcPr>
            <w:tcW w:w="854" w:type="dxa"/>
            <w:vAlign w:val="top"/>
          </w:tcPr>
          <w:p w14:paraId="05065BD4">
            <w:pPr>
              <w:pStyle w:val="18"/>
              <w:spacing w:before="178" w:line="223" w:lineRule="auto"/>
              <w:ind w:left="120"/>
              <w:rPr>
                <w:color w:val="auto"/>
                <w:highlight w:val="none"/>
              </w:rPr>
            </w:pPr>
            <w:r>
              <w:rPr>
                <w:color w:val="auto"/>
                <w:spacing w:val="-2"/>
                <w:highlight w:val="none"/>
              </w:rPr>
              <w:t>联系人</w:t>
            </w:r>
          </w:p>
        </w:tc>
        <w:tc>
          <w:tcPr>
            <w:tcW w:w="2307" w:type="dxa"/>
            <w:gridSpan w:val="2"/>
            <w:vAlign w:val="top"/>
          </w:tcPr>
          <w:p w14:paraId="652909B7">
            <w:pPr>
              <w:rPr>
                <w:rFonts w:ascii="Arial"/>
                <w:color w:val="auto"/>
                <w:sz w:val="21"/>
                <w:highlight w:val="none"/>
              </w:rPr>
            </w:pPr>
          </w:p>
        </w:tc>
        <w:tc>
          <w:tcPr>
            <w:tcW w:w="1171" w:type="dxa"/>
            <w:vAlign w:val="top"/>
          </w:tcPr>
          <w:p w14:paraId="7C894AA2">
            <w:pPr>
              <w:pStyle w:val="18"/>
              <w:spacing w:before="178" w:line="223" w:lineRule="auto"/>
              <w:ind w:left="325"/>
              <w:rPr>
                <w:color w:val="auto"/>
                <w:highlight w:val="none"/>
              </w:rPr>
            </w:pPr>
            <w:r>
              <w:rPr>
                <w:color w:val="auto"/>
                <w:spacing w:val="-16"/>
                <w:highlight w:val="none"/>
              </w:rPr>
              <w:t>电</w:t>
            </w:r>
            <w:r>
              <w:rPr>
                <w:color w:val="auto"/>
                <w:spacing w:val="4"/>
                <w:highlight w:val="none"/>
              </w:rPr>
              <w:t xml:space="preserve">  </w:t>
            </w:r>
            <w:r>
              <w:rPr>
                <w:color w:val="auto"/>
                <w:spacing w:val="-16"/>
                <w:highlight w:val="none"/>
              </w:rPr>
              <w:t>话</w:t>
            </w:r>
          </w:p>
        </w:tc>
        <w:tc>
          <w:tcPr>
            <w:tcW w:w="2419" w:type="dxa"/>
            <w:gridSpan w:val="3"/>
            <w:vAlign w:val="top"/>
          </w:tcPr>
          <w:p w14:paraId="1E2B4280">
            <w:pPr>
              <w:rPr>
                <w:rFonts w:ascii="Arial"/>
                <w:color w:val="auto"/>
                <w:sz w:val="21"/>
                <w:highlight w:val="none"/>
              </w:rPr>
            </w:pPr>
          </w:p>
        </w:tc>
      </w:tr>
      <w:tr w14:paraId="2E37D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0FE57165">
            <w:pPr>
              <w:rPr>
                <w:rFonts w:ascii="Arial"/>
                <w:color w:val="auto"/>
                <w:sz w:val="21"/>
                <w:highlight w:val="none"/>
              </w:rPr>
            </w:pPr>
          </w:p>
        </w:tc>
        <w:tc>
          <w:tcPr>
            <w:tcW w:w="854" w:type="dxa"/>
            <w:vAlign w:val="top"/>
          </w:tcPr>
          <w:p w14:paraId="57645713">
            <w:pPr>
              <w:pStyle w:val="18"/>
              <w:spacing w:before="175" w:line="220" w:lineRule="auto"/>
              <w:ind w:left="117"/>
              <w:rPr>
                <w:color w:val="auto"/>
                <w:highlight w:val="none"/>
              </w:rPr>
            </w:pPr>
            <w:r>
              <w:rPr>
                <w:color w:val="auto"/>
                <w:spacing w:val="-3"/>
                <w:highlight w:val="none"/>
              </w:rPr>
              <w:t>传</w:t>
            </w:r>
            <w:r>
              <w:rPr>
                <w:color w:val="auto"/>
                <w:spacing w:val="5"/>
                <w:highlight w:val="none"/>
              </w:rPr>
              <w:t xml:space="preserve">  </w:t>
            </w:r>
            <w:r>
              <w:rPr>
                <w:color w:val="auto"/>
                <w:spacing w:val="-3"/>
                <w:highlight w:val="none"/>
              </w:rPr>
              <w:t>真</w:t>
            </w:r>
          </w:p>
        </w:tc>
        <w:tc>
          <w:tcPr>
            <w:tcW w:w="2307" w:type="dxa"/>
            <w:gridSpan w:val="2"/>
            <w:vAlign w:val="top"/>
          </w:tcPr>
          <w:p w14:paraId="02827A65">
            <w:pPr>
              <w:rPr>
                <w:rFonts w:ascii="Arial"/>
                <w:color w:val="auto"/>
                <w:sz w:val="21"/>
                <w:highlight w:val="none"/>
              </w:rPr>
            </w:pPr>
          </w:p>
        </w:tc>
        <w:tc>
          <w:tcPr>
            <w:tcW w:w="1171" w:type="dxa"/>
            <w:vAlign w:val="top"/>
          </w:tcPr>
          <w:p w14:paraId="2099BFEB">
            <w:pPr>
              <w:pStyle w:val="18"/>
              <w:spacing w:before="175" w:line="226" w:lineRule="auto"/>
              <w:ind w:left="317"/>
              <w:rPr>
                <w:color w:val="auto"/>
                <w:highlight w:val="none"/>
              </w:rPr>
            </w:pPr>
            <w:r>
              <w:rPr>
                <w:color w:val="auto"/>
                <w:spacing w:val="-12"/>
                <w:highlight w:val="none"/>
              </w:rPr>
              <w:t>网</w:t>
            </w:r>
            <w:r>
              <w:rPr>
                <w:color w:val="auto"/>
                <w:spacing w:val="5"/>
                <w:highlight w:val="none"/>
              </w:rPr>
              <w:t xml:space="preserve">  </w:t>
            </w:r>
            <w:r>
              <w:rPr>
                <w:color w:val="auto"/>
                <w:spacing w:val="-12"/>
                <w:highlight w:val="none"/>
              </w:rPr>
              <w:t>址</w:t>
            </w:r>
          </w:p>
        </w:tc>
        <w:tc>
          <w:tcPr>
            <w:tcW w:w="2419" w:type="dxa"/>
            <w:gridSpan w:val="3"/>
            <w:vAlign w:val="top"/>
          </w:tcPr>
          <w:p w14:paraId="67118297">
            <w:pPr>
              <w:rPr>
                <w:rFonts w:ascii="Arial"/>
                <w:color w:val="auto"/>
                <w:sz w:val="21"/>
                <w:highlight w:val="none"/>
              </w:rPr>
            </w:pPr>
          </w:p>
        </w:tc>
      </w:tr>
      <w:tr w14:paraId="0FC8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0ECBE92">
            <w:pPr>
              <w:pStyle w:val="18"/>
              <w:spacing w:before="175" w:line="221" w:lineRule="auto"/>
              <w:ind w:left="371"/>
              <w:rPr>
                <w:color w:val="auto"/>
                <w:highlight w:val="none"/>
              </w:rPr>
            </w:pPr>
            <w:r>
              <w:rPr>
                <w:color w:val="auto"/>
                <w:spacing w:val="-2"/>
                <w:highlight w:val="none"/>
              </w:rPr>
              <w:t>组织结构</w:t>
            </w:r>
          </w:p>
        </w:tc>
        <w:tc>
          <w:tcPr>
            <w:tcW w:w="6751" w:type="dxa"/>
            <w:gridSpan w:val="7"/>
            <w:vAlign w:val="top"/>
          </w:tcPr>
          <w:p w14:paraId="655BDECB">
            <w:pPr>
              <w:rPr>
                <w:rFonts w:ascii="Arial"/>
                <w:color w:val="auto"/>
                <w:sz w:val="21"/>
                <w:highlight w:val="none"/>
              </w:rPr>
            </w:pPr>
          </w:p>
        </w:tc>
      </w:tr>
      <w:tr w14:paraId="2B5FF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47186D8">
            <w:pPr>
              <w:pStyle w:val="18"/>
              <w:spacing w:before="179" w:line="221" w:lineRule="auto"/>
              <w:ind w:left="263"/>
              <w:rPr>
                <w:color w:val="auto"/>
                <w:highlight w:val="none"/>
              </w:rPr>
            </w:pPr>
            <w:r>
              <w:rPr>
                <w:color w:val="auto"/>
                <w:spacing w:val="-1"/>
                <w:highlight w:val="none"/>
              </w:rPr>
              <w:t>法定代表人</w:t>
            </w:r>
          </w:p>
        </w:tc>
        <w:tc>
          <w:tcPr>
            <w:tcW w:w="854" w:type="dxa"/>
            <w:vAlign w:val="top"/>
          </w:tcPr>
          <w:p w14:paraId="006B6D8F">
            <w:pPr>
              <w:pStyle w:val="18"/>
              <w:spacing w:before="179" w:line="221" w:lineRule="auto"/>
              <w:ind w:left="224"/>
              <w:rPr>
                <w:color w:val="auto"/>
                <w:highlight w:val="none"/>
              </w:rPr>
            </w:pPr>
            <w:r>
              <w:rPr>
                <w:color w:val="auto"/>
                <w:spacing w:val="-2"/>
                <w:highlight w:val="none"/>
              </w:rPr>
              <w:t>姓名</w:t>
            </w:r>
          </w:p>
        </w:tc>
        <w:tc>
          <w:tcPr>
            <w:tcW w:w="1142" w:type="dxa"/>
            <w:vAlign w:val="top"/>
          </w:tcPr>
          <w:p w14:paraId="71B1AEF8">
            <w:pPr>
              <w:rPr>
                <w:rFonts w:ascii="Arial"/>
                <w:color w:val="auto"/>
                <w:sz w:val="21"/>
                <w:highlight w:val="none"/>
              </w:rPr>
            </w:pPr>
          </w:p>
        </w:tc>
        <w:tc>
          <w:tcPr>
            <w:tcW w:w="1165" w:type="dxa"/>
            <w:vAlign w:val="top"/>
          </w:tcPr>
          <w:p w14:paraId="50B52E2A">
            <w:pPr>
              <w:pStyle w:val="18"/>
              <w:spacing w:before="179" w:line="221" w:lineRule="auto"/>
              <w:ind w:left="164"/>
              <w:rPr>
                <w:color w:val="auto"/>
                <w:highlight w:val="none"/>
              </w:rPr>
            </w:pPr>
            <w:r>
              <w:rPr>
                <w:color w:val="auto"/>
                <w:spacing w:val="-1"/>
                <w:highlight w:val="none"/>
              </w:rPr>
              <w:t>技术职称</w:t>
            </w:r>
          </w:p>
        </w:tc>
        <w:tc>
          <w:tcPr>
            <w:tcW w:w="1517" w:type="dxa"/>
            <w:gridSpan w:val="2"/>
            <w:vAlign w:val="top"/>
          </w:tcPr>
          <w:p w14:paraId="32796DDE">
            <w:pPr>
              <w:rPr>
                <w:rFonts w:ascii="Arial"/>
                <w:color w:val="auto"/>
                <w:sz w:val="21"/>
                <w:highlight w:val="none"/>
              </w:rPr>
            </w:pPr>
          </w:p>
        </w:tc>
        <w:tc>
          <w:tcPr>
            <w:tcW w:w="854" w:type="dxa"/>
            <w:vAlign w:val="top"/>
          </w:tcPr>
          <w:p w14:paraId="14089405">
            <w:pPr>
              <w:pStyle w:val="18"/>
              <w:spacing w:before="180" w:line="223" w:lineRule="auto"/>
              <w:ind w:left="239"/>
              <w:rPr>
                <w:color w:val="auto"/>
                <w:highlight w:val="none"/>
              </w:rPr>
            </w:pPr>
            <w:r>
              <w:rPr>
                <w:color w:val="auto"/>
                <w:spacing w:val="-8"/>
                <w:highlight w:val="none"/>
              </w:rPr>
              <w:t>电话</w:t>
            </w:r>
          </w:p>
        </w:tc>
        <w:tc>
          <w:tcPr>
            <w:tcW w:w="1219" w:type="dxa"/>
            <w:vAlign w:val="top"/>
          </w:tcPr>
          <w:p w14:paraId="297C6CFA">
            <w:pPr>
              <w:rPr>
                <w:rFonts w:ascii="Arial"/>
                <w:color w:val="auto"/>
                <w:sz w:val="21"/>
                <w:highlight w:val="none"/>
              </w:rPr>
            </w:pPr>
          </w:p>
        </w:tc>
      </w:tr>
      <w:tr w14:paraId="3E49C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910B2C7">
            <w:pPr>
              <w:pStyle w:val="18"/>
              <w:spacing w:before="180" w:line="221" w:lineRule="auto"/>
              <w:ind w:left="263"/>
              <w:rPr>
                <w:color w:val="auto"/>
                <w:highlight w:val="none"/>
              </w:rPr>
            </w:pPr>
            <w:r>
              <w:rPr>
                <w:color w:val="auto"/>
                <w:spacing w:val="-1"/>
                <w:highlight w:val="none"/>
              </w:rPr>
              <w:t>技术负责人</w:t>
            </w:r>
          </w:p>
        </w:tc>
        <w:tc>
          <w:tcPr>
            <w:tcW w:w="854" w:type="dxa"/>
            <w:vAlign w:val="top"/>
          </w:tcPr>
          <w:p w14:paraId="2D21CF4B">
            <w:pPr>
              <w:pStyle w:val="18"/>
              <w:spacing w:before="180" w:line="221" w:lineRule="auto"/>
              <w:ind w:left="224"/>
              <w:rPr>
                <w:color w:val="auto"/>
                <w:highlight w:val="none"/>
              </w:rPr>
            </w:pPr>
            <w:r>
              <w:rPr>
                <w:color w:val="auto"/>
                <w:spacing w:val="-2"/>
                <w:highlight w:val="none"/>
              </w:rPr>
              <w:t>姓名</w:t>
            </w:r>
          </w:p>
        </w:tc>
        <w:tc>
          <w:tcPr>
            <w:tcW w:w="1142" w:type="dxa"/>
            <w:vAlign w:val="top"/>
          </w:tcPr>
          <w:p w14:paraId="5EFBC4D7">
            <w:pPr>
              <w:rPr>
                <w:rFonts w:ascii="Arial"/>
                <w:color w:val="auto"/>
                <w:sz w:val="21"/>
                <w:highlight w:val="none"/>
              </w:rPr>
            </w:pPr>
          </w:p>
        </w:tc>
        <w:tc>
          <w:tcPr>
            <w:tcW w:w="1165" w:type="dxa"/>
            <w:vAlign w:val="top"/>
          </w:tcPr>
          <w:p w14:paraId="551F374C">
            <w:pPr>
              <w:pStyle w:val="18"/>
              <w:spacing w:before="180" w:line="221" w:lineRule="auto"/>
              <w:ind w:left="164"/>
              <w:rPr>
                <w:color w:val="auto"/>
                <w:highlight w:val="none"/>
              </w:rPr>
            </w:pPr>
            <w:r>
              <w:rPr>
                <w:color w:val="auto"/>
                <w:spacing w:val="-1"/>
                <w:highlight w:val="none"/>
              </w:rPr>
              <w:t>技术职称</w:t>
            </w:r>
          </w:p>
        </w:tc>
        <w:tc>
          <w:tcPr>
            <w:tcW w:w="1517" w:type="dxa"/>
            <w:gridSpan w:val="2"/>
            <w:vAlign w:val="top"/>
          </w:tcPr>
          <w:p w14:paraId="6F62A09D">
            <w:pPr>
              <w:rPr>
                <w:rFonts w:ascii="Arial"/>
                <w:color w:val="auto"/>
                <w:sz w:val="21"/>
                <w:highlight w:val="none"/>
              </w:rPr>
            </w:pPr>
          </w:p>
        </w:tc>
        <w:tc>
          <w:tcPr>
            <w:tcW w:w="854" w:type="dxa"/>
            <w:vAlign w:val="top"/>
          </w:tcPr>
          <w:p w14:paraId="49D29FA6">
            <w:pPr>
              <w:pStyle w:val="18"/>
              <w:spacing w:before="180" w:line="223" w:lineRule="auto"/>
              <w:ind w:left="239"/>
              <w:rPr>
                <w:color w:val="auto"/>
                <w:highlight w:val="none"/>
              </w:rPr>
            </w:pPr>
            <w:r>
              <w:rPr>
                <w:color w:val="auto"/>
                <w:spacing w:val="-8"/>
                <w:highlight w:val="none"/>
              </w:rPr>
              <w:t>电话</w:t>
            </w:r>
          </w:p>
        </w:tc>
        <w:tc>
          <w:tcPr>
            <w:tcW w:w="1219" w:type="dxa"/>
            <w:vAlign w:val="top"/>
          </w:tcPr>
          <w:p w14:paraId="5B13F816">
            <w:pPr>
              <w:rPr>
                <w:rFonts w:ascii="Arial"/>
                <w:color w:val="auto"/>
                <w:sz w:val="21"/>
                <w:highlight w:val="none"/>
              </w:rPr>
            </w:pPr>
          </w:p>
        </w:tc>
      </w:tr>
      <w:tr w14:paraId="32D26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723A651E">
            <w:pPr>
              <w:pStyle w:val="18"/>
              <w:spacing w:before="180" w:line="222" w:lineRule="auto"/>
              <w:ind w:left="370"/>
              <w:rPr>
                <w:color w:val="auto"/>
                <w:highlight w:val="none"/>
              </w:rPr>
            </w:pPr>
            <w:r>
              <w:rPr>
                <w:color w:val="auto"/>
                <w:spacing w:val="-1"/>
                <w:highlight w:val="none"/>
              </w:rPr>
              <w:t>成立时间</w:t>
            </w:r>
          </w:p>
        </w:tc>
        <w:tc>
          <w:tcPr>
            <w:tcW w:w="1996" w:type="dxa"/>
            <w:gridSpan w:val="2"/>
            <w:vAlign w:val="top"/>
          </w:tcPr>
          <w:p w14:paraId="6AC6C2FE">
            <w:pPr>
              <w:rPr>
                <w:rFonts w:ascii="Arial"/>
                <w:color w:val="auto"/>
                <w:sz w:val="21"/>
                <w:highlight w:val="none"/>
              </w:rPr>
            </w:pPr>
          </w:p>
        </w:tc>
        <w:tc>
          <w:tcPr>
            <w:tcW w:w="4755" w:type="dxa"/>
            <w:gridSpan w:val="5"/>
            <w:vAlign w:val="top"/>
          </w:tcPr>
          <w:p w14:paraId="43C7AD04">
            <w:pPr>
              <w:pStyle w:val="18"/>
              <w:spacing w:before="180" w:line="221" w:lineRule="auto"/>
              <w:ind w:left="124"/>
              <w:rPr>
                <w:color w:val="auto"/>
                <w:highlight w:val="none"/>
              </w:rPr>
            </w:pPr>
            <w:r>
              <w:rPr>
                <w:color w:val="auto"/>
                <w:spacing w:val="-2"/>
                <w:highlight w:val="none"/>
              </w:rPr>
              <w:t>员工总人数：</w:t>
            </w:r>
          </w:p>
        </w:tc>
      </w:tr>
      <w:tr w14:paraId="1509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572DFA88">
            <w:pPr>
              <w:pStyle w:val="18"/>
              <w:spacing w:before="176" w:line="221" w:lineRule="auto"/>
              <w:ind w:left="160"/>
              <w:rPr>
                <w:color w:val="auto"/>
                <w:highlight w:val="none"/>
              </w:rPr>
            </w:pPr>
            <w:r>
              <w:rPr>
                <w:color w:val="auto"/>
                <w:spacing w:val="-1"/>
                <w:highlight w:val="none"/>
              </w:rPr>
              <w:t>企业资质等级</w:t>
            </w:r>
          </w:p>
        </w:tc>
        <w:tc>
          <w:tcPr>
            <w:tcW w:w="1996" w:type="dxa"/>
            <w:gridSpan w:val="2"/>
            <w:vAlign w:val="top"/>
          </w:tcPr>
          <w:p w14:paraId="5547660D">
            <w:pPr>
              <w:rPr>
                <w:rFonts w:ascii="Arial"/>
                <w:color w:val="auto"/>
                <w:sz w:val="21"/>
                <w:highlight w:val="none"/>
              </w:rPr>
            </w:pPr>
          </w:p>
        </w:tc>
        <w:tc>
          <w:tcPr>
            <w:tcW w:w="1165" w:type="dxa"/>
            <w:vMerge w:val="restart"/>
            <w:tcBorders>
              <w:bottom w:val="nil"/>
            </w:tcBorders>
            <w:vAlign w:val="top"/>
          </w:tcPr>
          <w:p w14:paraId="673DC2BE">
            <w:pPr>
              <w:spacing w:line="251" w:lineRule="auto"/>
              <w:rPr>
                <w:rFonts w:ascii="Arial"/>
                <w:color w:val="auto"/>
                <w:sz w:val="21"/>
                <w:highlight w:val="none"/>
              </w:rPr>
            </w:pPr>
          </w:p>
          <w:p w14:paraId="3F6684EE">
            <w:pPr>
              <w:spacing w:line="251" w:lineRule="auto"/>
              <w:rPr>
                <w:rFonts w:ascii="Arial"/>
                <w:color w:val="auto"/>
                <w:sz w:val="21"/>
                <w:highlight w:val="none"/>
              </w:rPr>
            </w:pPr>
          </w:p>
          <w:p w14:paraId="2F445DFF">
            <w:pPr>
              <w:spacing w:line="252" w:lineRule="auto"/>
              <w:rPr>
                <w:rFonts w:ascii="Arial"/>
                <w:color w:val="auto"/>
                <w:sz w:val="21"/>
                <w:highlight w:val="none"/>
              </w:rPr>
            </w:pPr>
          </w:p>
          <w:p w14:paraId="06612AAF">
            <w:pPr>
              <w:spacing w:line="252" w:lineRule="auto"/>
              <w:rPr>
                <w:rFonts w:ascii="Arial"/>
                <w:color w:val="auto"/>
                <w:sz w:val="21"/>
                <w:highlight w:val="none"/>
              </w:rPr>
            </w:pPr>
          </w:p>
          <w:p w14:paraId="07329129">
            <w:pPr>
              <w:spacing w:line="252" w:lineRule="auto"/>
              <w:rPr>
                <w:rFonts w:ascii="Arial"/>
                <w:color w:val="auto"/>
                <w:sz w:val="21"/>
                <w:highlight w:val="none"/>
              </w:rPr>
            </w:pPr>
          </w:p>
          <w:p w14:paraId="5ECE8499">
            <w:pPr>
              <w:pStyle w:val="18"/>
              <w:spacing w:before="68" w:line="221" w:lineRule="auto"/>
              <w:ind w:left="376"/>
              <w:rPr>
                <w:color w:val="auto"/>
                <w:highlight w:val="none"/>
              </w:rPr>
            </w:pPr>
            <w:r>
              <w:rPr>
                <w:color w:val="auto"/>
                <w:spacing w:val="-2"/>
                <w:highlight w:val="none"/>
              </w:rPr>
              <w:t>其中</w:t>
            </w:r>
          </w:p>
        </w:tc>
        <w:tc>
          <w:tcPr>
            <w:tcW w:w="1517" w:type="dxa"/>
            <w:gridSpan w:val="2"/>
            <w:vAlign w:val="top"/>
          </w:tcPr>
          <w:p w14:paraId="4FCA70D4">
            <w:pPr>
              <w:pStyle w:val="18"/>
              <w:spacing w:before="176" w:line="221" w:lineRule="auto"/>
              <w:ind w:left="232"/>
              <w:rPr>
                <w:color w:val="auto"/>
                <w:highlight w:val="none"/>
              </w:rPr>
            </w:pPr>
            <w:r>
              <w:rPr>
                <w:color w:val="auto"/>
                <w:spacing w:val="-1"/>
                <w:highlight w:val="none"/>
              </w:rPr>
              <w:t>注册建造师</w:t>
            </w:r>
          </w:p>
        </w:tc>
        <w:tc>
          <w:tcPr>
            <w:tcW w:w="2073" w:type="dxa"/>
            <w:gridSpan w:val="2"/>
            <w:vAlign w:val="top"/>
          </w:tcPr>
          <w:p w14:paraId="6048E1B0">
            <w:pPr>
              <w:rPr>
                <w:rFonts w:ascii="Arial"/>
                <w:color w:val="auto"/>
                <w:sz w:val="21"/>
                <w:highlight w:val="none"/>
              </w:rPr>
            </w:pPr>
          </w:p>
        </w:tc>
      </w:tr>
      <w:tr w14:paraId="4C9B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C1D60C6">
            <w:pPr>
              <w:pStyle w:val="18"/>
              <w:spacing w:before="176" w:line="221" w:lineRule="auto"/>
              <w:ind w:left="269"/>
              <w:rPr>
                <w:color w:val="auto"/>
                <w:highlight w:val="none"/>
              </w:rPr>
            </w:pPr>
            <w:r>
              <w:rPr>
                <w:color w:val="auto"/>
                <w:spacing w:val="-2"/>
                <w:highlight w:val="none"/>
              </w:rPr>
              <w:t>营业执照号</w:t>
            </w:r>
          </w:p>
        </w:tc>
        <w:tc>
          <w:tcPr>
            <w:tcW w:w="1996" w:type="dxa"/>
            <w:gridSpan w:val="2"/>
            <w:vAlign w:val="top"/>
          </w:tcPr>
          <w:p w14:paraId="60503E7D">
            <w:pPr>
              <w:rPr>
                <w:rFonts w:ascii="Arial"/>
                <w:color w:val="auto"/>
                <w:sz w:val="21"/>
                <w:highlight w:val="none"/>
              </w:rPr>
            </w:pPr>
          </w:p>
        </w:tc>
        <w:tc>
          <w:tcPr>
            <w:tcW w:w="1165" w:type="dxa"/>
            <w:vMerge w:val="continue"/>
            <w:tcBorders>
              <w:top w:val="nil"/>
              <w:bottom w:val="nil"/>
            </w:tcBorders>
            <w:vAlign w:val="top"/>
          </w:tcPr>
          <w:p w14:paraId="31D099C6">
            <w:pPr>
              <w:rPr>
                <w:rFonts w:ascii="Arial"/>
                <w:color w:val="auto"/>
                <w:sz w:val="21"/>
                <w:highlight w:val="none"/>
              </w:rPr>
            </w:pPr>
          </w:p>
        </w:tc>
        <w:tc>
          <w:tcPr>
            <w:tcW w:w="1517" w:type="dxa"/>
            <w:gridSpan w:val="2"/>
            <w:vAlign w:val="top"/>
          </w:tcPr>
          <w:p w14:paraId="31F6C9DA">
            <w:pPr>
              <w:pStyle w:val="18"/>
              <w:spacing w:before="176" w:line="221" w:lineRule="auto"/>
              <w:ind w:left="133"/>
              <w:rPr>
                <w:color w:val="auto"/>
                <w:highlight w:val="none"/>
              </w:rPr>
            </w:pPr>
            <w:r>
              <w:rPr>
                <w:color w:val="auto"/>
                <w:spacing w:val="-2"/>
                <w:highlight w:val="none"/>
              </w:rPr>
              <w:t>高级职称人员</w:t>
            </w:r>
          </w:p>
        </w:tc>
        <w:tc>
          <w:tcPr>
            <w:tcW w:w="2073" w:type="dxa"/>
            <w:gridSpan w:val="2"/>
            <w:vAlign w:val="top"/>
          </w:tcPr>
          <w:p w14:paraId="5F5827F2">
            <w:pPr>
              <w:rPr>
                <w:rFonts w:ascii="Arial"/>
                <w:color w:val="auto"/>
                <w:sz w:val="21"/>
                <w:highlight w:val="none"/>
              </w:rPr>
            </w:pPr>
          </w:p>
        </w:tc>
      </w:tr>
      <w:tr w14:paraId="75D59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6F759388">
            <w:pPr>
              <w:pStyle w:val="18"/>
              <w:spacing w:before="182" w:line="222" w:lineRule="auto"/>
              <w:ind w:left="368"/>
              <w:rPr>
                <w:color w:val="auto"/>
                <w:highlight w:val="none"/>
              </w:rPr>
            </w:pPr>
            <w:r>
              <w:rPr>
                <w:color w:val="auto"/>
                <w:spacing w:val="-1"/>
                <w:highlight w:val="none"/>
              </w:rPr>
              <w:t>注册资金</w:t>
            </w:r>
          </w:p>
        </w:tc>
        <w:tc>
          <w:tcPr>
            <w:tcW w:w="1996" w:type="dxa"/>
            <w:gridSpan w:val="2"/>
            <w:vAlign w:val="top"/>
          </w:tcPr>
          <w:p w14:paraId="5D8BDCF4">
            <w:pPr>
              <w:rPr>
                <w:rFonts w:ascii="Arial"/>
                <w:color w:val="auto"/>
                <w:sz w:val="21"/>
                <w:highlight w:val="none"/>
              </w:rPr>
            </w:pPr>
          </w:p>
        </w:tc>
        <w:tc>
          <w:tcPr>
            <w:tcW w:w="1165" w:type="dxa"/>
            <w:vMerge w:val="continue"/>
            <w:tcBorders>
              <w:top w:val="nil"/>
              <w:bottom w:val="nil"/>
            </w:tcBorders>
            <w:vAlign w:val="top"/>
          </w:tcPr>
          <w:p w14:paraId="5CEBCC36">
            <w:pPr>
              <w:rPr>
                <w:rFonts w:ascii="Arial"/>
                <w:color w:val="auto"/>
                <w:sz w:val="21"/>
                <w:highlight w:val="none"/>
              </w:rPr>
            </w:pPr>
          </w:p>
        </w:tc>
        <w:tc>
          <w:tcPr>
            <w:tcW w:w="1517" w:type="dxa"/>
            <w:gridSpan w:val="2"/>
            <w:vAlign w:val="top"/>
          </w:tcPr>
          <w:p w14:paraId="6B60C0EA">
            <w:pPr>
              <w:pStyle w:val="18"/>
              <w:spacing w:before="182" w:line="221" w:lineRule="auto"/>
              <w:ind w:left="147"/>
              <w:rPr>
                <w:color w:val="auto"/>
                <w:highlight w:val="none"/>
              </w:rPr>
            </w:pPr>
            <w:r>
              <w:rPr>
                <w:color w:val="auto"/>
                <w:spacing w:val="-4"/>
                <w:highlight w:val="none"/>
              </w:rPr>
              <w:t>中级职称人员</w:t>
            </w:r>
          </w:p>
        </w:tc>
        <w:tc>
          <w:tcPr>
            <w:tcW w:w="2073" w:type="dxa"/>
            <w:gridSpan w:val="2"/>
            <w:vAlign w:val="top"/>
          </w:tcPr>
          <w:p w14:paraId="5343B35D">
            <w:pPr>
              <w:rPr>
                <w:rFonts w:ascii="Arial"/>
                <w:color w:val="auto"/>
                <w:sz w:val="21"/>
                <w:highlight w:val="none"/>
              </w:rPr>
            </w:pPr>
          </w:p>
        </w:tc>
      </w:tr>
      <w:tr w14:paraId="6B33F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4221DA4B">
            <w:pPr>
              <w:pStyle w:val="18"/>
              <w:spacing w:before="42" w:line="241" w:lineRule="auto"/>
              <w:ind w:left="368"/>
              <w:rPr>
                <w:color w:val="auto"/>
                <w:highlight w:val="none"/>
              </w:rPr>
            </w:pPr>
            <w:r>
              <w:rPr>
                <w:color w:val="auto"/>
                <w:spacing w:val="-1"/>
                <w:highlight w:val="none"/>
              </w:rPr>
              <w:t>基本账户</w:t>
            </w:r>
          </w:p>
          <w:p w14:paraId="21DF7516">
            <w:pPr>
              <w:pStyle w:val="18"/>
              <w:spacing w:line="219" w:lineRule="auto"/>
              <w:ind w:left="369"/>
              <w:rPr>
                <w:color w:val="auto"/>
                <w:highlight w:val="none"/>
              </w:rPr>
            </w:pPr>
            <w:r>
              <w:rPr>
                <w:color w:val="auto"/>
                <w:spacing w:val="-1"/>
                <w:highlight w:val="none"/>
              </w:rPr>
              <w:t>开户银行</w:t>
            </w:r>
          </w:p>
        </w:tc>
        <w:tc>
          <w:tcPr>
            <w:tcW w:w="1996" w:type="dxa"/>
            <w:gridSpan w:val="2"/>
            <w:vAlign w:val="top"/>
          </w:tcPr>
          <w:p w14:paraId="1A7DE756">
            <w:pPr>
              <w:rPr>
                <w:rFonts w:ascii="Arial"/>
                <w:color w:val="auto"/>
                <w:sz w:val="21"/>
                <w:highlight w:val="none"/>
              </w:rPr>
            </w:pPr>
          </w:p>
        </w:tc>
        <w:tc>
          <w:tcPr>
            <w:tcW w:w="1165" w:type="dxa"/>
            <w:vMerge w:val="continue"/>
            <w:tcBorders>
              <w:top w:val="nil"/>
              <w:bottom w:val="nil"/>
            </w:tcBorders>
            <w:vAlign w:val="top"/>
          </w:tcPr>
          <w:p w14:paraId="5F63CDB2">
            <w:pPr>
              <w:rPr>
                <w:rFonts w:ascii="Arial"/>
                <w:color w:val="auto"/>
                <w:sz w:val="21"/>
                <w:highlight w:val="none"/>
              </w:rPr>
            </w:pPr>
          </w:p>
        </w:tc>
        <w:tc>
          <w:tcPr>
            <w:tcW w:w="1517" w:type="dxa"/>
            <w:gridSpan w:val="2"/>
            <w:vAlign w:val="top"/>
          </w:tcPr>
          <w:p w14:paraId="371BA822">
            <w:pPr>
              <w:pStyle w:val="18"/>
              <w:spacing w:before="182" w:line="222" w:lineRule="auto"/>
              <w:ind w:left="126"/>
              <w:rPr>
                <w:color w:val="auto"/>
                <w:highlight w:val="none"/>
              </w:rPr>
            </w:pPr>
            <w:r>
              <w:rPr>
                <w:color w:val="auto"/>
                <w:spacing w:val="-1"/>
                <w:highlight w:val="none"/>
              </w:rPr>
              <w:t>初级职称人员</w:t>
            </w:r>
          </w:p>
        </w:tc>
        <w:tc>
          <w:tcPr>
            <w:tcW w:w="2073" w:type="dxa"/>
            <w:gridSpan w:val="2"/>
            <w:vAlign w:val="top"/>
          </w:tcPr>
          <w:p w14:paraId="2623F187">
            <w:pPr>
              <w:rPr>
                <w:rFonts w:ascii="Arial"/>
                <w:color w:val="auto"/>
                <w:sz w:val="21"/>
                <w:highlight w:val="none"/>
              </w:rPr>
            </w:pPr>
          </w:p>
        </w:tc>
      </w:tr>
      <w:tr w14:paraId="2878D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F27A221">
            <w:pPr>
              <w:pStyle w:val="18"/>
              <w:spacing w:before="43" w:line="236" w:lineRule="auto"/>
              <w:ind w:left="368"/>
              <w:rPr>
                <w:color w:val="auto"/>
                <w:highlight w:val="none"/>
              </w:rPr>
            </w:pPr>
            <w:r>
              <w:rPr>
                <w:color w:val="auto"/>
                <w:spacing w:val="-1"/>
                <w:highlight w:val="none"/>
              </w:rPr>
              <w:t>基本账户</w:t>
            </w:r>
          </w:p>
          <w:p w14:paraId="5EC7E131">
            <w:pPr>
              <w:pStyle w:val="18"/>
              <w:spacing w:before="1" w:line="218" w:lineRule="auto"/>
              <w:ind w:left="583"/>
              <w:rPr>
                <w:color w:val="auto"/>
                <w:highlight w:val="none"/>
              </w:rPr>
            </w:pPr>
            <w:r>
              <w:rPr>
                <w:color w:val="auto"/>
                <w:spacing w:val="-3"/>
                <w:highlight w:val="none"/>
              </w:rPr>
              <w:t>账号</w:t>
            </w:r>
          </w:p>
        </w:tc>
        <w:tc>
          <w:tcPr>
            <w:tcW w:w="1996" w:type="dxa"/>
            <w:gridSpan w:val="2"/>
            <w:vAlign w:val="top"/>
          </w:tcPr>
          <w:p w14:paraId="32F0D9BA">
            <w:pPr>
              <w:rPr>
                <w:rFonts w:ascii="Arial"/>
                <w:color w:val="auto"/>
                <w:sz w:val="21"/>
                <w:highlight w:val="none"/>
              </w:rPr>
            </w:pPr>
          </w:p>
        </w:tc>
        <w:tc>
          <w:tcPr>
            <w:tcW w:w="1165" w:type="dxa"/>
            <w:vMerge w:val="continue"/>
            <w:tcBorders>
              <w:top w:val="nil"/>
            </w:tcBorders>
            <w:vAlign w:val="top"/>
          </w:tcPr>
          <w:p w14:paraId="04607BBC">
            <w:pPr>
              <w:rPr>
                <w:rFonts w:ascii="Arial"/>
                <w:color w:val="auto"/>
                <w:sz w:val="21"/>
                <w:highlight w:val="none"/>
              </w:rPr>
            </w:pPr>
          </w:p>
        </w:tc>
        <w:tc>
          <w:tcPr>
            <w:tcW w:w="1517" w:type="dxa"/>
            <w:gridSpan w:val="2"/>
            <w:vAlign w:val="top"/>
          </w:tcPr>
          <w:p w14:paraId="2F453A93">
            <w:pPr>
              <w:pStyle w:val="18"/>
              <w:spacing w:before="177" w:line="222" w:lineRule="auto"/>
              <w:ind w:left="445"/>
              <w:rPr>
                <w:color w:val="auto"/>
                <w:highlight w:val="none"/>
              </w:rPr>
            </w:pPr>
            <w:r>
              <w:rPr>
                <w:color w:val="auto"/>
                <w:spacing w:val="-4"/>
                <w:highlight w:val="none"/>
              </w:rPr>
              <w:t>技</w:t>
            </w:r>
            <w:r>
              <w:rPr>
                <w:color w:val="auto"/>
                <w:spacing w:val="5"/>
                <w:highlight w:val="none"/>
              </w:rPr>
              <w:t xml:space="preserve">  </w:t>
            </w:r>
            <w:r>
              <w:rPr>
                <w:color w:val="auto"/>
                <w:spacing w:val="-4"/>
                <w:highlight w:val="none"/>
              </w:rPr>
              <w:t>工</w:t>
            </w:r>
          </w:p>
        </w:tc>
        <w:tc>
          <w:tcPr>
            <w:tcW w:w="2073" w:type="dxa"/>
            <w:gridSpan w:val="2"/>
            <w:vAlign w:val="top"/>
          </w:tcPr>
          <w:p w14:paraId="1F148EAC">
            <w:pPr>
              <w:rPr>
                <w:rFonts w:ascii="Arial"/>
                <w:color w:val="auto"/>
                <w:sz w:val="21"/>
                <w:highlight w:val="none"/>
              </w:rPr>
            </w:pPr>
          </w:p>
        </w:tc>
      </w:tr>
      <w:tr w14:paraId="5675A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00AA6864">
            <w:pPr>
              <w:spacing w:line="273" w:lineRule="auto"/>
              <w:rPr>
                <w:rFonts w:ascii="Arial"/>
                <w:color w:val="auto"/>
                <w:sz w:val="21"/>
                <w:highlight w:val="none"/>
              </w:rPr>
            </w:pPr>
          </w:p>
          <w:p w14:paraId="27C01FAC">
            <w:pPr>
              <w:spacing w:line="274" w:lineRule="auto"/>
              <w:rPr>
                <w:rFonts w:ascii="Arial"/>
                <w:color w:val="auto"/>
                <w:sz w:val="21"/>
                <w:highlight w:val="none"/>
              </w:rPr>
            </w:pPr>
          </w:p>
          <w:p w14:paraId="37634F01">
            <w:pPr>
              <w:pStyle w:val="18"/>
              <w:spacing w:before="69" w:line="221" w:lineRule="auto"/>
              <w:ind w:left="370"/>
              <w:rPr>
                <w:color w:val="auto"/>
                <w:highlight w:val="none"/>
              </w:rPr>
            </w:pPr>
            <w:r>
              <w:rPr>
                <w:color w:val="auto"/>
                <w:spacing w:val="-1"/>
                <w:highlight w:val="none"/>
              </w:rPr>
              <w:t>经营范围</w:t>
            </w:r>
          </w:p>
        </w:tc>
        <w:tc>
          <w:tcPr>
            <w:tcW w:w="6751" w:type="dxa"/>
            <w:gridSpan w:val="7"/>
            <w:vAlign w:val="top"/>
          </w:tcPr>
          <w:p w14:paraId="4057FF4A">
            <w:pPr>
              <w:rPr>
                <w:rFonts w:ascii="Arial"/>
                <w:color w:val="auto"/>
                <w:sz w:val="21"/>
                <w:highlight w:val="none"/>
              </w:rPr>
            </w:pPr>
          </w:p>
        </w:tc>
      </w:tr>
      <w:tr w14:paraId="6537D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3854EB09">
            <w:pPr>
              <w:pStyle w:val="18"/>
              <w:spacing w:before="178" w:line="222" w:lineRule="auto"/>
              <w:ind w:left="582"/>
              <w:rPr>
                <w:color w:val="auto"/>
                <w:highlight w:val="none"/>
              </w:rPr>
            </w:pPr>
            <w:r>
              <w:rPr>
                <w:color w:val="auto"/>
                <w:spacing w:val="-3"/>
                <w:highlight w:val="none"/>
              </w:rPr>
              <w:t>备注</w:t>
            </w:r>
          </w:p>
        </w:tc>
        <w:tc>
          <w:tcPr>
            <w:tcW w:w="6751" w:type="dxa"/>
            <w:gridSpan w:val="7"/>
            <w:vAlign w:val="top"/>
          </w:tcPr>
          <w:p w14:paraId="3D751A19">
            <w:pPr>
              <w:rPr>
                <w:rFonts w:ascii="Arial"/>
                <w:color w:val="auto"/>
                <w:sz w:val="21"/>
                <w:highlight w:val="none"/>
              </w:rPr>
            </w:pPr>
          </w:p>
        </w:tc>
      </w:tr>
    </w:tbl>
    <w:p w14:paraId="04DFD3AB">
      <w:pPr>
        <w:spacing w:before="155" w:line="403" w:lineRule="exact"/>
        <w:ind w:left="2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备注： 1.本表后应附营业执照、企业资质证书、安全生产许可证、基本账户开户许可证</w:t>
      </w:r>
    </w:p>
    <w:p w14:paraId="79D45A34">
      <w:pPr>
        <w:spacing w:before="1" w:line="219" w:lineRule="auto"/>
        <w:ind w:left="86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（基本存款账户信息）、质量、环境、职业健康安全管理体系认证证书等材料。</w:t>
      </w:r>
    </w:p>
    <w:p w14:paraId="50E34713">
      <w:pPr>
        <w:spacing w:before="149" w:line="221"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联合体投标的，联合体各成员应分别填写。</w:t>
      </w:r>
    </w:p>
    <w:p w14:paraId="5501D770">
      <w:pPr>
        <w:spacing w:line="221" w:lineRule="auto"/>
        <w:rPr>
          <w:rFonts w:ascii="宋体" w:hAnsi="宋体" w:eastAsia="宋体" w:cs="宋体"/>
          <w:color w:val="auto"/>
          <w:sz w:val="21"/>
          <w:szCs w:val="21"/>
          <w:highlight w:val="none"/>
        </w:rPr>
        <w:sectPr>
          <w:footerReference r:id="rId169" w:type="default"/>
          <w:pgSz w:w="11905" w:h="16839"/>
          <w:pgMar w:top="400" w:right="1785" w:bottom="1004" w:left="1785" w:header="0" w:footer="828" w:gutter="0"/>
          <w:pgNumType w:fmt="decimal"/>
          <w:cols w:space="720" w:num="1"/>
        </w:sectPr>
      </w:pPr>
    </w:p>
    <w:p w14:paraId="2AF5D39C">
      <w:pPr>
        <w:pStyle w:val="5"/>
        <w:spacing w:line="267" w:lineRule="auto"/>
        <w:rPr>
          <w:color w:val="auto"/>
          <w:highlight w:val="none"/>
        </w:rPr>
      </w:pPr>
    </w:p>
    <w:p w14:paraId="68B797C6">
      <w:pPr>
        <w:pStyle w:val="5"/>
        <w:spacing w:line="268" w:lineRule="auto"/>
        <w:rPr>
          <w:color w:val="auto"/>
          <w:highlight w:val="none"/>
        </w:rPr>
      </w:pPr>
    </w:p>
    <w:p w14:paraId="11E184AB">
      <w:pPr>
        <w:pStyle w:val="5"/>
        <w:spacing w:line="268" w:lineRule="auto"/>
        <w:rPr>
          <w:color w:val="auto"/>
          <w:highlight w:val="none"/>
        </w:rPr>
      </w:pPr>
    </w:p>
    <w:p w14:paraId="393369C4">
      <w:pPr>
        <w:pStyle w:val="5"/>
        <w:spacing w:line="268" w:lineRule="auto"/>
        <w:rPr>
          <w:color w:val="auto"/>
          <w:highlight w:val="none"/>
        </w:rPr>
      </w:pPr>
    </w:p>
    <w:p w14:paraId="37D7044E">
      <w:pPr>
        <w:spacing w:before="78" w:line="218" w:lineRule="auto"/>
        <w:ind w:left="3226"/>
        <w:rPr>
          <w:rFonts w:ascii="黑体" w:hAnsi="黑体" w:eastAsia="黑体" w:cs="黑体"/>
          <w:color w:val="auto"/>
          <w:sz w:val="24"/>
          <w:szCs w:val="24"/>
          <w:highlight w:val="none"/>
        </w:rPr>
      </w:pPr>
      <w:bookmarkStart w:id="1761" w:name="bookmark316"/>
      <w:bookmarkEnd w:id="1761"/>
      <w:r>
        <w:rPr>
          <w:rFonts w:ascii="Times New Roman" w:hAnsi="Times New Roman" w:eastAsia="Times New Roman" w:cs="Times New Roman"/>
          <w:color w:val="auto"/>
          <w:spacing w:val="-4"/>
          <w:sz w:val="24"/>
          <w:szCs w:val="24"/>
          <w:highlight w:val="none"/>
        </w:rPr>
        <w:t xml:space="preserve">1-2 </w:t>
      </w:r>
      <w:r>
        <w:rPr>
          <w:rFonts w:ascii="黑体" w:hAnsi="黑体" w:eastAsia="黑体" w:cs="黑体"/>
          <w:color w:val="auto"/>
          <w:spacing w:val="-4"/>
          <w:sz w:val="24"/>
          <w:szCs w:val="24"/>
          <w:highlight w:val="none"/>
        </w:rPr>
        <w:t>关联单位情况说明</w:t>
      </w:r>
    </w:p>
    <w:p w14:paraId="1011F495">
      <w:pPr>
        <w:spacing w:before="2"/>
        <w:rPr>
          <w:color w:val="auto"/>
          <w:highlight w:val="none"/>
        </w:rPr>
      </w:pPr>
    </w:p>
    <w:tbl>
      <w:tblPr>
        <w:tblStyle w:val="17"/>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5B9DB3A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8411" w:hRule="atLeast"/>
        </w:trPr>
        <w:tc>
          <w:tcPr>
            <w:tcW w:w="8691" w:type="dxa"/>
            <w:vAlign w:val="top"/>
          </w:tcPr>
          <w:p w14:paraId="021B9E4E">
            <w:pPr>
              <w:spacing w:line="319" w:lineRule="auto"/>
              <w:rPr>
                <w:rFonts w:ascii="Arial"/>
                <w:color w:val="auto"/>
                <w:sz w:val="21"/>
                <w:highlight w:val="none"/>
              </w:rPr>
            </w:pPr>
          </w:p>
          <w:p w14:paraId="45EB0B39">
            <w:pPr>
              <w:pStyle w:val="18"/>
              <w:spacing w:before="69" w:line="220" w:lineRule="auto"/>
              <w:ind w:left="14"/>
              <w:rPr>
                <w:color w:val="auto"/>
                <w:highlight w:val="none"/>
              </w:rPr>
            </w:pPr>
            <w:r>
              <w:rPr>
                <w:color w:val="auto"/>
                <w:spacing w:val="-2"/>
                <w:highlight w:val="none"/>
              </w:rPr>
              <w:t>单位负责人与本单位负责人为同一人的单位：</w:t>
            </w:r>
          </w:p>
          <w:p w14:paraId="3BF64E84">
            <w:pPr>
              <w:spacing w:line="263" w:lineRule="auto"/>
              <w:rPr>
                <w:rFonts w:ascii="Arial"/>
                <w:color w:val="auto"/>
                <w:sz w:val="21"/>
                <w:highlight w:val="none"/>
              </w:rPr>
            </w:pPr>
          </w:p>
          <w:p w14:paraId="4C5E98E7">
            <w:pPr>
              <w:spacing w:line="263" w:lineRule="auto"/>
              <w:rPr>
                <w:rFonts w:ascii="Arial"/>
                <w:color w:val="auto"/>
                <w:sz w:val="21"/>
                <w:highlight w:val="none"/>
              </w:rPr>
            </w:pPr>
          </w:p>
          <w:p w14:paraId="149EBA63">
            <w:pPr>
              <w:spacing w:line="264" w:lineRule="auto"/>
              <w:rPr>
                <w:rFonts w:ascii="Arial"/>
                <w:color w:val="auto"/>
                <w:sz w:val="21"/>
                <w:highlight w:val="none"/>
              </w:rPr>
            </w:pPr>
          </w:p>
          <w:p w14:paraId="3F3CE826">
            <w:pPr>
              <w:spacing w:line="264" w:lineRule="auto"/>
              <w:rPr>
                <w:rFonts w:ascii="Arial"/>
                <w:color w:val="auto"/>
                <w:sz w:val="21"/>
                <w:highlight w:val="none"/>
              </w:rPr>
            </w:pPr>
          </w:p>
          <w:p w14:paraId="3C3DF54E">
            <w:pPr>
              <w:spacing w:line="264" w:lineRule="auto"/>
              <w:rPr>
                <w:rFonts w:ascii="Arial"/>
                <w:color w:val="auto"/>
                <w:sz w:val="21"/>
                <w:highlight w:val="none"/>
              </w:rPr>
            </w:pPr>
          </w:p>
          <w:p w14:paraId="77EB118F">
            <w:pPr>
              <w:spacing w:line="264" w:lineRule="auto"/>
              <w:rPr>
                <w:rFonts w:ascii="Arial"/>
                <w:color w:val="auto"/>
                <w:sz w:val="21"/>
                <w:highlight w:val="none"/>
              </w:rPr>
            </w:pPr>
          </w:p>
          <w:p w14:paraId="72B9A3FA">
            <w:pPr>
              <w:pStyle w:val="18"/>
              <w:spacing w:before="68" w:line="220" w:lineRule="auto"/>
              <w:ind w:left="17"/>
              <w:rPr>
                <w:color w:val="auto"/>
                <w:highlight w:val="none"/>
              </w:rPr>
            </w:pPr>
            <w:r>
              <w:rPr>
                <w:color w:val="auto"/>
                <w:spacing w:val="-1"/>
                <w:highlight w:val="none"/>
              </w:rPr>
              <w:t>与本单位存在控股与被控股关系的单位：</w:t>
            </w:r>
          </w:p>
          <w:p w14:paraId="3FAE624C">
            <w:pPr>
              <w:spacing w:line="265" w:lineRule="auto"/>
              <w:rPr>
                <w:rFonts w:ascii="Arial"/>
                <w:color w:val="auto"/>
                <w:sz w:val="21"/>
                <w:highlight w:val="none"/>
              </w:rPr>
            </w:pPr>
          </w:p>
          <w:p w14:paraId="120425D8">
            <w:pPr>
              <w:spacing w:line="265" w:lineRule="auto"/>
              <w:rPr>
                <w:rFonts w:ascii="Arial"/>
                <w:color w:val="auto"/>
                <w:sz w:val="21"/>
                <w:highlight w:val="none"/>
              </w:rPr>
            </w:pPr>
          </w:p>
          <w:p w14:paraId="64EFBF30">
            <w:pPr>
              <w:spacing w:line="265" w:lineRule="auto"/>
              <w:rPr>
                <w:rFonts w:ascii="Arial"/>
                <w:color w:val="auto"/>
                <w:sz w:val="21"/>
                <w:highlight w:val="none"/>
              </w:rPr>
            </w:pPr>
          </w:p>
          <w:p w14:paraId="20A02FFB">
            <w:pPr>
              <w:spacing w:line="265" w:lineRule="auto"/>
              <w:rPr>
                <w:rFonts w:ascii="Arial"/>
                <w:color w:val="auto"/>
                <w:sz w:val="21"/>
                <w:highlight w:val="none"/>
              </w:rPr>
            </w:pPr>
          </w:p>
          <w:p w14:paraId="05D5DBA2">
            <w:pPr>
              <w:spacing w:line="265" w:lineRule="auto"/>
              <w:rPr>
                <w:rFonts w:ascii="Arial"/>
                <w:color w:val="auto"/>
                <w:sz w:val="21"/>
                <w:highlight w:val="none"/>
              </w:rPr>
            </w:pPr>
          </w:p>
          <w:p w14:paraId="61DB87C3">
            <w:pPr>
              <w:spacing w:line="265" w:lineRule="auto"/>
              <w:rPr>
                <w:rFonts w:ascii="Arial"/>
                <w:color w:val="auto"/>
                <w:sz w:val="21"/>
                <w:highlight w:val="none"/>
              </w:rPr>
            </w:pPr>
          </w:p>
          <w:p w14:paraId="16E117EC">
            <w:pPr>
              <w:spacing w:line="266" w:lineRule="auto"/>
              <w:rPr>
                <w:rFonts w:ascii="Arial"/>
                <w:color w:val="auto"/>
                <w:sz w:val="21"/>
                <w:highlight w:val="none"/>
              </w:rPr>
            </w:pPr>
          </w:p>
          <w:p w14:paraId="025277FF">
            <w:pPr>
              <w:spacing w:line="266" w:lineRule="auto"/>
              <w:rPr>
                <w:rFonts w:ascii="Arial"/>
                <w:color w:val="auto"/>
                <w:sz w:val="21"/>
                <w:highlight w:val="none"/>
              </w:rPr>
            </w:pPr>
          </w:p>
          <w:p w14:paraId="0EDFE097">
            <w:pPr>
              <w:spacing w:line="266" w:lineRule="auto"/>
              <w:rPr>
                <w:rFonts w:ascii="Arial"/>
                <w:color w:val="auto"/>
                <w:sz w:val="21"/>
                <w:highlight w:val="none"/>
              </w:rPr>
            </w:pPr>
          </w:p>
          <w:p w14:paraId="6D591B3F">
            <w:pPr>
              <w:pStyle w:val="18"/>
              <w:spacing w:before="69" w:line="220" w:lineRule="auto"/>
              <w:ind w:left="17"/>
              <w:rPr>
                <w:color w:val="auto"/>
                <w:highlight w:val="none"/>
              </w:rPr>
            </w:pPr>
            <w:r>
              <w:rPr>
                <w:color w:val="auto"/>
                <w:spacing w:val="-1"/>
                <w:highlight w:val="none"/>
              </w:rPr>
              <w:t>与本单位存在管理与被管理关系的单位：</w:t>
            </w:r>
          </w:p>
        </w:tc>
      </w:tr>
    </w:tbl>
    <w:p w14:paraId="629F00F8">
      <w:pPr>
        <w:spacing w:before="29" w:line="229" w:lineRule="auto"/>
        <w:ind w:left="826" w:right="452" w:hanging="62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备注： 1.投标人应当如实披露相关关联单位的情况。没有相关关联单位的明确填</w:t>
      </w:r>
      <w:r>
        <w:rPr>
          <w:rFonts w:ascii="宋体" w:hAnsi="宋体" w:eastAsia="宋体" w:cs="宋体"/>
          <w:color w:val="auto"/>
          <w:spacing w:val="-7"/>
          <w:sz w:val="21"/>
          <w:szCs w:val="21"/>
          <w:highlight w:val="none"/>
        </w:rPr>
        <w:t>“无”。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2.联合体投标的，联合体各成员应分别填写。</w:t>
      </w:r>
    </w:p>
    <w:p w14:paraId="2205BEC1">
      <w:pPr>
        <w:spacing w:line="229" w:lineRule="auto"/>
        <w:rPr>
          <w:rFonts w:ascii="宋体" w:hAnsi="宋体" w:eastAsia="宋体" w:cs="宋体"/>
          <w:color w:val="auto"/>
          <w:sz w:val="21"/>
          <w:szCs w:val="21"/>
          <w:highlight w:val="none"/>
        </w:rPr>
        <w:sectPr>
          <w:footerReference r:id="rId170" w:type="default"/>
          <w:pgSz w:w="11905" w:h="16839"/>
          <w:pgMar w:top="400" w:right="1599" w:bottom="1004" w:left="1608" w:header="0" w:footer="828" w:gutter="0"/>
          <w:pgNumType w:fmt="decimal"/>
          <w:cols w:space="720" w:num="1"/>
        </w:sectPr>
      </w:pPr>
    </w:p>
    <w:p w14:paraId="1D6E29A5">
      <w:pPr>
        <w:pStyle w:val="5"/>
        <w:spacing w:line="267" w:lineRule="auto"/>
        <w:rPr>
          <w:color w:val="auto"/>
          <w:highlight w:val="none"/>
        </w:rPr>
      </w:pPr>
    </w:p>
    <w:p w14:paraId="153CCFBB">
      <w:pPr>
        <w:pStyle w:val="5"/>
        <w:spacing w:line="267" w:lineRule="auto"/>
        <w:rPr>
          <w:color w:val="auto"/>
          <w:highlight w:val="none"/>
        </w:rPr>
      </w:pPr>
    </w:p>
    <w:p w14:paraId="42626D88">
      <w:pPr>
        <w:pStyle w:val="5"/>
        <w:spacing w:line="268" w:lineRule="auto"/>
        <w:rPr>
          <w:color w:val="auto"/>
          <w:highlight w:val="none"/>
        </w:rPr>
      </w:pPr>
    </w:p>
    <w:p w14:paraId="29344C53">
      <w:pPr>
        <w:pStyle w:val="5"/>
        <w:spacing w:line="268" w:lineRule="auto"/>
        <w:rPr>
          <w:color w:val="auto"/>
          <w:highlight w:val="none"/>
        </w:rPr>
      </w:pPr>
    </w:p>
    <w:p w14:paraId="200DF9F4">
      <w:pPr>
        <w:spacing w:before="78" w:line="220" w:lineRule="auto"/>
        <w:ind w:left="2689"/>
        <w:rPr>
          <w:rFonts w:ascii="黑体" w:hAnsi="黑体" w:eastAsia="黑体" w:cs="黑体"/>
          <w:color w:val="auto"/>
          <w:sz w:val="24"/>
          <w:szCs w:val="24"/>
          <w:highlight w:val="none"/>
        </w:rPr>
      </w:pPr>
      <w:bookmarkStart w:id="1762" w:name="bookmark317"/>
      <w:bookmarkEnd w:id="1762"/>
      <w:r>
        <w:rPr>
          <w:rFonts w:ascii="Times New Roman" w:hAnsi="Times New Roman" w:eastAsia="Times New Roman" w:cs="Times New Roman"/>
          <w:color w:val="auto"/>
          <w:spacing w:val="-3"/>
          <w:sz w:val="24"/>
          <w:szCs w:val="24"/>
          <w:highlight w:val="none"/>
        </w:rPr>
        <w:t xml:space="preserve">1-3 </w:t>
      </w:r>
      <w:r>
        <w:rPr>
          <w:rFonts w:ascii="黑体" w:hAnsi="黑体" w:eastAsia="黑体" w:cs="黑体"/>
          <w:color w:val="auto"/>
          <w:spacing w:val="-3"/>
          <w:sz w:val="24"/>
          <w:szCs w:val="24"/>
          <w:highlight w:val="none"/>
        </w:rPr>
        <w:t>企业在辽基本信息登记单</w:t>
      </w:r>
    </w:p>
    <w:p w14:paraId="6DB1BB4B">
      <w:pPr>
        <w:spacing w:before="29"/>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2E537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042902F5">
            <w:pPr>
              <w:pStyle w:val="18"/>
              <w:spacing w:before="250" w:line="221" w:lineRule="auto"/>
              <w:ind w:left="634"/>
              <w:rPr>
                <w:color w:val="auto"/>
                <w:highlight w:val="none"/>
              </w:rPr>
            </w:pPr>
            <w:r>
              <w:rPr>
                <w:color w:val="auto"/>
                <w:spacing w:val="-1"/>
                <w:highlight w:val="none"/>
              </w:rPr>
              <w:t>单位名称</w:t>
            </w:r>
          </w:p>
        </w:tc>
        <w:tc>
          <w:tcPr>
            <w:tcW w:w="6219" w:type="dxa"/>
            <w:gridSpan w:val="3"/>
            <w:vAlign w:val="top"/>
          </w:tcPr>
          <w:p w14:paraId="2F4B60F0">
            <w:pPr>
              <w:rPr>
                <w:rFonts w:ascii="Arial"/>
                <w:color w:val="auto"/>
                <w:sz w:val="21"/>
                <w:highlight w:val="none"/>
              </w:rPr>
            </w:pPr>
          </w:p>
        </w:tc>
      </w:tr>
      <w:tr w14:paraId="35249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40FB06CF">
            <w:pPr>
              <w:pStyle w:val="18"/>
              <w:spacing w:before="240" w:line="221" w:lineRule="auto"/>
              <w:ind w:left="321"/>
              <w:rPr>
                <w:color w:val="auto"/>
                <w:highlight w:val="none"/>
              </w:rPr>
            </w:pPr>
            <w:r>
              <w:rPr>
                <w:color w:val="auto"/>
                <w:spacing w:val="-1"/>
                <w:highlight w:val="none"/>
              </w:rPr>
              <w:t>法定代表人姓名</w:t>
            </w:r>
          </w:p>
        </w:tc>
        <w:tc>
          <w:tcPr>
            <w:tcW w:w="2064" w:type="dxa"/>
            <w:vAlign w:val="top"/>
          </w:tcPr>
          <w:p w14:paraId="44EA571B">
            <w:pPr>
              <w:rPr>
                <w:rFonts w:ascii="Arial"/>
                <w:color w:val="auto"/>
                <w:sz w:val="21"/>
                <w:highlight w:val="none"/>
              </w:rPr>
            </w:pPr>
          </w:p>
        </w:tc>
        <w:tc>
          <w:tcPr>
            <w:tcW w:w="2083" w:type="dxa"/>
            <w:vAlign w:val="top"/>
          </w:tcPr>
          <w:p w14:paraId="4BBA7705">
            <w:pPr>
              <w:pStyle w:val="18"/>
              <w:spacing w:before="241" w:line="221" w:lineRule="auto"/>
              <w:ind w:left="530"/>
              <w:rPr>
                <w:color w:val="auto"/>
                <w:highlight w:val="none"/>
              </w:rPr>
            </w:pPr>
            <w:r>
              <w:rPr>
                <w:color w:val="auto"/>
                <w:spacing w:val="-2"/>
                <w:highlight w:val="none"/>
              </w:rPr>
              <w:t>公司所在地</w:t>
            </w:r>
          </w:p>
        </w:tc>
        <w:tc>
          <w:tcPr>
            <w:tcW w:w="2072" w:type="dxa"/>
            <w:vAlign w:val="top"/>
          </w:tcPr>
          <w:p w14:paraId="7AD621FC">
            <w:pPr>
              <w:rPr>
                <w:rFonts w:ascii="Arial"/>
                <w:color w:val="auto"/>
                <w:sz w:val="21"/>
                <w:highlight w:val="none"/>
              </w:rPr>
            </w:pPr>
          </w:p>
        </w:tc>
      </w:tr>
      <w:tr w14:paraId="0EFC4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2DCCA065">
            <w:pPr>
              <w:pStyle w:val="18"/>
              <w:spacing w:before="236" w:line="221" w:lineRule="auto"/>
              <w:ind w:left="219"/>
              <w:rPr>
                <w:color w:val="auto"/>
                <w:highlight w:val="none"/>
              </w:rPr>
            </w:pPr>
            <w:r>
              <w:rPr>
                <w:color w:val="auto"/>
                <w:spacing w:val="-1"/>
                <w:highlight w:val="none"/>
              </w:rPr>
              <w:t>安全生产许可证号</w:t>
            </w:r>
          </w:p>
        </w:tc>
        <w:tc>
          <w:tcPr>
            <w:tcW w:w="6219" w:type="dxa"/>
            <w:gridSpan w:val="3"/>
            <w:vAlign w:val="top"/>
          </w:tcPr>
          <w:p w14:paraId="43300828">
            <w:pPr>
              <w:rPr>
                <w:rFonts w:ascii="Arial"/>
                <w:color w:val="auto"/>
                <w:sz w:val="21"/>
                <w:highlight w:val="none"/>
              </w:rPr>
            </w:pPr>
          </w:p>
        </w:tc>
      </w:tr>
      <w:tr w14:paraId="65FF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314B56B0">
            <w:pPr>
              <w:pStyle w:val="18"/>
              <w:spacing w:before="242" w:line="220" w:lineRule="auto"/>
              <w:ind w:left="536"/>
              <w:rPr>
                <w:color w:val="auto"/>
                <w:highlight w:val="none"/>
              </w:rPr>
            </w:pPr>
            <w:r>
              <w:rPr>
                <w:color w:val="auto"/>
                <w:spacing w:val="-2"/>
                <w:highlight w:val="none"/>
              </w:rPr>
              <w:t>资质证书号</w:t>
            </w:r>
          </w:p>
        </w:tc>
        <w:tc>
          <w:tcPr>
            <w:tcW w:w="6219" w:type="dxa"/>
            <w:gridSpan w:val="3"/>
            <w:vAlign w:val="top"/>
          </w:tcPr>
          <w:p w14:paraId="20D2CD1D">
            <w:pPr>
              <w:pStyle w:val="18"/>
              <w:spacing w:before="242" w:line="221" w:lineRule="auto"/>
              <w:ind w:left="2391"/>
              <w:rPr>
                <w:color w:val="auto"/>
                <w:highlight w:val="none"/>
              </w:rPr>
            </w:pPr>
            <w:r>
              <w:rPr>
                <w:color w:val="auto"/>
                <w:spacing w:val="-2"/>
                <w:highlight w:val="none"/>
              </w:rPr>
              <w:t>资质类别及等级</w:t>
            </w:r>
          </w:p>
        </w:tc>
      </w:tr>
      <w:tr w14:paraId="49CCF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37E61FAB">
            <w:pPr>
              <w:pStyle w:val="18"/>
              <w:spacing w:before="242" w:line="332" w:lineRule="exact"/>
              <w:ind w:left="962"/>
              <w:rPr>
                <w:color w:val="auto"/>
                <w:highlight w:val="none"/>
              </w:rPr>
            </w:pPr>
            <w:r>
              <w:rPr>
                <w:color w:val="auto"/>
                <w:position w:val="2"/>
                <w:highlight w:val="none"/>
              </w:rPr>
              <w:t>…</w:t>
            </w:r>
          </w:p>
        </w:tc>
        <w:tc>
          <w:tcPr>
            <w:tcW w:w="6219" w:type="dxa"/>
            <w:gridSpan w:val="3"/>
            <w:vAlign w:val="top"/>
          </w:tcPr>
          <w:p w14:paraId="489A6EA3">
            <w:pPr>
              <w:rPr>
                <w:rFonts w:ascii="Arial"/>
                <w:color w:val="auto"/>
                <w:sz w:val="21"/>
                <w:highlight w:val="none"/>
              </w:rPr>
            </w:pPr>
          </w:p>
        </w:tc>
      </w:tr>
      <w:tr w14:paraId="364B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55D51336">
            <w:pPr>
              <w:pStyle w:val="18"/>
              <w:spacing w:before="243" w:line="332" w:lineRule="exact"/>
              <w:ind w:left="962"/>
              <w:rPr>
                <w:color w:val="auto"/>
                <w:highlight w:val="none"/>
              </w:rPr>
            </w:pPr>
            <w:r>
              <w:rPr>
                <w:color w:val="auto"/>
                <w:position w:val="2"/>
                <w:highlight w:val="none"/>
              </w:rPr>
              <w:t>…</w:t>
            </w:r>
          </w:p>
        </w:tc>
        <w:tc>
          <w:tcPr>
            <w:tcW w:w="6219" w:type="dxa"/>
            <w:gridSpan w:val="3"/>
            <w:vAlign w:val="top"/>
          </w:tcPr>
          <w:p w14:paraId="68356E27">
            <w:pPr>
              <w:rPr>
                <w:rFonts w:ascii="Arial"/>
                <w:color w:val="auto"/>
                <w:sz w:val="21"/>
                <w:highlight w:val="none"/>
              </w:rPr>
            </w:pPr>
          </w:p>
        </w:tc>
      </w:tr>
      <w:tr w14:paraId="11599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14447595">
            <w:pPr>
              <w:pStyle w:val="18"/>
              <w:spacing w:before="238" w:line="333" w:lineRule="exact"/>
              <w:ind w:left="962"/>
              <w:rPr>
                <w:color w:val="auto"/>
                <w:highlight w:val="none"/>
              </w:rPr>
            </w:pPr>
            <w:r>
              <w:rPr>
                <w:color w:val="auto"/>
                <w:position w:val="2"/>
                <w:highlight w:val="none"/>
              </w:rPr>
              <w:t>…</w:t>
            </w:r>
          </w:p>
        </w:tc>
        <w:tc>
          <w:tcPr>
            <w:tcW w:w="6219" w:type="dxa"/>
            <w:gridSpan w:val="3"/>
            <w:vAlign w:val="top"/>
          </w:tcPr>
          <w:p w14:paraId="00B96483">
            <w:pPr>
              <w:rPr>
                <w:rFonts w:ascii="Arial"/>
                <w:color w:val="auto"/>
                <w:sz w:val="21"/>
                <w:highlight w:val="none"/>
              </w:rPr>
            </w:pPr>
          </w:p>
        </w:tc>
      </w:tr>
      <w:tr w14:paraId="45EEA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3D6BB24F">
            <w:pPr>
              <w:pStyle w:val="18"/>
              <w:spacing w:before="248" w:line="221" w:lineRule="auto"/>
              <w:ind w:left="530"/>
              <w:rPr>
                <w:color w:val="auto"/>
                <w:highlight w:val="none"/>
              </w:rPr>
            </w:pPr>
            <w:r>
              <w:rPr>
                <w:color w:val="auto"/>
                <w:spacing w:val="-1"/>
                <w:highlight w:val="none"/>
              </w:rPr>
              <w:t>企业归属地</w:t>
            </w:r>
          </w:p>
        </w:tc>
        <w:tc>
          <w:tcPr>
            <w:tcW w:w="6219" w:type="dxa"/>
            <w:gridSpan w:val="3"/>
            <w:vAlign w:val="top"/>
          </w:tcPr>
          <w:p w14:paraId="6F346858">
            <w:pPr>
              <w:pStyle w:val="18"/>
              <w:spacing w:before="248" w:line="221" w:lineRule="auto"/>
              <w:ind w:left="1669"/>
              <w:rPr>
                <w:color w:val="auto"/>
                <w:highlight w:val="none"/>
              </w:rPr>
            </w:pPr>
            <w:r>
              <w:rPr>
                <w:color w:val="auto"/>
                <w:spacing w:val="-5"/>
                <w:highlight w:val="none"/>
              </w:rPr>
              <w:t>□省内企业</w:t>
            </w:r>
            <w:r>
              <w:rPr>
                <w:color w:val="auto"/>
                <w:spacing w:val="3"/>
                <w:highlight w:val="none"/>
              </w:rPr>
              <w:t xml:space="preserve">        </w:t>
            </w:r>
            <w:r>
              <w:rPr>
                <w:color w:val="auto"/>
                <w:spacing w:val="-5"/>
                <w:highlight w:val="none"/>
              </w:rPr>
              <w:t>□省外企业</w:t>
            </w:r>
          </w:p>
        </w:tc>
      </w:tr>
      <w:tr w14:paraId="438A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10E090A0">
            <w:pPr>
              <w:pStyle w:val="18"/>
              <w:spacing w:before="250" w:line="221" w:lineRule="auto"/>
              <w:ind w:left="319"/>
              <w:rPr>
                <w:color w:val="auto"/>
                <w:highlight w:val="none"/>
              </w:rPr>
            </w:pPr>
            <w:r>
              <w:rPr>
                <w:color w:val="auto"/>
                <w:spacing w:val="-1"/>
                <w:highlight w:val="none"/>
              </w:rPr>
              <w:t>在辽负责人姓名</w:t>
            </w:r>
          </w:p>
        </w:tc>
        <w:tc>
          <w:tcPr>
            <w:tcW w:w="2064" w:type="dxa"/>
            <w:vAlign w:val="top"/>
          </w:tcPr>
          <w:p w14:paraId="230835E3">
            <w:pPr>
              <w:rPr>
                <w:rFonts w:ascii="Arial"/>
                <w:color w:val="auto"/>
                <w:sz w:val="21"/>
                <w:highlight w:val="none"/>
              </w:rPr>
            </w:pPr>
          </w:p>
        </w:tc>
        <w:tc>
          <w:tcPr>
            <w:tcW w:w="2083" w:type="dxa"/>
            <w:vAlign w:val="top"/>
          </w:tcPr>
          <w:p w14:paraId="738AF9B2">
            <w:pPr>
              <w:pStyle w:val="18"/>
              <w:spacing w:before="250" w:line="223" w:lineRule="auto"/>
              <w:ind w:left="866"/>
              <w:rPr>
                <w:color w:val="auto"/>
                <w:highlight w:val="none"/>
              </w:rPr>
            </w:pPr>
            <w:r>
              <w:rPr>
                <w:color w:val="auto"/>
                <w:spacing w:val="-8"/>
                <w:highlight w:val="none"/>
              </w:rPr>
              <w:t>电话</w:t>
            </w:r>
          </w:p>
        </w:tc>
        <w:tc>
          <w:tcPr>
            <w:tcW w:w="2072" w:type="dxa"/>
            <w:vAlign w:val="top"/>
          </w:tcPr>
          <w:p w14:paraId="5E1E8CEC">
            <w:pPr>
              <w:rPr>
                <w:rFonts w:ascii="Arial"/>
                <w:color w:val="auto"/>
                <w:sz w:val="21"/>
                <w:highlight w:val="none"/>
              </w:rPr>
            </w:pPr>
          </w:p>
        </w:tc>
      </w:tr>
      <w:tr w14:paraId="79275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17254CA5">
            <w:pPr>
              <w:pStyle w:val="18"/>
              <w:spacing w:before="246" w:line="221" w:lineRule="auto"/>
              <w:ind w:left="319"/>
              <w:rPr>
                <w:color w:val="auto"/>
                <w:highlight w:val="none"/>
              </w:rPr>
            </w:pPr>
            <w:r>
              <w:rPr>
                <w:color w:val="auto"/>
                <w:spacing w:val="-1"/>
                <w:highlight w:val="none"/>
              </w:rPr>
              <w:t>入辽登记有效期</w:t>
            </w:r>
          </w:p>
        </w:tc>
        <w:tc>
          <w:tcPr>
            <w:tcW w:w="6219" w:type="dxa"/>
            <w:gridSpan w:val="3"/>
            <w:vAlign w:val="top"/>
          </w:tcPr>
          <w:p w14:paraId="1929E088">
            <w:pPr>
              <w:pStyle w:val="18"/>
              <w:spacing w:before="245" w:line="221" w:lineRule="auto"/>
              <w:ind w:left="2435"/>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10"/>
                <w:highlight w:val="none"/>
              </w:rPr>
              <w:t xml:space="preserve">    </w:t>
            </w:r>
            <w:r>
              <w:rPr>
                <w:color w:val="auto"/>
                <w:spacing w:val="-7"/>
                <w:highlight w:val="none"/>
              </w:rPr>
              <w:t>日</w:t>
            </w:r>
          </w:p>
        </w:tc>
      </w:tr>
    </w:tbl>
    <w:p w14:paraId="2D1EF751">
      <w:pPr>
        <w:spacing w:before="24"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备注：联合体投标的，联合体各成员均应附在辽基本</w:t>
      </w:r>
      <w:r>
        <w:rPr>
          <w:rFonts w:ascii="宋体" w:hAnsi="宋体" w:eastAsia="宋体" w:cs="宋体"/>
          <w:color w:val="auto"/>
          <w:spacing w:val="-1"/>
          <w:sz w:val="21"/>
          <w:szCs w:val="21"/>
          <w:highlight w:val="none"/>
        </w:rPr>
        <w:t>信息登记单。</w:t>
      </w:r>
    </w:p>
    <w:p w14:paraId="24DA15B3">
      <w:pPr>
        <w:spacing w:line="220" w:lineRule="auto"/>
        <w:rPr>
          <w:rFonts w:ascii="宋体" w:hAnsi="宋体" w:eastAsia="宋体" w:cs="宋体"/>
          <w:color w:val="auto"/>
          <w:sz w:val="21"/>
          <w:szCs w:val="21"/>
          <w:highlight w:val="none"/>
        </w:rPr>
        <w:sectPr>
          <w:footerReference r:id="rId171" w:type="default"/>
          <w:pgSz w:w="11905" w:h="16839"/>
          <w:pgMar w:top="400" w:right="1785" w:bottom="1004" w:left="1785" w:header="0" w:footer="828" w:gutter="0"/>
          <w:pgNumType w:fmt="decimal"/>
          <w:cols w:space="720" w:num="1"/>
        </w:sectPr>
      </w:pPr>
    </w:p>
    <w:p w14:paraId="4838A343">
      <w:pPr>
        <w:pStyle w:val="5"/>
        <w:spacing w:line="276" w:lineRule="auto"/>
        <w:rPr>
          <w:color w:val="auto"/>
          <w:highlight w:val="none"/>
        </w:rPr>
      </w:pPr>
    </w:p>
    <w:p w14:paraId="0D264BCC">
      <w:pPr>
        <w:pStyle w:val="5"/>
        <w:spacing w:line="276" w:lineRule="auto"/>
        <w:rPr>
          <w:color w:val="auto"/>
          <w:highlight w:val="none"/>
        </w:rPr>
      </w:pPr>
    </w:p>
    <w:p w14:paraId="15B083DF">
      <w:pPr>
        <w:pStyle w:val="5"/>
        <w:spacing w:line="276" w:lineRule="auto"/>
        <w:rPr>
          <w:color w:val="auto"/>
          <w:highlight w:val="none"/>
        </w:rPr>
      </w:pPr>
    </w:p>
    <w:p w14:paraId="5D868585">
      <w:pPr>
        <w:pStyle w:val="5"/>
        <w:spacing w:line="276" w:lineRule="auto"/>
        <w:rPr>
          <w:color w:val="auto"/>
          <w:highlight w:val="none"/>
        </w:rPr>
      </w:pPr>
    </w:p>
    <w:p w14:paraId="375029D5">
      <w:pPr>
        <w:pStyle w:val="5"/>
        <w:spacing w:line="277" w:lineRule="auto"/>
        <w:rPr>
          <w:color w:val="auto"/>
          <w:highlight w:val="none"/>
        </w:rPr>
      </w:pPr>
    </w:p>
    <w:p w14:paraId="6CF022B4">
      <w:pPr>
        <w:spacing w:before="78" w:line="218" w:lineRule="auto"/>
        <w:ind w:left="2328"/>
        <w:rPr>
          <w:rFonts w:ascii="黑体" w:hAnsi="黑体" w:eastAsia="黑体" w:cs="黑体"/>
          <w:color w:val="auto"/>
          <w:sz w:val="24"/>
          <w:szCs w:val="24"/>
          <w:highlight w:val="none"/>
        </w:rPr>
      </w:pPr>
      <w:bookmarkStart w:id="1763" w:name="bookmark318"/>
      <w:bookmarkEnd w:id="1763"/>
      <w:r>
        <w:rPr>
          <w:rFonts w:ascii="Times New Roman" w:hAnsi="Times New Roman" w:eastAsia="Times New Roman" w:cs="Times New Roman"/>
          <w:color w:val="auto"/>
          <w:spacing w:val="-3"/>
          <w:sz w:val="24"/>
          <w:szCs w:val="24"/>
          <w:highlight w:val="none"/>
        </w:rPr>
        <w:t xml:space="preserve">1-4 </w:t>
      </w:r>
      <w:r>
        <w:rPr>
          <w:rFonts w:ascii="黑体" w:hAnsi="黑体" w:eastAsia="黑体" w:cs="黑体"/>
          <w:color w:val="auto"/>
          <w:spacing w:val="-3"/>
          <w:sz w:val="24"/>
          <w:szCs w:val="24"/>
          <w:highlight w:val="none"/>
        </w:rPr>
        <w:t>项目管理机构主要人员及简历表</w:t>
      </w:r>
    </w:p>
    <w:p w14:paraId="5BF9CC9E">
      <w:pPr>
        <w:pStyle w:val="5"/>
        <w:spacing w:line="243" w:lineRule="auto"/>
        <w:rPr>
          <w:color w:val="auto"/>
          <w:highlight w:val="none"/>
        </w:rPr>
      </w:pPr>
    </w:p>
    <w:p w14:paraId="7E9AC75D">
      <w:pPr>
        <w:pStyle w:val="5"/>
        <w:spacing w:line="243" w:lineRule="auto"/>
        <w:rPr>
          <w:color w:val="auto"/>
          <w:highlight w:val="none"/>
        </w:rPr>
      </w:pPr>
    </w:p>
    <w:p w14:paraId="18196D85">
      <w:pPr>
        <w:spacing w:before="68" w:line="219" w:lineRule="auto"/>
        <w:ind w:left="651"/>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说明：</w:t>
      </w:r>
      <w:r>
        <w:rPr>
          <w:rFonts w:ascii="黑体" w:hAnsi="黑体" w:eastAsia="黑体" w:cs="黑体"/>
          <w:color w:val="auto"/>
          <w:spacing w:val="-34"/>
          <w:sz w:val="21"/>
          <w:szCs w:val="21"/>
          <w:highlight w:val="none"/>
        </w:rPr>
        <w:t xml:space="preserve"> </w:t>
      </w:r>
      <w:r>
        <w:rPr>
          <w:rFonts w:ascii="宋体" w:hAnsi="宋体" w:eastAsia="宋体" w:cs="宋体"/>
          <w:color w:val="auto"/>
          <w:spacing w:val="-6"/>
          <w:sz w:val="21"/>
          <w:szCs w:val="21"/>
          <w:highlight w:val="none"/>
        </w:rPr>
        <w:t>“项目管理机构主要人员及简历表”同本章六、项目管理机构。</w:t>
      </w:r>
    </w:p>
    <w:p w14:paraId="629A242A">
      <w:pPr>
        <w:spacing w:line="219" w:lineRule="auto"/>
        <w:rPr>
          <w:rFonts w:ascii="宋体" w:hAnsi="宋体" w:eastAsia="宋体" w:cs="宋体"/>
          <w:color w:val="auto"/>
          <w:sz w:val="21"/>
          <w:szCs w:val="21"/>
          <w:highlight w:val="none"/>
        </w:rPr>
        <w:sectPr>
          <w:footerReference r:id="rId172" w:type="default"/>
          <w:pgSz w:w="11905" w:h="16839"/>
          <w:pgMar w:top="400" w:right="1785" w:bottom="1004" w:left="1785" w:header="0" w:footer="828" w:gutter="0"/>
          <w:pgNumType w:fmt="decimal"/>
          <w:cols w:space="720" w:num="1"/>
        </w:sectPr>
      </w:pPr>
    </w:p>
    <w:p w14:paraId="534F0C69">
      <w:pPr>
        <w:pStyle w:val="5"/>
        <w:spacing w:line="267" w:lineRule="auto"/>
        <w:rPr>
          <w:color w:val="auto"/>
          <w:highlight w:val="none"/>
        </w:rPr>
      </w:pPr>
    </w:p>
    <w:p w14:paraId="4AA62072">
      <w:pPr>
        <w:pStyle w:val="5"/>
        <w:spacing w:line="267" w:lineRule="auto"/>
        <w:rPr>
          <w:color w:val="auto"/>
          <w:highlight w:val="none"/>
        </w:rPr>
      </w:pPr>
    </w:p>
    <w:p w14:paraId="3C828ACD">
      <w:pPr>
        <w:pStyle w:val="5"/>
        <w:spacing w:line="268" w:lineRule="auto"/>
        <w:rPr>
          <w:color w:val="auto"/>
          <w:highlight w:val="none"/>
        </w:rPr>
      </w:pPr>
    </w:p>
    <w:p w14:paraId="3894CEE6">
      <w:pPr>
        <w:pStyle w:val="5"/>
        <w:spacing w:line="268" w:lineRule="auto"/>
        <w:rPr>
          <w:color w:val="auto"/>
          <w:highlight w:val="none"/>
        </w:rPr>
      </w:pPr>
    </w:p>
    <w:p w14:paraId="713745A6">
      <w:pPr>
        <w:spacing w:before="78" w:line="219" w:lineRule="auto"/>
        <w:ind w:left="2328"/>
        <w:rPr>
          <w:rFonts w:ascii="黑体" w:hAnsi="黑体" w:eastAsia="黑体" w:cs="黑体"/>
          <w:color w:val="auto"/>
          <w:sz w:val="24"/>
          <w:szCs w:val="24"/>
          <w:highlight w:val="none"/>
        </w:rPr>
      </w:pPr>
      <w:bookmarkStart w:id="1764" w:name="bookmark319"/>
      <w:bookmarkEnd w:id="1764"/>
      <w:r>
        <w:rPr>
          <w:rFonts w:ascii="Times New Roman" w:hAnsi="Times New Roman" w:eastAsia="Times New Roman" w:cs="Times New Roman"/>
          <w:color w:val="auto"/>
          <w:spacing w:val="-3"/>
          <w:sz w:val="24"/>
          <w:szCs w:val="24"/>
          <w:highlight w:val="none"/>
        </w:rPr>
        <w:t xml:space="preserve">1-5 </w:t>
      </w:r>
      <w:r>
        <w:rPr>
          <w:rFonts w:ascii="黑体" w:hAnsi="黑体" w:eastAsia="黑体" w:cs="黑体"/>
          <w:color w:val="auto"/>
          <w:spacing w:val="-3"/>
          <w:sz w:val="24"/>
          <w:szCs w:val="24"/>
          <w:highlight w:val="none"/>
        </w:rPr>
        <w:t>拟投入主要施工机械设备情况表</w:t>
      </w:r>
    </w:p>
    <w:p w14:paraId="642BF793">
      <w:pPr>
        <w:spacing w:before="160"/>
        <w:rPr>
          <w:color w:val="auto"/>
          <w:highlight w:val="none"/>
        </w:rPr>
      </w:pPr>
    </w:p>
    <w:tbl>
      <w:tblPr>
        <w:tblStyle w:val="17"/>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2E336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104A317D">
            <w:pPr>
              <w:pStyle w:val="18"/>
              <w:spacing w:before="100" w:line="230" w:lineRule="auto"/>
              <w:ind w:left="389" w:right="170" w:hanging="214"/>
              <w:rPr>
                <w:color w:val="auto"/>
                <w:highlight w:val="none"/>
              </w:rPr>
            </w:pPr>
            <w:r>
              <w:rPr>
                <w:color w:val="auto"/>
                <w:spacing w:val="-1"/>
                <w:highlight w:val="none"/>
              </w:rPr>
              <w:t>机械设备</w:t>
            </w:r>
            <w:r>
              <w:rPr>
                <w:color w:val="auto"/>
                <w:highlight w:val="none"/>
              </w:rPr>
              <w:t xml:space="preserve"> </w:t>
            </w:r>
            <w:r>
              <w:rPr>
                <w:color w:val="auto"/>
                <w:spacing w:val="-3"/>
                <w:highlight w:val="none"/>
              </w:rPr>
              <w:t>名称</w:t>
            </w:r>
          </w:p>
        </w:tc>
        <w:tc>
          <w:tcPr>
            <w:tcW w:w="1179" w:type="dxa"/>
            <w:tcBorders>
              <w:top w:val="single" w:color="000000" w:sz="6" w:space="0"/>
            </w:tcBorders>
            <w:vAlign w:val="top"/>
          </w:tcPr>
          <w:p w14:paraId="45EE4AF8">
            <w:pPr>
              <w:pStyle w:val="18"/>
              <w:spacing w:before="235" w:line="221" w:lineRule="auto"/>
              <w:ind w:left="180"/>
              <w:rPr>
                <w:color w:val="auto"/>
                <w:highlight w:val="none"/>
              </w:rPr>
            </w:pPr>
            <w:r>
              <w:rPr>
                <w:color w:val="auto"/>
                <w:spacing w:val="-2"/>
                <w:highlight w:val="none"/>
              </w:rPr>
              <w:t>型号规格</w:t>
            </w:r>
          </w:p>
        </w:tc>
        <w:tc>
          <w:tcPr>
            <w:tcW w:w="1184" w:type="dxa"/>
            <w:tcBorders>
              <w:top w:val="single" w:color="000000" w:sz="6" w:space="0"/>
            </w:tcBorders>
            <w:vAlign w:val="top"/>
          </w:tcPr>
          <w:p w14:paraId="6FA47E6C">
            <w:pPr>
              <w:pStyle w:val="18"/>
              <w:spacing w:before="235" w:line="221" w:lineRule="auto"/>
              <w:ind w:left="283"/>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1184" w:type="dxa"/>
            <w:tcBorders>
              <w:top w:val="single" w:color="000000" w:sz="6" w:space="0"/>
            </w:tcBorders>
            <w:vAlign w:val="top"/>
          </w:tcPr>
          <w:p w14:paraId="1F9CF11A">
            <w:pPr>
              <w:pStyle w:val="18"/>
              <w:spacing w:before="235" w:line="221" w:lineRule="auto"/>
              <w:ind w:left="218"/>
              <w:rPr>
                <w:color w:val="auto"/>
                <w:highlight w:val="none"/>
              </w:rPr>
            </w:pPr>
            <w:r>
              <w:rPr>
                <w:color w:val="auto"/>
                <w:spacing w:val="-9"/>
                <w:highlight w:val="none"/>
              </w:rPr>
              <w:t>目前状况</w:t>
            </w:r>
          </w:p>
        </w:tc>
        <w:tc>
          <w:tcPr>
            <w:tcW w:w="1184" w:type="dxa"/>
            <w:tcBorders>
              <w:top w:val="single" w:color="000000" w:sz="6" w:space="0"/>
            </w:tcBorders>
            <w:vAlign w:val="top"/>
          </w:tcPr>
          <w:p w14:paraId="79A74112">
            <w:pPr>
              <w:pStyle w:val="18"/>
              <w:spacing w:before="235" w:line="221" w:lineRule="auto"/>
              <w:ind w:left="287"/>
              <w:rPr>
                <w:color w:val="auto"/>
                <w:highlight w:val="none"/>
              </w:rPr>
            </w:pPr>
            <w:r>
              <w:rPr>
                <w:color w:val="auto"/>
                <w:spacing w:val="-4"/>
                <w:highlight w:val="none"/>
              </w:rPr>
              <w:t>来</w:t>
            </w:r>
            <w:r>
              <w:rPr>
                <w:color w:val="auto"/>
                <w:spacing w:val="4"/>
                <w:highlight w:val="none"/>
              </w:rPr>
              <w:t xml:space="preserve">  </w:t>
            </w:r>
            <w:r>
              <w:rPr>
                <w:color w:val="auto"/>
                <w:spacing w:val="-4"/>
                <w:highlight w:val="none"/>
              </w:rPr>
              <w:t>源</w:t>
            </w:r>
          </w:p>
        </w:tc>
        <w:tc>
          <w:tcPr>
            <w:tcW w:w="1184" w:type="dxa"/>
            <w:tcBorders>
              <w:top w:val="single" w:color="000000" w:sz="6" w:space="0"/>
            </w:tcBorders>
            <w:vAlign w:val="top"/>
          </w:tcPr>
          <w:p w14:paraId="61CE6C62">
            <w:pPr>
              <w:pStyle w:val="18"/>
              <w:spacing w:before="100" w:line="231" w:lineRule="auto"/>
              <w:ind w:left="509" w:right="160" w:hanging="326"/>
              <w:rPr>
                <w:color w:val="auto"/>
                <w:highlight w:val="none"/>
              </w:rPr>
            </w:pPr>
            <w:r>
              <w:rPr>
                <w:color w:val="auto"/>
                <w:spacing w:val="-2"/>
                <w:highlight w:val="none"/>
              </w:rPr>
              <w:t>现停放地</w:t>
            </w:r>
            <w:r>
              <w:rPr>
                <w:color w:val="auto"/>
                <w:spacing w:val="1"/>
                <w:highlight w:val="none"/>
              </w:rPr>
              <w:t xml:space="preserve"> </w:t>
            </w:r>
            <w:r>
              <w:rPr>
                <w:color w:val="auto"/>
                <w:highlight w:val="none"/>
              </w:rPr>
              <w:t>点</w:t>
            </w:r>
          </w:p>
        </w:tc>
        <w:tc>
          <w:tcPr>
            <w:tcW w:w="1193" w:type="dxa"/>
            <w:tcBorders>
              <w:top w:val="single" w:color="000000" w:sz="6" w:space="0"/>
              <w:right w:val="single" w:color="000000" w:sz="6" w:space="0"/>
            </w:tcBorders>
            <w:vAlign w:val="top"/>
          </w:tcPr>
          <w:p w14:paraId="4AB59A08">
            <w:pPr>
              <w:pStyle w:val="18"/>
              <w:spacing w:before="236" w:line="222" w:lineRule="auto"/>
              <w:ind w:left="292"/>
              <w:rPr>
                <w:color w:val="auto"/>
                <w:highlight w:val="none"/>
              </w:rPr>
            </w:pPr>
            <w:r>
              <w:rPr>
                <w:color w:val="auto"/>
                <w:spacing w:val="-5"/>
                <w:highlight w:val="none"/>
              </w:rPr>
              <w:t>备</w:t>
            </w:r>
            <w:r>
              <w:rPr>
                <w:color w:val="auto"/>
                <w:spacing w:val="4"/>
                <w:highlight w:val="none"/>
              </w:rPr>
              <w:t xml:space="preserve">  </w:t>
            </w:r>
            <w:r>
              <w:rPr>
                <w:color w:val="auto"/>
                <w:spacing w:val="-5"/>
                <w:highlight w:val="none"/>
              </w:rPr>
              <w:t>注</w:t>
            </w:r>
          </w:p>
        </w:tc>
      </w:tr>
      <w:tr w14:paraId="17278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49295CD1">
            <w:pPr>
              <w:rPr>
                <w:rFonts w:ascii="Arial"/>
                <w:color w:val="auto"/>
                <w:sz w:val="21"/>
                <w:highlight w:val="none"/>
              </w:rPr>
            </w:pPr>
          </w:p>
        </w:tc>
        <w:tc>
          <w:tcPr>
            <w:tcW w:w="1179" w:type="dxa"/>
            <w:vAlign w:val="top"/>
          </w:tcPr>
          <w:p w14:paraId="2F0D649B">
            <w:pPr>
              <w:rPr>
                <w:rFonts w:ascii="Arial"/>
                <w:color w:val="auto"/>
                <w:sz w:val="21"/>
                <w:highlight w:val="none"/>
              </w:rPr>
            </w:pPr>
          </w:p>
        </w:tc>
        <w:tc>
          <w:tcPr>
            <w:tcW w:w="1184" w:type="dxa"/>
            <w:vAlign w:val="top"/>
          </w:tcPr>
          <w:p w14:paraId="02C0038B">
            <w:pPr>
              <w:rPr>
                <w:rFonts w:ascii="Arial"/>
                <w:color w:val="auto"/>
                <w:sz w:val="21"/>
                <w:highlight w:val="none"/>
              </w:rPr>
            </w:pPr>
          </w:p>
        </w:tc>
        <w:tc>
          <w:tcPr>
            <w:tcW w:w="1184" w:type="dxa"/>
            <w:vAlign w:val="top"/>
          </w:tcPr>
          <w:p w14:paraId="554C7930">
            <w:pPr>
              <w:rPr>
                <w:rFonts w:ascii="Arial"/>
                <w:color w:val="auto"/>
                <w:sz w:val="21"/>
                <w:highlight w:val="none"/>
              </w:rPr>
            </w:pPr>
          </w:p>
        </w:tc>
        <w:tc>
          <w:tcPr>
            <w:tcW w:w="1184" w:type="dxa"/>
            <w:vAlign w:val="top"/>
          </w:tcPr>
          <w:p w14:paraId="6EF256E2">
            <w:pPr>
              <w:rPr>
                <w:rFonts w:ascii="Arial"/>
                <w:color w:val="auto"/>
                <w:sz w:val="21"/>
                <w:highlight w:val="none"/>
              </w:rPr>
            </w:pPr>
          </w:p>
        </w:tc>
        <w:tc>
          <w:tcPr>
            <w:tcW w:w="1184" w:type="dxa"/>
            <w:vAlign w:val="top"/>
          </w:tcPr>
          <w:p w14:paraId="4A2DC4EE">
            <w:pPr>
              <w:rPr>
                <w:rFonts w:ascii="Arial"/>
                <w:color w:val="auto"/>
                <w:sz w:val="21"/>
                <w:highlight w:val="none"/>
              </w:rPr>
            </w:pPr>
          </w:p>
        </w:tc>
        <w:tc>
          <w:tcPr>
            <w:tcW w:w="1193" w:type="dxa"/>
            <w:tcBorders>
              <w:right w:val="single" w:color="000000" w:sz="6" w:space="0"/>
            </w:tcBorders>
            <w:vAlign w:val="top"/>
          </w:tcPr>
          <w:p w14:paraId="6C6F697A">
            <w:pPr>
              <w:rPr>
                <w:rFonts w:ascii="Arial"/>
                <w:color w:val="auto"/>
                <w:sz w:val="21"/>
                <w:highlight w:val="none"/>
              </w:rPr>
            </w:pPr>
          </w:p>
        </w:tc>
      </w:tr>
      <w:tr w14:paraId="03B55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719E655B">
            <w:pPr>
              <w:rPr>
                <w:rFonts w:ascii="Arial"/>
                <w:color w:val="auto"/>
                <w:sz w:val="21"/>
                <w:highlight w:val="none"/>
              </w:rPr>
            </w:pPr>
          </w:p>
        </w:tc>
        <w:tc>
          <w:tcPr>
            <w:tcW w:w="1179" w:type="dxa"/>
            <w:vAlign w:val="top"/>
          </w:tcPr>
          <w:p w14:paraId="7BBBEDF3">
            <w:pPr>
              <w:rPr>
                <w:rFonts w:ascii="Arial"/>
                <w:color w:val="auto"/>
                <w:sz w:val="21"/>
                <w:highlight w:val="none"/>
              </w:rPr>
            </w:pPr>
          </w:p>
        </w:tc>
        <w:tc>
          <w:tcPr>
            <w:tcW w:w="1184" w:type="dxa"/>
            <w:vAlign w:val="top"/>
          </w:tcPr>
          <w:p w14:paraId="1287B313">
            <w:pPr>
              <w:rPr>
                <w:rFonts w:ascii="Arial"/>
                <w:color w:val="auto"/>
                <w:sz w:val="21"/>
                <w:highlight w:val="none"/>
              </w:rPr>
            </w:pPr>
          </w:p>
        </w:tc>
        <w:tc>
          <w:tcPr>
            <w:tcW w:w="1184" w:type="dxa"/>
            <w:vAlign w:val="top"/>
          </w:tcPr>
          <w:p w14:paraId="506FB456">
            <w:pPr>
              <w:rPr>
                <w:rFonts w:ascii="Arial"/>
                <w:color w:val="auto"/>
                <w:sz w:val="21"/>
                <w:highlight w:val="none"/>
              </w:rPr>
            </w:pPr>
          </w:p>
        </w:tc>
        <w:tc>
          <w:tcPr>
            <w:tcW w:w="1184" w:type="dxa"/>
            <w:vAlign w:val="top"/>
          </w:tcPr>
          <w:p w14:paraId="117168EC">
            <w:pPr>
              <w:rPr>
                <w:rFonts w:ascii="Arial"/>
                <w:color w:val="auto"/>
                <w:sz w:val="21"/>
                <w:highlight w:val="none"/>
              </w:rPr>
            </w:pPr>
          </w:p>
        </w:tc>
        <w:tc>
          <w:tcPr>
            <w:tcW w:w="1184" w:type="dxa"/>
            <w:vAlign w:val="top"/>
          </w:tcPr>
          <w:p w14:paraId="1966B7D2">
            <w:pPr>
              <w:rPr>
                <w:rFonts w:ascii="Arial"/>
                <w:color w:val="auto"/>
                <w:sz w:val="21"/>
                <w:highlight w:val="none"/>
              </w:rPr>
            </w:pPr>
          </w:p>
        </w:tc>
        <w:tc>
          <w:tcPr>
            <w:tcW w:w="1193" w:type="dxa"/>
            <w:tcBorders>
              <w:right w:val="single" w:color="000000" w:sz="6" w:space="0"/>
            </w:tcBorders>
            <w:vAlign w:val="top"/>
          </w:tcPr>
          <w:p w14:paraId="48E6FA90">
            <w:pPr>
              <w:rPr>
                <w:rFonts w:ascii="Arial"/>
                <w:color w:val="auto"/>
                <w:sz w:val="21"/>
                <w:highlight w:val="none"/>
              </w:rPr>
            </w:pPr>
          </w:p>
        </w:tc>
      </w:tr>
      <w:tr w14:paraId="6A9FA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180B0A49">
            <w:pPr>
              <w:rPr>
                <w:rFonts w:ascii="Arial"/>
                <w:color w:val="auto"/>
                <w:sz w:val="21"/>
                <w:highlight w:val="none"/>
              </w:rPr>
            </w:pPr>
          </w:p>
        </w:tc>
        <w:tc>
          <w:tcPr>
            <w:tcW w:w="1179" w:type="dxa"/>
            <w:vAlign w:val="top"/>
          </w:tcPr>
          <w:p w14:paraId="7ACA3C2D">
            <w:pPr>
              <w:rPr>
                <w:rFonts w:ascii="Arial"/>
                <w:color w:val="auto"/>
                <w:sz w:val="21"/>
                <w:highlight w:val="none"/>
              </w:rPr>
            </w:pPr>
          </w:p>
        </w:tc>
        <w:tc>
          <w:tcPr>
            <w:tcW w:w="1184" w:type="dxa"/>
            <w:vAlign w:val="top"/>
          </w:tcPr>
          <w:p w14:paraId="0C13BB1D">
            <w:pPr>
              <w:rPr>
                <w:rFonts w:ascii="Arial"/>
                <w:color w:val="auto"/>
                <w:sz w:val="21"/>
                <w:highlight w:val="none"/>
              </w:rPr>
            </w:pPr>
          </w:p>
        </w:tc>
        <w:tc>
          <w:tcPr>
            <w:tcW w:w="1184" w:type="dxa"/>
            <w:vAlign w:val="top"/>
          </w:tcPr>
          <w:p w14:paraId="13EB70D9">
            <w:pPr>
              <w:rPr>
                <w:rFonts w:ascii="Arial"/>
                <w:color w:val="auto"/>
                <w:sz w:val="21"/>
                <w:highlight w:val="none"/>
              </w:rPr>
            </w:pPr>
          </w:p>
        </w:tc>
        <w:tc>
          <w:tcPr>
            <w:tcW w:w="1184" w:type="dxa"/>
            <w:vAlign w:val="top"/>
          </w:tcPr>
          <w:p w14:paraId="227683BE">
            <w:pPr>
              <w:rPr>
                <w:rFonts w:ascii="Arial"/>
                <w:color w:val="auto"/>
                <w:sz w:val="21"/>
                <w:highlight w:val="none"/>
              </w:rPr>
            </w:pPr>
          </w:p>
        </w:tc>
        <w:tc>
          <w:tcPr>
            <w:tcW w:w="1184" w:type="dxa"/>
            <w:vAlign w:val="top"/>
          </w:tcPr>
          <w:p w14:paraId="13596C06">
            <w:pPr>
              <w:rPr>
                <w:rFonts w:ascii="Arial"/>
                <w:color w:val="auto"/>
                <w:sz w:val="21"/>
                <w:highlight w:val="none"/>
              </w:rPr>
            </w:pPr>
          </w:p>
        </w:tc>
        <w:tc>
          <w:tcPr>
            <w:tcW w:w="1193" w:type="dxa"/>
            <w:tcBorders>
              <w:right w:val="single" w:color="000000" w:sz="6" w:space="0"/>
            </w:tcBorders>
            <w:vAlign w:val="top"/>
          </w:tcPr>
          <w:p w14:paraId="40B826BC">
            <w:pPr>
              <w:rPr>
                <w:rFonts w:ascii="Arial"/>
                <w:color w:val="auto"/>
                <w:sz w:val="21"/>
                <w:highlight w:val="none"/>
              </w:rPr>
            </w:pPr>
          </w:p>
        </w:tc>
      </w:tr>
      <w:tr w14:paraId="28BB1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74A87FBB">
            <w:pPr>
              <w:rPr>
                <w:rFonts w:ascii="Arial"/>
                <w:color w:val="auto"/>
                <w:sz w:val="21"/>
                <w:highlight w:val="none"/>
              </w:rPr>
            </w:pPr>
          </w:p>
        </w:tc>
        <w:tc>
          <w:tcPr>
            <w:tcW w:w="1179" w:type="dxa"/>
            <w:vAlign w:val="top"/>
          </w:tcPr>
          <w:p w14:paraId="3A2F8E70">
            <w:pPr>
              <w:rPr>
                <w:rFonts w:ascii="Arial"/>
                <w:color w:val="auto"/>
                <w:sz w:val="21"/>
                <w:highlight w:val="none"/>
              </w:rPr>
            </w:pPr>
          </w:p>
        </w:tc>
        <w:tc>
          <w:tcPr>
            <w:tcW w:w="1184" w:type="dxa"/>
            <w:vAlign w:val="top"/>
          </w:tcPr>
          <w:p w14:paraId="33B7B952">
            <w:pPr>
              <w:rPr>
                <w:rFonts w:ascii="Arial"/>
                <w:color w:val="auto"/>
                <w:sz w:val="21"/>
                <w:highlight w:val="none"/>
              </w:rPr>
            </w:pPr>
          </w:p>
        </w:tc>
        <w:tc>
          <w:tcPr>
            <w:tcW w:w="1184" w:type="dxa"/>
            <w:vAlign w:val="top"/>
          </w:tcPr>
          <w:p w14:paraId="746298E7">
            <w:pPr>
              <w:rPr>
                <w:rFonts w:ascii="Arial"/>
                <w:color w:val="auto"/>
                <w:sz w:val="21"/>
                <w:highlight w:val="none"/>
              </w:rPr>
            </w:pPr>
          </w:p>
        </w:tc>
        <w:tc>
          <w:tcPr>
            <w:tcW w:w="1184" w:type="dxa"/>
            <w:vAlign w:val="top"/>
          </w:tcPr>
          <w:p w14:paraId="7B6A593D">
            <w:pPr>
              <w:rPr>
                <w:rFonts w:ascii="Arial"/>
                <w:color w:val="auto"/>
                <w:sz w:val="21"/>
                <w:highlight w:val="none"/>
              </w:rPr>
            </w:pPr>
          </w:p>
        </w:tc>
        <w:tc>
          <w:tcPr>
            <w:tcW w:w="1184" w:type="dxa"/>
            <w:vAlign w:val="top"/>
          </w:tcPr>
          <w:p w14:paraId="2CC31E85">
            <w:pPr>
              <w:rPr>
                <w:rFonts w:ascii="Arial"/>
                <w:color w:val="auto"/>
                <w:sz w:val="21"/>
                <w:highlight w:val="none"/>
              </w:rPr>
            </w:pPr>
          </w:p>
        </w:tc>
        <w:tc>
          <w:tcPr>
            <w:tcW w:w="1193" w:type="dxa"/>
            <w:tcBorders>
              <w:right w:val="single" w:color="000000" w:sz="6" w:space="0"/>
            </w:tcBorders>
            <w:vAlign w:val="top"/>
          </w:tcPr>
          <w:p w14:paraId="7CE2CAED">
            <w:pPr>
              <w:rPr>
                <w:rFonts w:ascii="Arial"/>
                <w:color w:val="auto"/>
                <w:sz w:val="21"/>
                <w:highlight w:val="none"/>
              </w:rPr>
            </w:pPr>
          </w:p>
        </w:tc>
      </w:tr>
      <w:tr w14:paraId="76300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7C467D78">
            <w:pPr>
              <w:rPr>
                <w:rFonts w:ascii="Arial"/>
                <w:color w:val="auto"/>
                <w:sz w:val="21"/>
                <w:highlight w:val="none"/>
              </w:rPr>
            </w:pPr>
          </w:p>
        </w:tc>
        <w:tc>
          <w:tcPr>
            <w:tcW w:w="1179" w:type="dxa"/>
            <w:vAlign w:val="top"/>
          </w:tcPr>
          <w:p w14:paraId="5031374A">
            <w:pPr>
              <w:rPr>
                <w:rFonts w:ascii="Arial"/>
                <w:color w:val="auto"/>
                <w:sz w:val="21"/>
                <w:highlight w:val="none"/>
              </w:rPr>
            </w:pPr>
          </w:p>
        </w:tc>
        <w:tc>
          <w:tcPr>
            <w:tcW w:w="1184" w:type="dxa"/>
            <w:vAlign w:val="top"/>
          </w:tcPr>
          <w:p w14:paraId="41B9E615">
            <w:pPr>
              <w:rPr>
                <w:rFonts w:ascii="Arial"/>
                <w:color w:val="auto"/>
                <w:sz w:val="21"/>
                <w:highlight w:val="none"/>
              </w:rPr>
            </w:pPr>
          </w:p>
        </w:tc>
        <w:tc>
          <w:tcPr>
            <w:tcW w:w="1184" w:type="dxa"/>
            <w:vAlign w:val="top"/>
          </w:tcPr>
          <w:p w14:paraId="52BF5B99">
            <w:pPr>
              <w:rPr>
                <w:rFonts w:ascii="Arial"/>
                <w:color w:val="auto"/>
                <w:sz w:val="21"/>
                <w:highlight w:val="none"/>
              </w:rPr>
            </w:pPr>
          </w:p>
        </w:tc>
        <w:tc>
          <w:tcPr>
            <w:tcW w:w="1184" w:type="dxa"/>
            <w:vAlign w:val="top"/>
          </w:tcPr>
          <w:p w14:paraId="74424CA8">
            <w:pPr>
              <w:rPr>
                <w:rFonts w:ascii="Arial"/>
                <w:color w:val="auto"/>
                <w:sz w:val="21"/>
                <w:highlight w:val="none"/>
              </w:rPr>
            </w:pPr>
          </w:p>
        </w:tc>
        <w:tc>
          <w:tcPr>
            <w:tcW w:w="1184" w:type="dxa"/>
            <w:vAlign w:val="top"/>
          </w:tcPr>
          <w:p w14:paraId="2EECE2F5">
            <w:pPr>
              <w:rPr>
                <w:rFonts w:ascii="Arial"/>
                <w:color w:val="auto"/>
                <w:sz w:val="21"/>
                <w:highlight w:val="none"/>
              </w:rPr>
            </w:pPr>
          </w:p>
        </w:tc>
        <w:tc>
          <w:tcPr>
            <w:tcW w:w="1193" w:type="dxa"/>
            <w:tcBorders>
              <w:right w:val="single" w:color="000000" w:sz="6" w:space="0"/>
            </w:tcBorders>
            <w:vAlign w:val="top"/>
          </w:tcPr>
          <w:p w14:paraId="76F62A22">
            <w:pPr>
              <w:rPr>
                <w:rFonts w:ascii="Arial"/>
                <w:color w:val="auto"/>
                <w:sz w:val="21"/>
                <w:highlight w:val="none"/>
              </w:rPr>
            </w:pPr>
          </w:p>
        </w:tc>
      </w:tr>
      <w:tr w14:paraId="5CD45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246CD781">
            <w:pPr>
              <w:rPr>
                <w:rFonts w:ascii="Arial"/>
                <w:color w:val="auto"/>
                <w:sz w:val="21"/>
                <w:highlight w:val="none"/>
              </w:rPr>
            </w:pPr>
          </w:p>
        </w:tc>
        <w:tc>
          <w:tcPr>
            <w:tcW w:w="1179" w:type="dxa"/>
            <w:vAlign w:val="top"/>
          </w:tcPr>
          <w:p w14:paraId="28C7B573">
            <w:pPr>
              <w:rPr>
                <w:rFonts w:ascii="Arial"/>
                <w:color w:val="auto"/>
                <w:sz w:val="21"/>
                <w:highlight w:val="none"/>
              </w:rPr>
            </w:pPr>
          </w:p>
        </w:tc>
        <w:tc>
          <w:tcPr>
            <w:tcW w:w="1184" w:type="dxa"/>
            <w:vAlign w:val="top"/>
          </w:tcPr>
          <w:p w14:paraId="1421663A">
            <w:pPr>
              <w:rPr>
                <w:rFonts w:ascii="Arial"/>
                <w:color w:val="auto"/>
                <w:sz w:val="21"/>
                <w:highlight w:val="none"/>
              </w:rPr>
            </w:pPr>
          </w:p>
        </w:tc>
        <w:tc>
          <w:tcPr>
            <w:tcW w:w="1184" w:type="dxa"/>
            <w:vAlign w:val="top"/>
          </w:tcPr>
          <w:p w14:paraId="71D7AFBE">
            <w:pPr>
              <w:rPr>
                <w:rFonts w:ascii="Arial"/>
                <w:color w:val="auto"/>
                <w:sz w:val="21"/>
                <w:highlight w:val="none"/>
              </w:rPr>
            </w:pPr>
          </w:p>
        </w:tc>
        <w:tc>
          <w:tcPr>
            <w:tcW w:w="1184" w:type="dxa"/>
            <w:vAlign w:val="top"/>
          </w:tcPr>
          <w:p w14:paraId="3AD5F5E6">
            <w:pPr>
              <w:rPr>
                <w:rFonts w:ascii="Arial"/>
                <w:color w:val="auto"/>
                <w:sz w:val="21"/>
                <w:highlight w:val="none"/>
              </w:rPr>
            </w:pPr>
          </w:p>
        </w:tc>
        <w:tc>
          <w:tcPr>
            <w:tcW w:w="1184" w:type="dxa"/>
            <w:vAlign w:val="top"/>
          </w:tcPr>
          <w:p w14:paraId="4BDAE657">
            <w:pPr>
              <w:rPr>
                <w:rFonts w:ascii="Arial"/>
                <w:color w:val="auto"/>
                <w:sz w:val="21"/>
                <w:highlight w:val="none"/>
              </w:rPr>
            </w:pPr>
          </w:p>
        </w:tc>
        <w:tc>
          <w:tcPr>
            <w:tcW w:w="1193" w:type="dxa"/>
            <w:tcBorders>
              <w:right w:val="single" w:color="000000" w:sz="6" w:space="0"/>
            </w:tcBorders>
            <w:vAlign w:val="top"/>
          </w:tcPr>
          <w:p w14:paraId="5C83C5ED">
            <w:pPr>
              <w:rPr>
                <w:rFonts w:ascii="Arial"/>
                <w:color w:val="auto"/>
                <w:sz w:val="21"/>
                <w:highlight w:val="none"/>
              </w:rPr>
            </w:pPr>
          </w:p>
        </w:tc>
      </w:tr>
      <w:tr w14:paraId="6F444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3AF12AB3">
            <w:pPr>
              <w:rPr>
                <w:rFonts w:ascii="Arial"/>
                <w:color w:val="auto"/>
                <w:sz w:val="21"/>
                <w:highlight w:val="none"/>
              </w:rPr>
            </w:pPr>
          </w:p>
        </w:tc>
        <w:tc>
          <w:tcPr>
            <w:tcW w:w="1179" w:type="dxa"/>
            <w:vAlign w:val="top"/>
          </w:tcPr>
          <w:p w14:paraId="4A933FA5">
            <w:pPr>
              <w:rPr>
                <w:rFonts w:ascii="Arial"/>
                <w:color w:val="auto"/>
                <w:sz w:val="21"/>
                <w:highlight w:val="none"/>
              </w:rPr>
            </w:pPr>
          </w:p>
        </w:tc>
        <w:tc>
          <w:tcPr>
            <w:tcW w:w="1184" w:type="dxa"/>
            <w:vAlign w:val="top"/>
          </w:tcPr>
          <w:p w14:paraId="1ED07502">
            <w:pPr>
              <w:rPr>
                <w:rFonts w:ascii="Arial"/>
                <w:color w:val="auto"/>
                <w:sz w:val="21"/>
                <w:highlight w:val="none"/>
              </w:rPr>
            </w:pPr>
          </w:p>
        </w:tc>
        <w:tc>
          <w:tcPr>
            <w:tcW w:w="1184" w:type="dxa"/>
            <w:vAlign w:val="top"/>
          </w:tcPr>
          <w:p w14:paraId="081CDD56">
            <w:pPr>
              <w:rPr>
                <w:rFonts w:ascii="Arial"/>
                <w:color w:val="auto"/>
                <w:sz w:val="21"/>
                <w:highlight w:val="none"/>
              </w:rPr>
            </w:pPr>
          </w:p>
        </w:tc>
        <w:tc>
          <w:tcPr>
            <w:tcW w:w="1184" w:type="dxa"/>
            <w:vAlign w:val="top"/>
          </w:tcPr>
          <w:p w14:paraId="161C0A80">
            <w:pPr>
              <w:rPr>
                <w:rFonts w:ascii="Arial"/>
                <w:color w:val="auto"/>
                <w:sz w:val="21"/>
                <w:highlight w:val="none"/>
              </w:rPr>
            </w:pPr>
          </w:p>
        </w:tc>
        <w:tc>
          <w:tcPr>
            <w:tcW w:w="1184" w:type="dxa"/>
            <w:vAlign w:val="top"/>
          </w:tcPr>
          <w:p w14:paraId="42E31B47">
            <w:pPr>
              <w:rPr>
                <w:rFonts w:ascii="Arial"/>
                <w:color w:val="auto"/>
                <w:sz w:val="21"/>
                <w:highlight w:val="none"/>
              </w:rPr>
            </w:pPr>
          </w:p>
        </w:tc>
        <w:tc>
          <w:tcPr>
            <w:tcW w:w="1193" w:type="dxa"/>
            <w:tcBorders>
              <w:right w:val="single" w:color="000000" w:sz="6" w:space="0"/>
            </w:tcBorders>
            <w:vAlign w:val="top"/>
          </w:tcPr>
          <w:p w14:paraId="5B4E9164">
            <w:pPr>
              <w:rPr>
                <w:rFonts w:ascii="Arial"/>
                <w:color w:val="auto"/>
                <w:sz w:val="21"/>
                <w:highlight w:val="none"/>
              </w:rPr>
            </w:pPr>
          </w:p>
        </w:tc>
      </w:tr>
      <w:tr w14:paraId="400B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70471BA2">
            <w:pPr>
              <w:rPr>
                <w:rFonts w:ascii="Arial"/>
                <w:color w:val="auto"/>
                <w:sz w:val="21"/>
                <w:highlight w:val="none"/>
              </w:rPr>
            </w:pPr>
          </w:p>
        </w:tc>
        <w:tc>
          <w:tcPr>
            <w:tcW w:w="1179" w:type="dxa"/>
            <w:tcBorders>
              <w:bottom w:val="single" w:color="000000" w:sz="6" w:space="0"/>
            </w:tcBorders>
            <w:vAlign w:val="top"/>
          </w:tcPr>
          <w:p w14:paraId="405C8D7B">
            <w:pPr>
              <w:rPr>
                <w:rFonts w:ascii="Arial"/>
                <w:color w:val="auto"/>
                <w:sz w:val="21"/>
                <w:highlight w:val="none"/>
              </w:rPr>
            </w:pPr>
          </w:p>
        </w:tc>
        <w:tc>
          <w:tcPr>
            <w:tcW w:w="1184" w:type="dxa"/>
            <w:tcBorders>
              <w:bottom w:val="single" w:color="000000" w:sz="6" w:space="0"/>
            </w:tcBorders>
            <w:vAlign w:val="top"/>
          </w:tcPr>
          <w:p w14:paraId="5BC055F7">
            <w:pPr>
              <w:rPr>
                <w:rFonts w:ascii="Arial"/>
                <w:color w:val="auto"/>
                <w:sz w:val="21"/>
                <w:highlight w:val="none"/>
              </w:rPr>
            </w:pPr>
          </w:p>
        </w:tc>
        <w:tc>
          <w:tcPr>
            <w:tcW w:w="1184" w:type="dxa"/>
            <w:tcBorders>
              <w:bottom w:val="single" w:color="000000" w:sz="6" w:space="0"/>
            </w:tcBorders>
            <w:vAlign w:val="top"/>
          </w:tcPr>
          <w:p w14:paraId="2D0808B1">
            <w:pPr>
              <w:rPr>
                <w:rFonts w:ascii="Arial"/>
                <w:color w:val="auto"/>
                <w:sz w:val="21"/>
                <w:highlight w:val="none"/>
              </w:rPr>
            </w:pPr>
          </w:p>
        </w:tc>
        <w:tc>
          <w:tcPr>
            <w:tcW w:w="1184" w:type="dxa"/>
            <w:tcBorders>
              <w:bottom w:val="single" w:color="000000" w:sz="6" w:space="0"/>
            </w:tcBorders>
            <w:vAlign w:val="top"/>
          </w:tcPr>
          <w:p w14:paraId="69E746F0">
            <w:pPr>
              <w:rPr>
                <w:rFonts w:ascii="Arial"/>
                <w:color w:val="auto"/>
                <w:sz w:val="21"/>
                <w:highlight w:val="none"/>
              </w:rPr>
            </w:pPr>
          </w:p>
        </w:tc>
        <w:tc>
          <w:tcPr>
            <w:tcW w:w="1184" w:type="dxa"/>
            <w:tcBorders>
              <w:bottom w:val="single" w:color="000000" w:sz="6" w:space="0"/>
            </w:tcBorders>
            <w:vAlign w:val="top"/>
          </w:tcPr>
          <w:p w14:paraId="3354BC7E">
            <w:pPr>
              <w:rPr>
                <w:rFonts w:ascii="Arial"/>
                <w:color w:val="auto"/>
                <w:sz w:val="21"/>
                <w:highlight w:val="none"/>
              </w:rPr>
            </w:pPr>
          </w:p>
        </w:tc>
        <w:tc>
          <w:tcPr>
            <w:tcW w:w="1193" w:type="dxa"/>
            <w:tcBorders>
              <w:bottom w:val="single" w:color="000000" w:sz="6" w:space="0"/>
              <w:right w:val="single" w:color="000000" w:sz="6" w:space="0"/>
            </w:tcBorders>
            <w:vAlign w:val="top"/>
          </w:tcPr>
          <w:p w14:paraId="79C32B2E">
            <w:pPr>
              <w:rPr>
                <w:rFonts w:ascii="Arial"/>
                <w:color w:val="auto"/>
                <w:sz w:val="21"/>
                <w:highlight w:val="none"/>
              </w:rPr>
            </w:pPr>
          </w:p>
        </w:tc>
      </w:tr>
    </w:tbl>
    <w:p w14:paraId="02ECB84E">
      <w:pPr>
        <w:spacing w:before="139" w:line="352" w:lineRule="auto"/>
        <w:ind w:left="632" w:right="11" w:hanging="6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备注：“目前状况”应说明已使用年限、是否完好以及目前是否正</w:t>
      </w:r>
      <w:r>
        <w:rPr>
          <w:rFonts w:ascii="宋体" w:hAnsi="宋体" w:eastAsia="宋体" w:cs="宋体"/>
          <w:color w:val="auto"/>
          <w:spacing w:val="2"/>
          <w:sz w:val="21"/>
          <w:szCs w:val="21"/>
          <w:highlight w:val="none"/>
        </w:rPr>
        <w:t>在使用，“来源”分为</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“自有”和“市场租赁”两种情况，正在使</w:t>
      </w:r>
      <w:r>
        <w:rPr>
          <w:rFonts w:ascii="宋体" w:hAnsi="宋体" w:eastAsia="宋体" w:cs="宋体"/>
          <w:color w:val="auto"/>
          <w:spacing w:val="3"/>
          <w:sz w:val="21"/>
          <w:szCs w:val="21"/>
          <w:highlight w:val="none"/>
        </w:rPr>
        <w:t>用中的设备应在“备注”中注明何时能</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够投入本项目。本招标项目（标段）投标人</w:t>
      </w:r>
      <w:r>
        <w:rPr>
          <w:rFonts w:ascii="宋体" w:hAnsi="宋体" w:eastAsia="宋体" w:cs="宋体"/>
          <w:color w:val="auto"/>
          <w:spacing w:val="3"/>
          <w:sz w:val="21"/>
          <w:szCs w:val="21"/>
          <w:highlight w:val="none"/>
        </w:rPr>
        <w:t>资质条件、能力和信誉中要求的主要施</w:t>
      </w:r>
    </w:p>
    <w:p w14:paraId="0C483DEE">
      <w:pPr>
        <w:spacing w:line="219" w:lineRule="auto"/>
        <w:ind w:left="6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工机械设备，投标人应提供相关证明材料。</w:t>
      </w:r>
    </w:p>
    <w:p w14:paraId="7DFF595F">
      <w:pPr>
        <w:spacing w:line="219" w:lineRule="auto"/>
        <w:rPr>
          <w:rFonts w:ascii="宋体" w:hAnsi="宋体" w:eastAsia="宋体" w:cs="宋体"/>
          <w:color w:val="auto"/>
          <w:sz w:val="21"/>
          <w:szCs w:val="21"/>
          <w:highlight w:val="none"/>
        </w:rPr>
        <w:sectPr>
          <w:footerReference r:id="rId173" w:type="default"/>
          <w:pgSz w:w="11905" w:h="16839"/>
          <w:pgMar w:top="400" w:right="1785" w:bottom="1004" w:left="1785" w:header="0" w:footer="828" w:gutter="0"/>
          <w:pgNumType w:fmt="decimal"/>
          <w:cols w:space="720" w:num="1"/>
        </w:sectPr>
      </w:pPr>
    </w:p>
    <w:p w14:paraId="4EF4EDBB">
      <w:pPr>
        <w:pStyle w:val="5"/>
        <w:spacing w:line="267" w:lineRule="auto"/>
        <w:rPr>
          <w:color w:val="auto"/>
          <w:highlight w:val="none"/>
        </w:rPr>
      </w:pPr>
    </w:p>
    <w:p w14:paraId="5422096F">
      <w:pPr>
        <w:pStyle w:val="5"/>
        <w:spacing w:line="268" w:lineRule="auto"/>
        <w:rPr>
          <w:color w:val="auto"/>
          <w:highlight w:val="none"/>
        </w:rPr>
      </w:pPr>
    </w:p>
    <w:p w14:paraId="0B3C50C2">
      <w:pPr>
        <w:pStyle w:val="5"/>
        <w:spacing w:line="268" w:lineRule="auto"/>
        <w:rPr>
          <w:color w:val="auto"/>
          <w:highlight w:val="none"/>
        </w:rPr>
      </w:pPr>
    </w:p>
    <w:p w14:paraId="4488230E">
      <w:pPr>
        <w:pStyle w:val="5"/>
        <w:spacing w:line="268" w:lineRule="auto"/>
        <w:rPr>
          <w:color w:val="auto"/>
          <w:highlight w:val="none"/>
        </w:rPr>
      </w:pPr>
    </w:p>
    <w:p w14:paraId="3280A8B3">
      <w:pPr>
        <w:spacing w:before="78" w:line="218" w:lineRule="auto"/>
        <w:ind w:left="2993"/>
        <w:rPr>
          <w:rFonts w:ascii="黑体" w:hAnsi="黑体" w:eastAsia="黑体" w:cs="黑体"/>
          <w:color w:val="auto"/>
          <w:sz w:val="24"/>
          <w:szCs w:val="24"/>
          <w:highlight w:val="none"/>
        </w:rPr>
      </w:pPr>
      <w:bookmarkStart w:id="1765" w:name="bookmark320"/>
      <w:bookmarkEnd w:id="1765"/>
      <w:r>
        <w:rPr>
          <w:rFonts w:ascii="黑体" w:hAnsi="黑体" w:eastAsia="黑体" w:cs="黑体"/>
          <w:color w:val="auto"/>
          <w:spacing w:val="-3"/>
          <w:sz w:val="24"/>
          <w:szCs w:val="24"/>
          <w:highlight w:val="none"/>
        </w:rPr>
        <w:t>（二）近年财务状况表</w:t>
      </w:r>
    </w:p>
    <w:p w14:paraId="01FF72AD">
      <w:pPr>
        <w:spacing w:before="161"/>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5B837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C4B6D40">
            <w:pPr>
              <w:pStyle w:val="18"/>
              <w:spacing w:before="149" w:line="223" w:lineRule="auto"/>
              <w:ind w:left="711"/>
              <w:rPr>
                <w:color w:val="auto"/>
                <w:highlight w:val="none"/>
              </w:rPr>
            </w:pPr>
            <w:r>
              <w:rPr>
                <w:color w:val="auto"/>
                <w:spacing w:val="-3"/>
                <w:highlight w:val="none"/>
                <w14:textOutline w14:w="3831" w14:cap="flat" w14:cmpd="sng">
                  <w14:solidFill>
                    <w14:srgbClr w14:val="000000"/>
                  </w14:solidFill>
                  <w14:prstDash w14:val="solid"/>
                  <w14:miter w14:val="0"/>
                </w14:textOutline>
              </w:rPr>
              <w:t>名称</w:t>
            </w:r>
          </w:p>
        </w:tc>
        <w:tc>
          <w:tcPr>
            <w:tcW w:w="773" w:type="dxa"/>
            <w:vAlign w:val="top"/>
          </w:tcPr>
          <w:p w14:paraId="0D8EAF7F">
            <w:pPr>
              <w:pStyle w:val="18"/>
              <w:spacing w:before="149" w:line="221" w:lineRule="auto"/>
              <w:ind w:left="178"/>
              <w:rPr>
                <w:color w:val="auto"/>
                <w:highlight w:val="none"/>
              </w:rPr>
            </w:pPr>
            <w:r>
              <w:rPr>
                <w:color w:val="auto"/>
                <w:spacing w:val="-2"/>
                <w:highlight w:val="none"/>
                <w14:textOutline w14:w="3831" w14:cap="flat" w14:cmpd="sng">
                  <w14:solidFill>
                    <w14:srgbClr w14:val="000000"/>
                  </w14:solidFill>
                  <w14:prstDash w14:val="solid"/>
                  <w14:miter w14:val="0"/>
                </w14:textOutline>
              </w:rPr>
              <w:t>单位</w:t>
            </w:r>
          </w:p>
        </w:tc>
        <w:tc>
          <w:tcPr>
            <w:tcW w:w="1430" w:type="dxa"/>
            <w:vAlign w:val="top"/>
          </w:tcPr>
          <w:p w14:paraId="45166FD0">
            <w:pPr>
              <w:pStyle w:val="18"/>
              <w:tabs>
                <w:tab w:val="left" w:pos="764"/>
              </w:tabs>
              <w:spacing w:before="149" w:line="221" w:lineRule="auto"/>
              <w:ind w:left="447"/>
              <w:rPr>
                <w:color w:val="auto"/>
                <w:highlight w:val="none"/>
              </w:rPr>
            </w:pPr>
            <w:r>
              <w:rPr>
                <w:color w:val="auto"/>
                <w:highlight w:val="none"/>
                <w:u w:val="single" w:color="auto"/>
              </w:rPr>
              <w:tab/>
            </w:r>
            <w:r>
              <w:rPr>
                <w:color w:val="auto"/>
                <w:spacing w:val="-96"/>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25" w:type="dxa"/>
            <w:vAlign w:val="top"/>
          </w:tcPr>
          <w:p w14:paraId="20042887">
            <w:pPr>
              <w:pStyle w:val="18"/>
              <w:tabs>
                <w:tab w:val="left" w:pos="816"/>
              </w:tabs>
              <w:spacing w:before="149" w:line="221" w:lineRule="auto"/>
              <w:ind w:left="501"/>
              <w:rPr>
                <w:color w:val="auto"/>
                <w:highlight w:val="none"/>
              </w:rPr>
            </w:pPr>
            <w:r>
              <w:rPr>
                <w:color w:val="auto"/>
                <w:highlight w:val="none"/>
                <w:u w:val="single" w:color="auto"/>
              </w:rPr>
              <w:tab/>
            </w:r>
            <w:r>
              <w:rPr>
                <w:color w:val="auto"/>
                <w:spacing w:val="-95"/>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25" w:type="dxa"/>
            <w:vAlign w:val="top"/>
          </w:tcPr>
          <w:p w14:paraId="3B278896">
            <w:pPr>
              <w:pStyle w:val="18"/>
              <w:tabs>
                <w:tab w:val="left" w:pos="765"/>
              </w:tabs>
              <w:spacing w:before="149" w:line="221" w:lineRule="auto"/>
              <w:ind w:left="449"/>
              <w:rPr>
                <w:color w:val="auto"/>
                <w:highlight w:val="none"/>
              </w:rPr>
            </w:pPr>
            <w:r>
              <w:rPr>
                <w:color w:val="auto"/>
                <w:highlight w:val="none"/>
                <w:u w:val="single" w:color="auto"/>
              </w:rPr>
              <w:tab/>
            </w:r>
            <w:r>
              <w:rPr>
                <w:color w:val="auto"/>
                <w:spacing w:val="-96"/>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34" w:type="dxa"/>
            <w:vAlign w:val="top"/>
          </w:tcPr>
          <w:p w14:paraId="28FD44A1">
            <w:pPr>
              <w:pStyle w:val="18"/>
              <w:spacing w:before="149" w:line="221" w:lineRule="auto"/>
              <w:ind w:left="193"/>
              <w:rPr>
                <w:color w:val="auto"/>
                <w:highlight w:val="none"/>
              </w:rPr>
            </w:pPr>
            <w:r>
              <w:rPr>
                <w:color w:val="auto"/>
                <w:spacing w:val="-1"/>
                <w:highlight w:val="none"/>
                <w14:textOutline w14:w="3831" w14:cap="flat" w14:cmpd="sng">
                  <w14:solidFill>
                    <w14:srgbClr w14:val="000000"/>
                  </w14:solidFill>
                  <w14:prstDash w14:val="solid"/>
                  <w14:miter w14:val="0"/>
                </w14:textOutline>
              </w:rPr>
              <w:t>近年平均值</w:t>
            </w:r>
          </w:p>
        </w:tc>
      </w:tr>
      <w:tr w14:paraId="60D6D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576C3739">
            <w:pPr>
              <w:pStyle w:val="18"/>
              <w:spacing w:before="150" w:line="222" w:lineRule="auto"/>
              <w:ind w:left="122"/>
              <w:rPr>
                <w:color w:val="auto"/>
                <w:highlight w:val="none"/>
              </w:rPr>
            </w:pPr>
            <w:r>
              <w:rPr>
                <w:color w:val="auto"/>
                <w:spacing w:val="-1"/>
                <w:highlight w:val="none"/>
              </w:rPr>
              <w:t>一．注册资金</w:t>
            </w:r>
          </w:p>
        </w:tc>
        <w:tc>
          <w:tcPr>
            <w:tcW w:w="773" w:type="dxa"/>
            <w:vAlign w:val="top"/>
          </w:tcPr>
          <w:p w14:paraId="0886CB02">
            <w:pPr>
              <w:pStyle w:val="18"/>
              <w:spacing w:before="150" w:line="221" w:lineRule="auto"/>
              <w:ind w:left="284"/>
              <w:rPr>
                <w:color w:val="auto"/>
                <w:highlight w:val="none"/>
              </w:rPr>
            </w:pPr>
            <w:r>
              <w:rPr>
                <w:color w:val="auto"/>
                <w:highlight w:val="none"/>
              </w:rPr>
              <w:t>元</w:t>
            </w:r>
          </w:p>
        </w:tc>
        <w:tc>
          <w:tcPr>
            <w:tcW w:w="1430" w:type="dxa"/>
            <w:vAlign w:val="top"/>
          </w:tcPr>
          <w:p w14:paraId="705E8FD6">
            <w:pPr>
              <w:rPr>
                <w:rFonts w:ascii="Arial"/>
                <w:color w:val="auto"/>
                <w:sz w:val="21"/>
                <w:highlight w:val="none"/>
              </w:rPr>
            </w:pPr>
          </w:p>
        </w:tc>
        <w:tc>
          <w:tcPr>
            <w:tcW w:w="1425" w:type="dxa"/>
            <w:vAlign w:val="top"/>
          </w:tcPr>
          <w:p w14:paraId="4C7D0E1A">
            <w:pPr>
              <w:rPr>
                <w:rFonts w:ascii="Arial"/>
                <w:color w:val="auto"/>
                <w:sz w:val="21"/>
                <w:highlight w:val="none"/>
              </w:rPr>
            </w:pPr>
          </w:p>
        </w:tc>
        <w:tc>
          <w:tcPr>
            <w:tcW w:w="1425" w:type="dxa"/>
            <w:vAlign w:val="top"/>
          </w:tcPr>
          <w:p w14:paraId="4787CFC5">
            <w:pPr>
              <w:rPr>
                <w:rFonts w:ascii="Arial"/>
                <w:color w:val="auto"/>
                <w:sz w:val="21"/>
                <w:highlight w:val="none"/>
              </w:rPr>
            </w:pPr>
          </w:p>
        </w:tc>
        <w:tc>
          <w:tcPr>
            <w:tcW w:w="1434" w:type="dxa"/>
            <w:vAlign w:val="top"/>
          </w:tcPr>
          <w:p w14:paraId="1213FD65">
            <w:pPr>
              <w:pStyle w:val="18"/>
              <w:spacing w:before="250" w:line="142" w:lineRule="exact"/>
              <w:ind w:left="668"/>
              <w:rPr>
                <w:color w:val="auto"/>
                <w:highlight w:val="none"/>
              </w:rPr>
            </w:pPr>
            <w:r>
              <w:rPr>
                <w:color w:val="auto"/>
                <w:position w:val="-3"/>
                <w:highlight w:val="none"/>
              </w:rPr>
              <w:t>-</w:t>
            </w:r>
          </w:p>
        </w:tc>
      </w:tr>
      <w:tr w14:paraId="4E39B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D76C5A2">
            <w:pPr>
              <w:pStyle w:val="18"/>
              <w:spacing w:before="150" w:line="221" w:lineRule="auto"/>
              <w:ind w:left="122"/>
              <w:rPr>
                <w:color w:val="auto"/>
                <w:highlight w:val="none"/>
              </w:rPr>
            </w:pPr>
            <w:r>
              <w:rPr>
                <w:color w:val="auto"/>
                <w:spacing w:val="-1"/>
                <w:highlight w:val="none"/>
              </w:rPr>
              <w:t>二．净资产</w:t>
            </w:r>
          </w:p>
        </w:tc>
        <w:tc>
          <w:tcPr>
            <w:tcW w:w="773" w:type="dxa"/>
            <w:vAlign w:val="top"/>
          </w:tcPr>
          <w:p w14:paraId="783AF92B">
            <w:pPr>
              <w:pStyle w:val="18"/>
              <w:spacing w:before="151" w:line="221" w:lineRule="auto"/>
              <w:ind w:left="284"/>
              <w:rPr>
                <w:color w:val="auto"/>
                <w:highlight w:val="none"/>
              </w:rPr>
            </w:pPr>
            <w:r>
              <w:rPr>
                <w:color w:val="auto"/>
                <w:highlight w:val="none"/>
              </w:rPr>
              <w:t>元</w:t>
            </w:r>
          </w:p>
        </w:tc>
        <w:tc>
          <w:tcPr>
            <w:tcW w:w="1430" w:type="dxa"/>
            <w:vAlign w:val="top"/>
          </w:tcPr>
          <w:p w14:paraId="6B0A6A7B">
            <w:pPr>
              <w:rPr>
                <w:rFonts w:ascii="Arial"/>
                <w:color w:val="auto"/>
                <w:sz w:val="21"/>
                <w:highlight w:val="none"/>
              </w:rPr>
            </w:pPr>
          </w:p>
        </w:tc>
        <w:tc>
          <w:tcPr>
            <w:tcW w:w="1425" w:type="dxa"/>
            <w:vAlign w:val="top"/>
          </w:tcPr>
          <w:p w14:paraId="3CB29D5E">
            <w:pPr>
              <w:rPr>
                <w:rFonts w:ascii="Arial"/>
                <w:color w:val="auto"/>
                <w:sz w:val="21"/>
                <w:highlight w:val="none"/>
              </w:rPr>
            </w:pPr>
          </w:p>
        </w:tc>
        <w:tc>
          <w:tcPr>
            <w:tcW w:w="1425" w:type="dxa"/>
            <w:vAlign w:val="top"/>
          </w:tcPr>
          <w:p w14:paraId="71ED586E">
            <w:pPr>
              <w:rPr>
                <w:rFonts w:ascii="Arial"/>
                <w:color w:val="auto"/>
                <w:sz w:val="21"/>
                <w:highlight w:val="none"/>
              </w:rPr>
            </w:pPr>
          </w:p>
        </w:tc>
        <w:tc>
          <w:tcPr>
            <w:tcW w:w="1434" w:type="dxa"/>
            <w:vAlign w:val="top"/>
          </w:tcPr>
          <w:p w14:paraId="16EE9D50">
            <w:pPr>
              <w:pStyle w:val="18"/>
              <w:spacing w:before="251" w:line="141" w:lineRule="exact"/>
              <w:ind w:left="668"/>
              <w:rPr>
                <w:color w:val="auto"/>
                <w:highlight w:val="none"/>
              </w:rPr>
            </w:pPr>
            <w:r>
              <w:rPr>
                <w:color w:val="auto"/>
                <w:position w:val="-3"/>
                <w:highlight w:val="none"/>
              </w:rPr>
              <w:t>-</w:t>
            </w:r>
          </w:p>
        </w:tc>
      </w:tr>
      <w:tr w14:paraId="2D53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351E2721">
            <w:pPr>
              <w:pStyle w:val="18"/>
              <w:spacing w:before="145" w:line="221" w:lineRule="auto"/>
              <w:ind w:left="118"/>
              <w:rPr>
                <w:color w:val="auto"/>
                <w:highlight w:val="none"/>
              </w:rPr>
            </w:pPr>
            <w:r>
              <w:rPr>
                <w:color w:val="auto"/>
                <w:highlight w:val="none"/>
              </w:rPr>
              <w:t>三．总资产</w:t>
            </w:r>
          </w:p>
        </w:tc>
        <w:tc>
          <w:tcPr>
            <w:tcW w:w="773" w:type="dxa"/>
            <w:vAlign w:val="top"/>
          </w:tcPr>
          <w:p w14:paraId="5DEF2371">
            <w:pPr>
              <w:pStyle w:val="18"/>
              <w:spacing w:before="146" w:line="221" w:lineRule="auto"/>
              <w:ind w:left="284"/>
              <w:rPr>
                <w:color w:val="auto"/>
                <w:highlight w:val="none"/>
              </w:rPr>
            </w:pPr>
            <w:r>
              <w:rPr>
                <w:color w:val="auto"/>
                <w:highlight w:val="none"/>
              </w:rPr>
              <w:t>元</w:t>
            </w:r>
          </w:p>
        </w:tc>
        <w:tc>
          <w:tcPr>
            <w:tcW w:w="1430" w:type="dxa"/>
            <w:vAlign w:val="top"/>
          </w:tcPr>
          <w:p w14:paraId="196B16C8">
            <w:pPr>
              <w:rPr>
                <w:rFonts w:ascii="Arial"/>
                <w:color w:val="auto"/>
                <w:sz w:val="21"/>
                <w:highlight w:val="none"/>
              </w:rPr>
            </w:pPr>
          </w:p>
        </w:tc>
        <w:tc>
          <w:tcPr>
            <w:tcW w:w="1425" w:type="dxa"/>
            <w:vAlign w:val="top"/>
          </w:tcPr>
          <w:p w14:paraId="3F6BC94E">
            <w:pPr>
              <w:rPr>
                <w:rFonts w:ascii="Arial"/>
                <w:color w:val="auto"/>
                <w:sz w:val="21"/>
                <w:highlight w:val="none"/>
              </w:rPr>
            </w:pPr>
          </w:p>
        </w:tc>
        <w:tc>
          <w:tcPr>
            <w:tcW w:w="1425" w:type="dxa"/>
            <w:vAlign w:val="top"/>
          </w:tcPr>
          <w:p w14:paraId="46E255C2">
            <w:pPr>
              <w:rPr>
                <w:rFonts w:ascii="Arial"/>
                <w:color w:val="auto"/>
                <w:sz w:val="21"/>
                <w:highlight w:val="none"/>
              </w:rPr>
            </w:pPr>
          </w:p>
        </w:tc>
        <w:tc>
          <w:tcPr>
            <w:tcW w:w="1434" w:type="dxa"/>
            <w:vAlign w:val="top"/>
          </w:tcPr>
          <w:p w14:paraId="69E94194">
            <w:pPr>
              <w:rPr>
                <w:rFonts w:ascii="Arial"/>
                <w:color w:val="auto"/>
                <w:sz w:val="21"/>
                <w:highlight w:val="none"/>
              </w:rPr>
            </w:pPr>
          </w:p>
        </w:tc>
      </w:tr>
      <w:tr w14:paraId="194A8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FDC0045">
            <w:pPr>
              <w:pStyle w:val="18"/>
              <w:spacing w:before="151" w:line="221" w:lineRule="auto"/>
              <w:ind w:left="138"/>
              <w:rPr>
                <w:color w:val="auto"/>
                <w:highlight w:val="none"/>
              </w:rPr>
            </w:pPr>
            <w:r>
              <w:rPr>
                <w:color w:val="auto"/>
                <w:spacing w:val="-4"/>
                <w:highlight w:val="none"/>
              </w:rPr>
              <w:t>四．固定资产</w:t>
            </w:r>
          </w:p>
        </w:tc>
        <w:tc>
          <w:tcPr>
            <w:tcW w:w="773" w:type="dxa"/>
            <w:vAlign w:val="top"/>
          </w:tcPr>
          <w:p w14:paraId="556D3273">
            <w:pPr>
              <w:pStyle w:val="18"/>
              <w:spacing w:before="152" w:line="221" w:lineRule="auto"/>
              <w:ind w:left="284"/>
              <w:rPr>
                <w:color w:val="auto"/>
                <w:highlight w:val="none"/>
              </w:rPr>
            </w:pPr>
            <w:r>
              <w:rPr>
                <w:color w:val="auto"/>
                <w:highlight w:val="none"/>
              </w:rPr>
              <w:t>元</w:t>
            </w:r>
          </w:p>
        </w:tc>
        <w:tc>
          <w:tcPr>
            <w:tcW w:w="1430" w:type="dxa"/>
            <w:vAlign w:val="top"/>
          </w:tcPr>
          <w:p w14:paraId="68A25D89">
            <w:pPr>
              <w:rPr>
                <w:rFonts w:ascii="Arial"/>
                <w:color w:val="auto"/>
                <w:sz w:val="21"/>
                <w:highlight w:val="none"/>
              </w:rPr>
            </w:pPr>
          </w:p>
        </w:tc>
        <w:tc>
          <w:tcPr>
            <w:tcW w:w="1425" w:type="dxa"/>
            <w:vAlign w:val="top"/>
          </w:tcPr>
          <w:p w14:paraId="2F238A82">
            <w:pPr>
              <w:rPr>
                <w:rFonts w:ascii="Arial"/>
                <w:color w:val="auto"/>
                <w:sz w:val="21"/>
                <w:highlight w:val="none"/>
              </w:rPr>
            </w:pPr>
          </w:p>
        </w:tc>
        <w:tc>
          <w:tcPr>
            <w:tcW w:w="1425" w:type="dxa"/>
            <w:vAlign w:val="top"/>
          </w:tcPr>
          <w:p w14:paraId="1AA209C8">
            <w:pPr>
              <w:rPr>
                <w:rFonts w:ascii="Arial"/>
                <w:color w:val="auto"/>
                <w:sz w:val="21"/>
                <w:highlight w:val="none"/>
              </w:rPr>
            </w:pPr>
          </w:p>
        </w:tc>
        <w:tc>
          <w:tcPr>
            <w:tcW w:w="1434" w:type="dxa"/>
            <w:vAlign w:val="top"/>
          </w:tcPr>
          <w:p w14:paraId="4E1D6130">
            <w:pPr>
              <w:pStyle w:val="18"/>
              <w:spacing w:before="252" w:line="141" w:lineRule="exact"/>
              <w:ind w:left="668"/>
              <w:rPr>
                <w:color w:val="auto"/>
                <w:highlight w:val="none"/>
              </w:rPr>
            </w:pPr>
            <w:r>
              <w:rPr>
                <w:color w:val="auto"/>
                <w:position w:val="-3"/>
                <w:highlight w:val="none"/>
              </w:rPr>
              <w:t>-</w:t>
            </w:r>
          </w:p>
        </w:tc>
      </w:tr>
      <w:tr w14:paraId="1BBF5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01D36690">
            <w:pPr>
              <w:pStyle w:val="18"/>
              <w:spacing w:before="150" w:line="221" w:lineRule="auto"/>
              <w:ind w:left="122"/>
              <w:rPr>
                <w:color w:val="auto"/>
                <w:highlight w:val="none"/>
              </w:rPr>
            </w:pPr>
            <w:r>
              <w:rPr>
                <w:color w:val="auto"/>
                <w:spacing w:val="-1"/>
                <w:highlight w:val="none"/>
              </w:rPr>
              <w:t>五．流动资产</w:t>
            </w:r>
          </w:p>
        </w:tc>
        <w:tc>
          <w:tcPr>
            <w:tcW w:w="773" w:type="dxa"/>
            <w:vAlign w:val="top"/>
          </w:tcPr>
          <w:p w14:paraId="12823EF0">
            <w:pPr>
              <w:pStyle w:val="18"/>
              <w:spacing w:before="151" w:line="221" w:lineRule="auto"/>
              <w:ind w:left="284"/>
              <w:rPr>
                <w:color w:val="auto"/>
                <w:highlight w:val="none"/>
              </w:rPr>
            </w:pPr>
            <w:r>
              <w:rPr>
                <w:color w:val="auto"/>
                <w:highlight w:val="none"/>
              </w:rPr>
              <w:t>元</w:t>
            </w:r>
          </w:p>
        </w:tc>
        <w:tc>
          <w:tcPr>
            <w:tcW w:w="1430" w:type="dxa"/>
            <w:vAlign w:val="top"/>
          </w:tcPr>
          <w:p w14:paraId="590C95A7">
            <w:pPr>
              <w:rPr>
                <w:rFonts w:ascii="Arial"/>
                <w:color w:val="auto"/>
                <w:sz w:val="21"/>
                <w:highlight w:val="none"/>
              </w:rPr>
            </w:pPr>
          </w:p>
        </w:tc>
        <w:tc>
          <w:tcPr>
            <w:tcW w:w="1425" w:type="dxa"/>
            <w:vAlign w:val="top"/>
          </w:tcPr>
          <w:p w14:paraId="31D922A2">
            <w:pPr>
              <w:rPr>
                <w:rFonts w:ascii="Arial"/>
                <w:color w:val="auto"/>
                <w:sz w:val="21"/>
                <w:highlight w:val="none"/>
              </w:rPr>
            </w:pPr>
          </w:p>
        </w:tc>
        <w:tc>
          <w:tcPr>
            <w:tcW w:w="1425" w:type="dxa"/>
            <w:vAlign w:val="top"/>
          </w:tcPr>
          <w:p w14:paraId="3FE6C529">
            <w:pPr>
              <w:rPr>
                <w:rFonts w:ascii="Arial"/>
                <w:color w:val="auto"/>
                <w:sz w:val="21"/>
                <w:highlight w:val="none"/>
              </w:rPr>
            </w:pPr>
          </w:p>
        </w:tc>
        <w:tc>
          <w:tcPr>
            <w:tcW w:w="1434" w:type="dxa"/>
            <w:vAlign w:val="top"/>
          </w:tcPr>
          <w:p w14:paraId="05C6E434">
            <w:pPr>
              <w:rPr>
                <w:rFonts w:ascii="Arial"/>
                <w:color w:val="auto"/>
                <w:sz w:val="21"/>
                <w:highlight w:val="none"/>
              </w:rPr>
            </w:pPr>
          </w:p>
        </w:tc>
      </w:tr>
      <w:tr w14:paraId="7A367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66799B30">
            <w:pPr>
              <w:pStyle w:val="18"/>
              <w:spacing w:before="146" w:line="221" w:lineRule="auto"/>
              <w:ind w:left="120"/>
              <w:rPr>
                <w:color w:val="auto"/>
                <w:highlight w:val="none"/>
              </w:rPr>
            </w:pPr>
            <w:r>
              <w:rPr>
                <w:color w:val="auto"/>
                <w:spacing w:val="-1"/>
                <w:highlight w:val="none"/>
              </w:rPr>
              <w:t>六．流动负债</w:t>
            </w:r>
          </w:p>
        </w:tc>
        <w:tc>
          <w:tcPr>
            <w:tcW w:w="773" w:type="dxa"/>
            <w:vAlign w:val="top"/>
          </w:tcPr>
          <w:p w14:paraId="4DFF93B5">
            <w:pPr>
              <w:pStyle w:val="18"/>
              <w:spacing w:before="146" w:line="221" w:lineRule="auto"/>
              <w:ind w:left="284"/>
              <w:rPr>
                <w:color w:val="auto"/>
                <w:highlight w:val="none"/>
              </w:rPr>
            </w:pPr>
            <w:r>
              <w:rPr>
                <w:color w:val="auto"/>
                <w:highlight w:val="none"/>
              </w:rPr>
              <w:t>元</w:t>
            </w:r>
          </w:p>
        </w:tc>
        <w:tc>
          <w:tcPr>
            <w:tcW w:w="1430" w:type="dxa"/>
            <w:vAlign w:val="top"/>
          </w:tcPr>
          <w:p w14:paraId="1B973C5A">
            <w:pPr>
              <w:rPr>
                <w:rFonts w:ascii="Arial"/>
                <w:color w:val="auto"/>
                <w:sz w:val="21"/>
                <w:highlight w:val="none"/>
              </w:rPr>
            </w:pPr>
          </w:p>
        </w:tc>
        <w:tc>
          <w:tcPr>
            <w:tcW w:w="1425" w:type="dxa"/>
            <w:vAlign w:val="top"/>
          </w:tcPr>
          <w:p w14:paraId="5CEBA513">
            <w:pPr>
              <w:rPr>
                <w:rFonts w:ascii="Arial"/>
                <w:color w:val="auto"/>
                <w:sz w:val="21"/>
                <w:highlight w:val="none"/>
              </w:rPr>
            </w:pPr>
          </w:p>
        </w:tc>
        <w:tc>
          <w:tcPr>
            <w:tcW w:w="1425" w:type="dxa"/>
            <w:vAlign w:val="top"/>
          </w:tcPr>
          <w:p w14:paraId="73C0F64F">
            <w:pPr>
              <w:rPr>
                <w:rFonts w:ascii="Arial"/>
                <w:color w:val="auto"/>
                <w:sz w:val="21"/>
                <w:highlight w:val="none"/>
              </w:rPr>
            </w:pPr>
          </w:p>
        </w:tc>
        <w:tc>
          <w:tcPr>
            <w:tcW w:w="1434" w:type="dxa"/>
            <w:vAlign w:val="top"/>
          </w:tcPr>
          <w:p w14:paraId="3F08720A">
            <w:pPr>
              <w:rPr>
                <w:rFonts w:ascii="Arial"/>
                <w:color w:val="auto"/>
                <w:sz w:val="21"/>
                <w:highlight w:val="none"/>
              </w:rPr>
            </w:pPr>
          </w:p>
        </w:tc>
      </w:tr>
      <w:tr w14:paraId="4DBF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762BCE9">
            <w:pPr>
              <w:pStyle w:val="18"/>
              <w:spacing w:before="151" w:line="221" w:lineRule="auto"/>
              <w:ind w:left="118"/>
              <w:rPr>
                <w:color w:val="auto"/>
                <w:highlight w:val="none"/>
              </w:rPr>
            </w:pPr>
            <w:r>
              <w:rPr>
                <w:color w:val="auto"/>
                <w:spacing w:val="-1"/>
                <w:highlight w:val="none"/>
              </w:rPr>
              <w:t>七．负债合计</w:t>
            </w:r>
          </w:p>
        </w:tc>
        <w:tc>
          <w:tcPr>
            <w:tcW w:w="773" w:type="dxa"/>
            <w:vAlign w:val="top"/>
          </w:tcPr>
          <w:p w14:paraId="70F12431">
            <w:pPr>
              <w:pStyle w:val="18"/>
              <w:spacing w:before="152" w:line="221" w:lineRule="auto"/>
              <w:ind w:left="284"/>
              <w:rPr>
                <w:color w:val="auto"/>
                <w:highlight w:val="none"/>
              </w:rPr>
            </w:pPr>
            <w:r>
              <w:rPr>
                <w:color w:val="auto"/>
                <w:highlight w:val="none"/>
              </w:rPr>
              <w:t>元</w:t>
            </w:r>
          </w:p>
        </w:tc>
        <w:tc>
          <w:tcPr>
            <w:tcW w:w="1430" w:type="dxa"/>
            <w:vAlign w:val="top"/>
          </w:tcPr>
          <w:p w14:paraId="5A6D48C0">
            <w:pPr>
              <w:rPr>
                <w:rFonts w:ascii="Arial"/>
                <w:color w:val="auto"/>
                <w:sz w:val="21"/>
                <w:highlight w:val="none"/>
              </w:rPr>
            </w:pPr>
          </w:p>
        </w:tc>
        <w:tc>
          <w:tcPr>
            <w:tcW w:w="1425" w:type="dxa"/>
            <w:vAlign w:val="top"/>
          </w:tcPr>
          <w:p w14:paraId="70CA02A0">
            <w:pPr>
              <w:rPr>
                <w:rFonts w:ascii="Arial"/>
                <w:color w:val="auto"/>
                <w:sz w:val="21"/>
                <w:highlight w:val="none"/>
              </w:rPr>
            </w:pPr>
          </w:p>
        </w:tc>
        <w:tc>
          <w:tcPr>
            <w:tcW w:w="1425" w:type="dxa"/>
            <w:vAlign w:val="top"/>
          </w:tcPr>
          <w:p w14:paraId="24BC0A9C">
            <w:pPr>
              <w:rPr>
                <w:rFonts w:ascii="Arial"/>
                <w:color w:val="auto"/>
                <w:sz w:val="21"/>
                <w:highlight w:val="none"/>
              </w:rPr>
            </w:pPr>
          </w:p>
        </w:tc>
        <w:tc>
          <w:tcPr>
            <w:tcW w:w="1434" w:type="dxa"/>
            <w:vAlign w:val="top"/>
          </w:tcPr>
          <w:p w14:paraId="12CCD368">
            <w:pPr>
              <w:rPr>
                <w:rFonts w:ascii="Arial"/>
                <w:color w:val="auto"/>
                <w:sz w:val="21"/>
                <w:highlight w:val="none"/>
              </w:rPr>
            </w:pPr>
          </w:p>
        </w:tc>
      </w:tr>
      <w:tr w14:paraId="65B4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4BF70C92">
            <w:pPr>
              <w:pStyle w:val="18"/>
              <w:spacing w:before="151" w:line="221" w:lineRule="auto"/>
              <w:ind w:left="122"/>
              <w:rPr>
                <w:color w:val="auto"/>
                <w:highlight w:val="none"/>
              </w:rPr>
            </w:pPr>
            <w:r>
              <w:rPr>
                <w:color w:val="auto"/>
                <w:spacing w:val="-1"/>
                <w:highlight w:val="none"/>
              </w:rPr>
              <w:t>八．营业收入</w:t>
            </w:r>
          </w:p>
        </w:tc>
        <w:tc>
          <w:tcPr>
            <w:tcW w:w="773" w:type="dxa"/>
            <w:vAlign w:val="top"/>
          </w:tcPr>
          <w:p w14:paraId="5203D169">
            <w:pPr>
              <w:pStyle w:val="18"/>
              <w:spacing w:before="152" w:line="221" w:lineRule="auto"/>
              <w:ind w:left="284"/>
              <w:rPr>
                <w:color w:val="auto"/>
                <w:highlight w:val="none"/>
              </w:rPr>
            </w:pPr>
            <w:r>
              <w:rPr>
                <w:color w:val="auto"/>
                <w:highlight w:val="none"/>
              </w:rPr>
              <w:t>元</w:t>
            </w:r>
          </w:p>
        </w:tc>
        <w:tc>
          <w:tcPr>
            <w:tcW w:w="1430" w:type="dxa"/>
            <w:vAlign w:val="top"/>
          </w:tcPr>
          <w:p w14:paraId="6EA7D9C9">
            <w:pPr>
              <w:rPr>
                <w:rFonts w:ascii="Arial"/>
                <w:color w:val="auto"/>
                <w:sz w:val="21"/>
                <w:highlight w:val="none"/>
              </w:rPr>
            </w:pPr>
          </w:p>
        </w:tc>
        <w:tc>
          <w:tcPr>
            <w:tcW w:w="1425" w:type="dxa"/>
            <w:vAlign w:val="top"/>
          </w:tcPr>
          <w:p w14:paraId="3C5FF73E">
            <w:pPr>
              <w:rPr>
                <w:rFonts w:ascii="Arial"/>
                <w:color w:val="auto"/>
                <w:sz w:val="21"/>
                <w:highlight w:val="none"/>
              </w:rPr>
            </w:pPr>
          </w:p>
        </w:tc>
        <w:tc>
          <w:tcPr>
            <w:tcW w:w="1425" w:type="dxa"/>
            <w:vAlign w:val="top"/>
          </w:tcPr>
          <w:p w14:paraId="00DC891E">
            <w:pPr>
              <w:rPr>
                <w:rFonts w:ascii="Arial"/>
                <w:color w:val="auto"/>
                <w:sz w:val="21"/>
                <w:highlight w:val="none"/>
              </w:rPr>
            </w:pPr>
          </w:p>
        </w:tc>
        <w:tc>
          <w:tcPr>
            <w:tcW w:w="1434" w:type="dxa"/>
            <w:vAlign w:val="top"/>
          </w:tcPr>
          <w:p w14:paraId="39023271">
            <w:pPr>
              <w:rPr>
                <w:rFonts w:ascii="Arial"/>
                <w:color w:val="auto"/>
                <w:sz w:val="21"/>
                <w:highlight w:val="none"/>
              </w:rPr>
            </w:pPr>
          </w:p>
        </w:tc>
      </w:tr>
      <w:tr w14:paraId="0D8B5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368C208">
            <w:pPr>
              <w:pStyle w:val="18"/>
              <w:spacing w:before="147" w:line="221" w:lineRule="auto"/>
              <w:ind w:left="123"/>
              <w:rPr>
                <w:color w:val="auto"/>
                <w:highlight w:val="none"/>
              </w:rPr>
            </w:pPr>
            <w:r>
              <w:rPr>
                <w:color w:val="auto"/>
                <w:spacing w:val="-1"/>
                <w:highlight w:val="none"/>
              </w:rPr>
              <w:t>九．净利润</w:t>
            </w:r>
          </w:p>
        </w:tc>
        <w:tc>
          <w:tcPr>
            <w:tcW w:w="773" w:type="dxa"/>
            <w:vAlign w:val="top"/>
          </w:tcPr>
          <w:p w14:paraId="5B930527">
            <w:pPr>
              <w:pStyle w:val="18"/>
              <w:spacing w:before="147" w:line="221" w:lineRule="auto"/>
              <w:ind w:left="284"/>
              <w:rPr>
                <w:color w:val="auto"/>
                <w:highlight w:val="none"/>
              </w:rPr>
            </w:pPr>
            <w:r>
              <w:rPr>
                <w:color w:val="auto"/>
                <w:highlight w:val="none"/>
              </w:rPr>
              <w:t>元</w:t>
            </w:r>
          </w:p>
        </w:tc>
        <w:tc>
          <w:tcPr>
            <w:tcW w:w="1430" w:type="dxa"/>
            <w:vAlign w:val="top"/>
          </w:tcPr>
          <w:p w14:paraId="233220D8">
            <w:pPr>
              <w:rPr>
                <w:rFonts w:ascii="Arial"/>
                <w:color w:val="auto"/>
                <w:sz w:val="21"/>
                <w:highlight w:val="none"/>
              </w:rPr>
            </w:pPr>
          </w:p>
        </w:tc>
        <w:tc>
          <w:tcPr>
            <w:tcW w:w="1425" w:type="dxa"/>
            <w:vAlign w:val="top"/>
          </w:tcPr>
          <w:p w14:paraId="144E4815">
            <w:pPr>
              <w:rPr>
                <w:rFonts w:ascii="Arial"/>
                <w:color w:val="auto"/>
                <w:sz w:val="21"/>
                <w:highlight w:val="none"/>
              </w:rPr>
            </w:pPr>
          </w:p>
        </w:tc>
        <w:tc>
          <w:tcPr>
            <w:tcW w:w="1425" w:type="dxa"/>
            <w:vAlign w:val="top"/>
          </w:tcPr>
          <w:p w14:paraId="6C70FE4F">
            <w:pPr>
              <w:rPr>
                <w:rFonts w:ascii="Arial"/>
                <w:color w:val="auto"/>
                <w:sz w:val="21"/>
                <w:highlight w:val="none"/>
              </w:rPr>
            </w:pPr>
          </w:p>
        </w:tc>
        <w:tc>
          <w:tcPr>
            <w:tcW w:w="1434" w:type="dxa"/>
            <w:vAlign w:val="top"/>
          </w:tcPr>
          <w:p w14:paraId="7B836D38">
            <w:pPr>
              <w:pStyle w:val="18"/>
              <w:spacing w:before="247" w:line="142" w:lineRule="exact"/>
              <w:ind w:left="668"/>
              <w:rPr>
                <w:color w:val="auto"/>
                <w:highlight w:val="none"/>
              </w:rPr>
            </w:pPr>
            <w:r>
              <w:rPr>
                <w:color w:val="auto"/>
                <w:position w:val="-3"/>
                <w:highlight w:val="none"/>
              </w:rPr>
              <w:t>-</w:t>
            </w:r>
          </w:p>
        </w:tc>
      </w:tr>
      <w:tr w14:paraId="7CC72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314F445C">
            <w:pPr>
              <w:pStyle w:val="18"/>
              <w:spacing w:before="32" w:line="224" w:lineRule="auto"/>
              <w:ind w:left="118" w:right="106"/>
              <w:rPr>
                <w:color w:val="auto"/>
                <w:highlight w:val="none"/>
              </w:rPr>
            </w:pPr>
            <w:r>
              <w:rPr>
                <w:color w:val="auto"/>
                <w:spacing w:val="10"/>
                <w:highlight w:val="none"/>
              </w:rPr>
              <w:t>十</w:t>
            </w:r>
            <w:r>
              <w:rPr>
                <w:color w:val="auto"/>
                <w:spacing w:val="-53"/>
                <w:highlight w:val="none"/>
              </w:rPr>
              <w:t xml:space="preserve"> </w:t>
            </w:r>
            <w:r>
              <w:rPr>
                <w:color w:val="auto"/>
                <w:spacing w:val="10"/>
                <w:highlight w:val="none"/>
              </w:rPr>
              <w:t>．现金流量净</w:t>
            </w:r>
            <w:r>
              <w:rPr>
                <w:color w:val="auto"/>
                <w:highlight w:val="none"/>
              </w:rPr>
              <w:t xml:space="preserve"> 额</w:t>
            </w:r>
          </w:p>
        </w:tc>
        <w:tc>
          <w:tcPr>
            <w:tcW w:w="773" w:type="dxa"/>
            <w:vAlign w:val="top"/>
          </w:tcPr>
          <w:p w14:paraId="633C2683">
            <w:pPr>
              <w:pStyle w:val="18"/>
              <w:spacing w:before="167" w:line="221" w:lineRule="auto"/>
              <w:ind w:left="284"/>
              <w:rPr>
                <w:color w:val="auto"/>
                <w:highlight w:val="none"/>
              </w:rPr>
            </w:pPr>
            <w:r>
              <w:rPr>
                <w:color w:val="auto"/>
                <w:highlight w:val="none"/>
              </w:rPr>
              <w:t>元</w:t>
            </w:r>
          </w:p>
        </w:tc>
        <w:tc>
          <w:tcPr>
            <w:tcW w:w="1430" w:type="dxa"/>
            <w:vAlign w:val="top"/>
          </w:tcPr>
          <w:p w14:paraId="4EFE4D86">
            <w:pPr>
              <w:rPr>
                <w:rFonts w:ascii="Arial"/>
                <w:color w:val="auto"/>
                <w:sz w:val="21"/>
                <w:highlight w:val="none"/>
              </w:rPr>
            </w:pPr>
          </w:p>
        </w:tc>
        <w:tc>
          <w:tcPr>
            <w:tcW w:w="1425" w:type="dxa"/>
            <w:vAlign w:val="top"/>
          </w:tcPr>
          <w:p w14:paraId="46E9C4EC">
            <w:pPr>
              <w:rPr>
                <w:rFonts w:ascii="Arial"/>
                <w:color w:val="auto"/>
                <w:sz w:val="21"/>
                <w:highlight w:val="none"/>
              </w:rPr>
            </w:pPr>
          </w:p>
        </w:tc>
        <w:tc>
          <w:tcPr>
            <w:tcW w:w="1425" w:type="dxa"/>
            <w:vAlign w:val="top"/>
          </w:tcPr>
          <w:p w14:paraId="20FD73F9">
            <w:pPr>
              <w:rPr>
                <w:rFonts w:ascii="Arial"/>
                <w:color w:val="auto"/>
                <w:sz w:val="21"/>
                <w:highlight w:val="none"/>
              </w:rPr>
            </w:pPr>
          </w:p>
        </w:tc>
        <w:tc>
          <w:tcPr>
            <w:tcW w:w="1434" w:type="dxa"/>
            <w:vAlign w:val="top"/>
          </w:tcPr>
          <w:p w14:paraId="071ED705">
            <w:pPr>
              <w:pStyle w:val="18"/>
              <w:spacing w:before="267" w:line="141" w:lineRule="exact"/>
              <w:ind w:left="668"/>
              <w:rPr>
                <w:color w:val="auto"/>
                <w:highlight w:val="none"/>
              </w:rPr>
            </w:pPr>
            <w:r>
              <w:rPr>
                <w:color w:val="auto"/>
                <w:position w:val="-3"/>
                <w:highlight w:val="none"/>
              </w:rPr>
              <w:t>-</w:t>
            </w:r>
          </w:p>
        </w:tc>
      </w:tr>
      <w:tr w14:paraId="0356D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0DEA8E3D">
            <w:pPr>
              <w:pStyle w:val="18"/>
              <w:spacing w:before="27" w:line="224" w:lineRule="auto"/>
              <w:ind w:left="120" w:right="106" w:hanging="1"/>
              <w:rPr>
                <w:color w:val="auto"/>
                <w:highlight w:val="none"/>
              </w:rPr>
            </w:pPr>
            <w:r>
              <w:rPr>
                <w:color w:val="auto"/>
                <w:spacing w:val="10"/>
                <w:highlight w:val="none"/>
              </w:rPr>
              <w:t>十一</w:t>
            </w:r>
            <w:r>
              <w:rPr>
                <w:color w:val="auto"/>
                <w:spacing w:val="-53"/>
                <w:highlight w:val="none"/>
              </w:rPr>
              <w:t xml:space="preserve"> </w:t>
            </w:r>
            <w:r>
              <w:rPr>
                <w:color w:val="auto"/>
                <w:spacing w:val="10"/>
                <w:highlight w:val="none"/>
              </w:rPr>
              <w:t>．主要财务</w:t>
            </w:r>
            <w:r>
              <w:rPr>
                <w:color w:val="auto"/>
                <w:highlight w:val="none"/>
              </w:rPr>
              <w:t xml:space="preserve"> </w:t>
            </w:r>
            <w:r>
              <w:rPr>
                <w:color w:val="auto"/>
                <w:spacing w:val="-3"/>
                <w:highlight w:val="none"/>
              </w:rPr>
              <w:t>指标</w:t>
            </w:r>
          </w:p>
        </w:tc>
        <w:tc>
          <w:tcPr>
            <w:tcW w:w="773" w:type="dxa"/>
            <w:vAlign w:val="top"/>
          </w:tcPr>
          <w:p w14:paraId="652155DF">
            <w:pPr>
              <w:rPr>
                <w:rFonts w:ascii="Arial"/>
                <w:color w:val="auto"/>
                <w:sz w:val="21"/>
                <w:highlight w:val="none"/>
              </w:rPr>
            </w:pPr>
          </w:p>
        </w:tc>
        <w:tc>
          <w:tcPr>
            <w:tcW w:w="1430" w:type="dxa"/>
            <w:vAlign w:val="top"/>
          </w:tcPr>
          <w:p w14:paraId="22FCDAF5">
            <w:pPr>
              <w:rPr>
                <w:rFonts w:ascii="Arial"/>
                <w:color w:val="auto"/>
                <w:sz w:val="21"/>
                <w:highlight w:val="none"/>
              </w:rPr>
            </w:pPr>
          </w:p>
        </w:tc>
        <w:tc>
          <w:tcPr>
            <w:tcW w:w="1425" w:type="dxa"/>
            <w:vAlign w:val="top"/>
          </w:tcPr>
          <w:p w14:paraId="3C7025A3">
            <w:pPr>
              <w:rPr>
                <w:rFonts w:ascii="Arial"/>
                <w:color w:val="auto"/>
                <w:sz w:val="21"/>
                <w:highlight w:val="none"/>
              </w:rPr>
            </w:pPr>
          </w:p>
        </w:tc>
        <w:tc>
          <w:tcPr>
            <w:tcW w:w="1425" w:type="dxa"/>
            <w:vAlign w:val="top"/>
          </w:tcPr>
          <w:p w14:paraId="44773372">
            <w:pPr>
              <w:rPr>
                <w:rFonts w:ascii="Arial"/>
                <w:color w:val="auto"/>
                <w:sz w:val="21"/>
                <w:highlight w:val="none"/>
              </w:rPr>
            </w:pPr>
          </w:p>
        </w:tc>
        <w:tc>
          <w:tcPr>
            <w:tcW w:w="1434" w:type="dxa"/>
            <w:vAlign w:val="top"/>
          </w:tcPr>
          <w:p w14:paraId="41C4C38D">
            <w:pPr>
              <w:pStyle w:val="18"/>
              <w:spacing w:before="267" w:line="141" w:lineRule="exact"/>
              <w:ind w:left="668"/>
              <w:rPr>
                <w:color w:val="auto"/>
                <w:highlight w:val="none"/>
              </w:rPr>
            </w:pPr>
            <w:r>
              <w:rPr>
                <w:color w:val="auto"/>
                <w:position w:val="-3"/>
                <w:highlight w:val="none"/>
              </w:rPr>
              <w:t>-</w:t>
            </w:r>
          </w:p>
        </w:tc>
      </w:tr>
      <w:tr w14:paraId="526A5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5775B1E9">
            <w:pPr>
              <w:pStyle w:val="18"/>
              <w:spacing w:before="152" w:line="221" w:lineRule="auto"/>
              <w:ind w:left="134"/>
              <w:rPr>
                <w:color w:val="auto"/>
                <w:highlight w:val="none"/>
              </w:rPr>
            </w:pPr>
            <w:r>
              <w:rPr>
                <w:color w:val="auto"/>
                <w:spacing w:val="-3"/>
                <w:highlight w:val="none"/>
              </w:rPr>
              <w:t>1．净资产收益率</w:t>
            </w:r>
          </w:p>
        </w:tc>
        <w:tc>
          <w:tcPr>
            <w:tcW w:w="773" w:type="dxa"/>
            <w:vAlign w:val="top"/>
          </w:tcPr>
          <w:p w14:paraId="41A4A40F">
            <w:pPr>
              <w:spacing w:before="206" w:line="296"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2EA9BEB">
            <w:pPr>
              <w:rPr>
                <w:rFonts w:ascii="Arial"/>
                <w:color w:val="auto"/>
                <w:sz w:val="21"/>
                <w:highlight w:val="none"/>
              </w:rPr>
            </w:pPr>
          </w:p>
        </w:tc>
        <w:tc>
          <w:tcPr>
            <w:tcW w:w="1425" w:type="dxa"/>
            <w:vAlign w:val="top"/>
          </w:tcPr>
          <w:p w14:paraId="52D28FAC">
            <w:pPr>
              <w:rPr>
                <w:rFonts w:ascii="Arial"/>
                <w:color w:val="auto"/>
                <w:sz w:val="21"/>
                <w:highlight w:val="none"/>
              </w:rPr>
            </w:pPr>
          </w:p>
        </w:tc>
        <w:tc>
          <w:tcPr>
            <w:tcW w:w="1425" w:type="dxa"/>
            <w:vAlign w:val="top"/>
          </w:tcPr>
          <w:p w14:paraId="09D5275C">
            <w:pPr>
              <w:rPr>
                <w:rFonts w:ascii="Arial"/>
                <w:color w:val="auto"/>
                <w:sz w:val="21"/>
                <w:highlight w:val="none"/>
              </w:rPr>
            </w:pPr>
          </w:p>
        </w:tc>
        <w:tc>
          <w:tcPr>
            <w:tcW w:w="1434" w:type="dxa"/>
            <w:vAlign w:val="top"/>
          </w:tcPr>
          <w:p w14:paraId="5447D7C4">
            <w:pPr>
              <w:rPr>
                <w:rFonts w:ascii="Arial"/>
                <w:color w:val="auto"/>
                <w:sz w:val="21"/>
                <w:highlight w:val="none"/>
              </w:rPr>
            </w:pPr>
          </w:p>
        </w:tc>
      </w:tr>
      <w:tr w14:paraId="713CD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4C5D366">
            <w:pPr>
              <w:pStyle w:val="18"/>
              <w:spacing w:before="152" w:line="221" w:lineRule="auto"/>
              <w:ind w:left="121"/>
              <w:rPr>
                <w:color w:val="auto"/>
                <w:highlight w:val="none"/>
              </w:rPr>
            </w:pPr>
            <w:r>
              <w:rPr>
                <w:color w:val="auto"/>
                <w:spacing w:val="-1"/>
                <w:highlight w:val="none"/>
              </w:rPr>
              <w:t>2．总资产报酬率</w:t>
            </w:r>
          </w:p>
        </w:tc>
        <w:tc>
          <w:tcPr>
            <w:tcW w:w="773" w:type="dxa"/>
            <w:vAlign w:val="top"/>
          </w:tcPr>
          <w:p w14:paraId="09ACF635">
            <w:pPr>
              <w:spacing w:before="212" w:line="295"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5CFF68B0">
            <w:pPr>
              <w:rPr>
                <w:rFonts w:ascii="Arial"/>
                <w:color w:val="auto"/>
                <w:sz w:val="21"/>
                <w:highlight w:val="none"/>
              </w:rPr>
            </w:pPr>
          </w:p>
        </w:tc>
        <w:tc>
          <w:tcPr>
            <w:tcW w:w="1425" w:type="dxa"/>
            <w:vAlign w:val="top"/>
          </w:tcPr>
          <w:p w14:paraId="0F779CAF">
            <w:pPr>
              <w:rPr>
                <w:rFonts w:ascii="Arial"/>
                <w:color w:val="auto"/>
                <w:sz w:val="21"/>
                <w:highlight w:val="none"/>
              </w:rPr>
            </w:pPr>
          </w:p>
        </w:tc>
        <w:tc>
          <w:tcPr>
            <w:tcW w:w="1425" w:type="dxa"/>
            <w:vAlign w:val="top"/>
          </w:tcPr>
          <w:p w14:paraId="456E8DF3">
            <w:pPr>
              <w:rPr>
                <w:rFonts w:ascii="Arial"/>
                <w:color w:val="auto"/>
                <w:sz w:val="21"/>
                <w:highlight w:val="none"/>
              </w:rPr>
            </w:pPr>
          </w:p>
        </w:tc>
        <w:tc>
          <w:tcPr>
            <w:tcW w:w="1434" w:type="dxa"/>
            <w:vAlign w:val="top"/>
          </w:tcPr>
          <w:p w14:paraId="6646A038">
            <w:pPr>
              <w:rPr>
                <w:rFonts w:ascii="Arial"/>
                <w:color w:val="auto"/>
                <w:sz w:val="21"/>
                <w:highlight w:val="none"/>
              </w:rPr>
            </w:pPr>
          </w:p>
        </w:tc>
      </w:tr>
      <w:tr w14:paraId="48C8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09D26D66">
            <w:pPr>
              <w:pStyle w:val="18"/>
              <w:spacing w:before="34" w:line="221" w:lineRule="auto"/>
              <w:ind w:left="120" w:right="105" w:firstLine="2"/>
              <w:rPr>
                <w:color w:val="auto"/>
                <w:highlight w:val="none"/>
              </w:rPr>
            </w:pPr>
            <w:r>
              <w:rPr>
                <w:color w:val="auto"/>
                <w:spacing w:val="1"/>
                <w:highlight w:val="none"/>
              </w:rPr>
              <w:t>3．主营业务利润</w:t>
            </w:r>
            <w:r>
              <w:rPr>
                <w:color w:val="auto"/>
                <w:spacing w:val="6"/>
                <w:highlight w:val="none"/>
              </w:rPr>
              <w:t xml:space="preserve"> </w:t>
            </w:r>
            <w:r>
              <w:rPr>
                <w:color w:val="auto"/>
                <w:highlight w:val="none"/>
              </w:rPr>
              <w:t>率</w:t>
            </w:r>
          </w:p>
        </w:tc>
        <w:tc>
          <w:tcPr>
            <w:tcW w:w="773" w:type="dxa"/>
            <w:vAlign w:val="top"/>
          </w:tcPr>
          <w:p w14:paraId="00D3A7B8">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0F7C28E">
            <w:pPr>
              <w:rPr>
                <w:rFonts w:ascii="Arial"/>
                <w:color w:val="auto"/>
                <w:sz w:val="21"/>
                <w:highlight w:val="none"/>
              </w:rPr>
            </w:pPr>
          </w:p>
        </w:tc>
        <w:tc>
          <w:tcPr>
            <w:tcW w:w="1425" w:type="dxa"/>
            <w:vAlign w:val="top"/>
          </w:tcPr>
          <w:p w14:paraId="52DF1C61">
            <w:pPr>
              <w:rPr>
                <w:rFonts w:ascii="Arial"/>
                <w:color w:val="auto"/>
                <w:sz w:val="21"/>
                <w:highlight w:val="none"/>
              </w:rPr>
            </w:pPr>
          </w:p>
        </w:tc>
        <w:tc>
          <w:tcPr>
            <w:tcW w:w="1425" w:type="dxa"/>
            <w:vAlign w:val="top"/>
          </w:tcPr>
          <w:p w14:paraId="4FC23BD6">
            <w:pPr>
              <w:rPr>
                <w:rFonts w:ascii="Arial"/>
                <w:color w:val="auto"/>
                <w:sz w:val="21"/>
                <w:highlight w:val="none"/>
              </w:rPr>
            </w:pPr>
          </w:p>
        </w:tc>
        <w:tc>
          <w:tcPr>
            <w:tcW w:w="1434" w:type="dxa"/>
            <w:vAlign w:val="top"/>
          </w:tcPr>
          <w:p w14:paraId="795B1611">
            <w:pPr>
              <w:pStyle w:val="18"/>
              <w:spacing w:before="268" w:line="141" w:lineRule="exact"/>
              <w:ind w:left="668"/>
              <w:rPr>
                <w:color w:val="auto"/>
                <w:highlight w:val="none"/>
              </w:rPr>
            </w:pPr>
            <w:r>
              <w:rPr>
                <w:color w:val="auto"/>
                <w:position w:val="-3"/>
                <w:highlight w:val="none"/>
              </w:rPr>
              <w:t>-</w:t>
            </w:r>
          </w:p>
        </w:tc>
      </w:tr>
      <w:tr w14:paraId="1C73A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3DDAEC0C">
            <w:pPr>
              <w:pStyle w:val="18"/>
              <w:spacing w:before="153" w:line="221" w:lineRule="auto"/>
              <w:ind w:left="118"/>
              <w:rPr>
                <w:color w:val="auto"/>
                <w:highlight w:val="none"/>
              </w:rPr>
            </w:pPr>
            <w:r>
              <w:rPr>
                <w:color w:val="auto"/>
                <w:spacing w:val="-1"/>
                <w:highlight w:val="none"/>
              </w:rPr>
              <w:t>4．资产负债率</w:t>
            </w:r>
          </w:p>
        </w:tc>
        <w:tc>
          <w:tcPr>
            <w:tcW w:w="773" w:type="dxa"/>
            <w:vAlign w:val="top"/>
          </w:tcPr>
          <w:p w14:paraId="0E10DDA1">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7E371712">
            <w:pPr>
              <w:rPr>
                <w:rFonts w:ascii="Arial"/>
                <w:color w:val="auto"/>
                <w:sz w:val="21"/>
                <w:highlight w:val="none"/>
              </w:rPr>
            </w:pPr>
          </w:p>
        </w:tc>
        <w:tc>
          <w:tcPr>
            <w:tcW w:w="1425" w:type="dxa"/>
            <w:vAlign w:val="top"/>
          </w:tcPr>
          <w:p w14:paraId="3CC4B75D">
            <w:pPr>
              <w:rPr>
                <w:rFonts w:ascii="Arial"/>
                <w:color w:val="auto"/>
                <w:sz w:val="21"/>
                <w:highlight w:val="none"/>
              </w:rPr>
            </w:pPr>
          </w:p>
        </w:tc>
        <w:tc>
          <w:tcPr>
            <w:tcW w:w="1425" w:type="dxa"/>
            <w:vAlign w:val="top"/>
          </w:tcPr>
          <w:p w14:paraId="7B7421E8">
            <w:pPr>
              <w:rPr>
                <w:rFonts w:ascii="Arial"/>
                <w:color w:val="auto"/>
                <w:sz w:val="21"/>
                <w:highlight w:val="none"/>
              </w:rPr>
            </w:pPr>
          </w:p>
        </w:tc>
        <w:tc>
          <w:tcPr>
            <w:tcW w:w="1434" w:type="dxa"/>
            <w:vAlign w:val="top"/>
          </w:tcPr>
          <w:p w14:paraId="2B4916D8">
            <w:pPr>
              <w:rPr>
                <w:rFonts w:ascii="Arial"/>
                <w:color w:val="auto"/>
                <w:sz w:val="21"/>
                <w:highlight w:val="none"/>
              </w:rPr>
            </w:pPr>
          </w:p>
        </w:tc>
      </w:tr>
      <w:tr w14:paraId="79CB3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1DE5E514">
            <w:pPr>
              <w:pStyle w:val="18"/>
              <w:spacing w:before="148" w:line="221" w:lineRule="auto"/>
              <w:ind w:left="123"/>
              <w:rPr>
                <w:color w:val="auto"/>
                <w:highlight w:val="none"/>
              </w:rPr>
            </w:pPr>
            <w:r>
              <w:rPr>
                <w:color w:val="auto"/>
                <w:spacing w:val="-1"/>
                <w:highlight w:val="none"/>
              </w:rPr>
              <w:t>5．流动比率</w:t>
            </w:r>
          </w:p>
        </w:tc>
        <w:tc>
          <w:tcPr>
            <w:tcW w:w="773" w:type="dxa"/>
            <w:vAlign w:val="top"/>
          </w:tcPr>
          <w:p w14:paraId="4769B46E">
            <w:pPr>
              <w:spacing w:before="208" w:line="294"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2CFA5786">
            <w:pPr>
              <w:rPr>
                <w:rFonts w:ascii="Arial"/>
                <w:color w:val="auto"/>
                <w:sz w:val="21"/>
                <w:highlight w:val="none"/>
              </w:rPr>
            </w:pPr>
          </w:p>
        </w:tc>
        <w:tc>
          <w:tcPr>
            <w:tcW w:w="1425" w:type="dxa"/>
            <w:vAlign w:val="top"/>
          </w:tcPr>
          <w:p w14:paraId="28368B76">
            <w:pPr>
              <w:rPr>
                <w:rFonts w:ascii="Arial"/>
                <w:color w:val="auto"/>
                <w:sz w:val="21"/>
                <w:highlight w:val="none"/>
              </w:rPr>
            </w:pPr>
          </w:p>
        </w:tc>
        <w:tc>
          <w:tcPr>
            <w:tcW w:w="1425" w:type="dxa"/>
            <w:vAlign w:val="top"/>
          </w:tcPr>
          <w:p w14:paraId="513CD892">
            <w:pPr>
              <w:rPr>
                <w:rFonts w:ascii="Arial"/>
                <w:color w:val="auto"/>
                <w:sz w:val="21"/>
                <w:highlight w:val="none"/>
              </w:rPr>
            </w:pPr>
          </w:p>
        </w:tc>
        <w:tc>
          <w:tcPr>
            <w:tcW w:w="1434" w:type="dxa"/>
            <w:vAlign w:val="top"/>
          </w:tcPr>
          <w:p w14:paraId="0AD1714E">
            <w:pPr>
              <w:rPr>
                <w:rFonts w:ascii="Arial"/>
                <w:color w:val="auto"/>
                <w:sz w:val="21"/>
                <w:highlight w:val="none"/>
              </w:rPr>
            </w:pPr>
          </w:p>
        </w:tc>
      </w:tr>
      <w:tr w14:paraId="37E1C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828CD8A">
            <w:pPr>
              <w:pStyle w:val="18"/>
              <w:spacing w:before="154" w:line="221" w:lineRule="auto"/>
              <w:ind w:left="120"/>
              <w:rPr>
                <w:color w:val="auto"/>
                <w:highlight w:val="none"/>
              </w:rPr>
            </w:pPr>
            <w:r>
              <w:rPr>
                <w:color w:val="auto"/>
                <w:spacing w:val="-1"/>
                <w:highlight w:val="none"/>
              </w:rPr>
              <w:t>6．速动比率</w:t>
            </w:r>
          </w:p>
        </w:tc>
        <w:tc>
          <w:tcPr>
            <w:tcW w:w="773" w:type="dxa"/>
            <w:vAlign w:val="top"/>
          </w:tcPr>
          <w:p w14:paraId="04F4E52D">
            <w:pPr>
              <w:spacing w:before="209"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4D9C935C">
            <w:pPr>
              <w:rPr>
                <w:rFonts w:ascii="Arial"/>
                <w:color w:val="auto"/>
                <w:sz w:val="21"/>
                <w:highlight w:val="none"/>
              </w:rPr>
            </w:pPr>
          </w:p>
        </w:tc>
        <w:tc>
          <w:tcPr>
            <w:tcW w:w="1425" w:type="dxa"/>
            <w:vAlign w:val="top"/>
          </w:tcPr>
          <w:p w14:paraId="26B5F0FF">
            <w:pPr>
              <w:rPr>
                <w:rFonts w:ascii="Arial"/>
                <w:color w:val="auto"/>
                <w:sz w:val="21"/>
                <w:highlight w:val="none"/>
              </w:rPr>
            </w:pPr>
          </w:p>
        </w:tc>
        <w:tc>
          <w:tcPr>
            <w:tcW w:w="1425" w:type="dxa"/>
            <w:vAlign w:val="top"/>
          </w:tcPr>
          <w:p w14:paraId="2359413F">
            <w:pPr>
              <w:rPr>
                <w:rFonts w:ascii="Arial"/>
                <w:color w:val="auto"/>
                <w:sz w:val="21"/>
                <w:highlight w:val="none"/>
              </w:rPr>
            </w:pPr>
          </w:p>
        </w:tc>
        <w:tc>
          <w:tcPr>
            <w:tcW w:w="1434" w:type="dxa"/>
            <w:vAlign w:val="top"/>
          </w:tcPr>
          <w:p w14:paraId="4CA17C77">
            <w:pPr>
              <w:rPr>
                <w:rFonts w:ascii="Arial"/>
                <w:color w:val="auto"/>
                <w:sz w:val="21"/>
                <w:highlight w:val="none"/>
              </w:rPr>
            </w:pPr>
          </w:p>
        </w:tc>
      </w:tr>
    </w:tbl>
    <w:p w14:paraId="1F09677F">
      <w:pPr>
        <w:spacing w:before="77"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 1.本表后应附近年经会计师事务所或审计机构审计的</w:t>
      </w:r>
      <w:r>
        <w:rPr>
          <w:rFonts w:ascii="宋体" w:hAnsi="宋体" w:eastAsia="宋体" w:cs="宋体"/>
          <w:color w:val="auto"/>
          <w:spacing w:val="-4"/>
          <w:sz w:val="21"/>
          <w:szCs w:val="21"/>
          <w:highlight w:val="none"/>
        </w:rPr>
        <w:t>财务会计报表。</w:t>
      </w:r>
    </w:p>
    <w:p w14:paraId="0BD0EA4C">
      <w:pPr>
        <w:spacing w:before="75" w:line="254" w:lineRule="auto"/>
        <w:ind w:left="965" w:right="2" w:hanging="311"/>
        <w:rPr>
          <w:rFonts w:ascii="宋体" w:hAnsi="宋体" w:eastAsia="宋体" w:cs="宋体"/>
          <w:color w:val="auto"/>
          <w:sz w:val="21"/>
          <w:szCs w:val="21"/>
          <w:highlight w:val="none"/>
        </w:rPr>
      </w:pPr>
      <w:r>
        <w:rPr>
          <w:rFonts w:ascii="宋体" w:hAnsi="宋体" w:eastAsia="宋体" w:cs="宋体"/>
          <w:color w:val="auto"/>
          <w:sz w:val="21"/>
          <w:szCs w:val="21"/>
          <w:highlight w:val="none"/>
        </w:rPr>
        <w:t>2.本表所列数据必须与本表各附件中的数据相一致。 如果有不一致之处，以不利于</w:t>
      </w:r>
      <w:r>
        <w:rPr>
          <w:rFonts w:ascii="宋体" w:hAnsi="宋体" w:eastAsia="宋体" w:cs="宋体"/>
          <w:color w:val="auto"/>
          <w:spacing w:val="8"/>
          <w:sz w:val="21"/>
          <w:szCs w:val="21"/>
          <w:highlight w:val="none"/>
        </w:rPr>
        <w:t xml:space="preserve"> </w:t>
      </w:r>
      <w:r>
        <w:rPr>
          <w:rFonts w:ascii="宋体" w:hAnsi="宋体" w:eastAsia="宋体" w:cs="宋体"/>
          <w:color w:val="auto"/>
          <w:spacing w:val="-4"/>
          <w:sz w:val="21"/>
          <w:szCs w:val="21"/>
          <w:highlight w:val="none"/>
        </w:rPr>
        <w:t>投标人的数据为准。</w:t>
      </w:r>
    </w:p>
    <w:p w14:paraId="190D2E0A">
      <w:pPr>
        <w:spacing w:before="71" w:line="221" w:lineRule="auto"/>
        <w:ind w:left="65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3.联合体投标的，联合体各成员应分别填写。</w:t>
      </w:r>
    </w:p>
    <w:p w14:paraId="6E491528">
      <w:pPr>
        <w:spacing w:line="221" w:lineRule="auto"/>
        <w:rPr>
          <w:rFonts w:ascii="宋体" w:hAnsi="宋体" w:eastAsia="宋体" w:cs="宋体"/>
          <w:color w:val="auto"/>
          <w:sz w:val="21"/>
          <w:szCs w:val="21"/>
          <w:highlight w:val="none"/>
        </w:rPr>
        <w:sectPr>
          <w:footerReference r:id="rId174" w:type="default"/>
          <w:pgSz w:w="11905" w:h="16839"/>
          <w:pgMar w:top="400" w:right="1785" w:bottom="1004" w:left="1785" w:header="0" w:footer="828" w:gutter="0"/>
          <w:pgNumType w:fmt="decimal"/>
          <w:cols w:space="720" w:num="1"/>
        </w:sectPr>
      </w:pPr>
    </w:p>
    <w:p w14:paraId="13D0B2D0">
      <w:pPr>
        <w:pStyle w:val="5"/>
        <w:spacing w:line="267" w:lineRule="auto"/>
        <w:rPr>
          <w:color w:val="auto"/>
          <w:highlight w:val="none"/>
        </w:rPr>
      </w:pPr>
    </w:p>
    <w:p w14:paraId="021A593B">
      <w:pPr>
        <w:pStyle w:val="5"/>
        <w:spacing w:line="268" w:lineRule="auto"/>
        <w:rPr>
          <w:color w:val="auto"/>
          <w:highlight w:val="none"/>
        </w:rPr>
      </w:pPr>
    </w:p>
    <w:p w14:paraId="4DCC0B07">
      <w:pPr>
        <w:pStyle w:val="5"/>
        <w:spacing w:line="268" w:lineRule="auto"/>
        <w:rPr>
          <w:color w:val="auto"/>
          <w:highlight w:val="none"/>
        </w:rPr>
      </w:pPr>
    </w:p>
    <w:p w14:paraId="68693D7A">
      <w:pPr>
        <w:pStyle w:val="5"/>
        <w:spacing w:line="268" w:lineRule="auto"/>
        <w:rPr>
          <w:color w:val="auto"/>
          <w:highlight w:val="none"/>
        </w:rPr>
      </w:pPr>
    </w:p>
    <w:p w14:paraId="27F54EFD">
      <w:pPr>
        <w:spacing w:before="78" w:line="218" w:lineRule="auto"/>
        <w:ind w:left="2766"/>
        <w:rPr>
          <w:rFonts w:ascii="黑体" w:hAnsi="黑体" w:eastAsia="黑体" w:cs="黑体"/>
          <w:color w:val="auto"/>
          <w:sz w:val="24"/>
          <w:szCs w:val="24"/>
          <w:highlight w:val="none"/>
        </w:rPr>
      </w:pPr>
      <w:bookmarkStart w:id="1766" w:name="bookmark321"/>
      <w:bookmarkEnd w:id="1766"/>
      <w:r>
        <w:rPr>
          <w:rFonts w:ascii="黑体" w:hAnsi="黑体" w:eastAsia="黑体" w:cs="黑体"/>
          <w:color w:val="auto"/>
          <w:spacing w:val="-3"/>
          <w:sz w:val="24"/>
          <w:szCs w:val="24"/>
          <w:highlight w:val="none"/>
        </w:rPr>
        <w:t>（三）近年完成的类似项目情况</w:t>
      </w:r>
    </w:p>
    <w:p w14:paraId="41780F5D">
      <w:pPr>
        <w:pStyle w:val="5"/>
        <w:spacing w:line="475" w:lineRule="auto"/>
        <w:rPr>
          <w:color w:val="auto"/>
          <w:highlight w:val="none"/>
        </w:rPr>
      </w:pPr>
    </w:p>
    <w:p w14:paraId="72473425">
      <w:pPr>
        <w:spacing w:before="78" w:line="218" w:lineRule="auto"/>
        <w:ind w:left="280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3-</w:t>
      </w:r>
      <w:r>
        <w:rPr>
          <w:rFonts w:ascii="Times New Roman" w:hAnsi="Times New Roman" w:eastAsia="Times New Roman" w:cs="Times New Roman"/>
          <w:color w:val="auto"/>
          <w:spacing w:val="-18"/>
          <w:sz w:val="24"/>
          <w:szCs w:val="24"/>
          <w:highlight w:val="none"/>
        </w:rPr>
        <w:t xml:space="preserve"> </w:t>
      </w:r>
      <w:r>
        <w:rPr>
          <w:rFonts w:ascii="Times New Roman" w:hAnsi="Times New Roman" w:eastAsia="Times New Roman" w:cs="Times New Roman"/>
          <w:color w:val="auto"/>
          <w:spacing w:val="-3"/>
          <w:sz w:val="24"/>
          <w:szCs w:val="24"/>
          <w:highlight w:val="none"/>
        </w:rPr>
        <w:t xml:space="preserve">1 </w:t>
      </w:r>
      <w:r>
        <w:rPr>
          <w:rFonts w:ascii="黑体" w:hAnsi="黑体" w:eastAsia="黑体" w:cs="黑体"/>
          <w:color w:val="auto"/>
          <w:spacing w:val="-3"/>
          <w:sz w:val="24"/>
          <w:szCs w:val="24"/>
          <w:highlight w:val="none"/>
        </w:rPr>
        <w:t>近年完成的类似项目汇总表</w:t>
      </w:r>
    </w:p>
    <w:tbl>
      <w:tblPr>
        <w:tblStyle w:val="17"/>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5B29D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30CF4C32">
            <w:pPr>
              <w:pStyle w:val="18"/>
              <w:spacing w:before="167" w:line="211" w:lineRule="auto"/>
              <w:ind w:left="159"/>
              <w:rPr>
                <w:color w:val="auto"/>
                <w:highlight w:val="none"/>
              </w:rPr>
            </w:pPr>
            <w:r>
              <w:rPr>
                <w:color w:val="auto"/>
                <w:spacing w:val="1"/>
                <w:highlight w:val="none"/>
              </w:rPr>
              <w:t>序</w:t>
            </w:r>
            <w:r>
              <w:rPr>
                <w:color w:val="auto"/>
                <w:spacing w:val="86"/>
                <w:highlight w:val="none"/>
              </w:rPr>
              <w:t xml:space="preserve"> </w:t>
            </w:r>
            <w:r>
              <w:rPr>
                <w:color w:val="auto"/>
                <w:spacing w:val="1"/>
                <w:highlight w:val="none"/>
              </w:rPr>
              <w:t>号</w:t>
            </w:r>
          </w:p>
        </w:tc>
        <w:tc>
          <w:tcPr>
            <w:tcW w:w="1842" w:type="dxa"/>
            <w:vAlign w:val="top"/>
          </w:tcPr>
          <w:p w14:paraId="77A1969F">
            <w:pPr>
              <w:spacing w:line="291" w:lineRule="auto"/>
              <w:rPr>
                <w:rFonts w:ascii="Arial"/>
                <w:color w:val="auto"/>
                <w:sz w:val="21"/>
                <w:highlight w:val="none"/>
              </w:rPr>
            </w:pPr>
          </w:p>
          <w:p w14:paraId="0E04316B">
            <w:pPr>
              <w:pStyle w:val="18"/>
              <w:spacing w:before="68" w:line="221" w:lineRule="auto"/>
              <w:ind w:left="506"/>
              <w:rPr>
                <w:color w:val="auto"/>
                <w:highlight w:val="none"/>
              </w:rPr>
            </w:pPr>
            <w:r>
              <w:rPr>
                <w:color w:val="auto"/>
                <w:spacing w:val="-2"/>
                <w:highlight w:val="none"/>
              </w:rPr>
              <w:t>项目名称</w:t>
            </w:r>
          </w:p>
        </w:tc>
        <w:tc>
          <w:tcPr>
            <w:tcW w:w="1397" w:type="dxa"/>
            <w:vAlign w:val="top"/>
          </w:tcPr>
          <w:p w14:paraId="17567BB4">
            <w:pPr>
              <w:spacing w:line="291" w:lineRule="auto"/>
              <w:rPr>
                <w:rFonts w:ascii="Arial"/>
                <w:color w:val="auto"/>
                <w:sz w:val="21"/>
                <w:highlight w:val="none"/>
              </w:rPr>
            </w:pPr>
          </w:p>
          <w:p w14:paraId="23D5B634">
            <w:pPr>
              <w:pStyle w:val="18"/>
              <w:spacing w:before="68" w:line="221" w:lineRule="auto"/>
              <w:ind w:left="181"/>
              <w:rPr>
                <w:color w:val="auto"/>
                <w:highlight w:val="none"/>
              </w:rPr>
            </w:pPr>
            <w:r>
              <w:rPr>
                <w:color w:val="auto"/>
                <w:spacing w:val="-1"/>
                <w:highlight w:val="none"/>
              </w:rPr>
              <w:t>发包人名称</w:t>
            </w:r>
          </w:p>
        </w:tc>
        <w:tc>
          <w:tcPr>
            <w:tcW w:w="1080" w:type="dxa"/>
            <w:vAlign w:val="top"/>
          </w:tcPr>
          <w:p w14:paraId="3E655799">
            <w:pPr>
              <w:spacing w:line="290" w:lineRule="auto"/>
              <w:rPr>
                <w:rFonts w:ascii="Arial"/>
                <w:color w:val="auto"/>
                <w:sz w:val="21"/>
                <w:highlight w:val="none"/>
              </w:rPr>
            </w:pPr>
          </w:p>
          <w:p w14:paraId="7777C560">
            <w:pPr>
              <w:pStyle w:val="18"/>
              <w:spacing w:before="68" w:line="221" w:lineRule="auto"/>
              <w:ind w:left="123"/>
              <w:rPr>
                <w:color w:val="auto"/>
                <w:highlight w:val="none"/>
              </w:rPr>
            </w:pPr>
            <w:r>
              <w:rPr>
                <w:color w:val="auto"/>
                <w:spacing w:val="-2"/>
                <w:highlight w:val="none"/>
              </w:rPr>
              <w:t>工程规模</w:t>
            </w:r>
          </w:p>
        </w:tc>
        <w:tc>
          <w:tcPr>
            <w:tcW w:w="1108" w:type="dxa"/>
            <w:vAlign w:val="top"/>
          </w:tcPr>
          <w:p w14:paraId="6952E943">
            <w:pPr>
              <w:pStyle w:val="18"/>
              <w:spacing w:before="159" w:line="403" w:lineRule="exact"/>
              <w:ind w:left="141"/>
              <w:rPr>
                <w:color w:val="auto"/>
                <w:highlight w:val="none"/>
              </w:rPr>
            </w:pPr>
            <w:r>
              <w:rPr>
                <w:color w:val="auto"/>
                <w:spacing w:val="-1"/>
                <w:position w:val="14"/>
                <w:highlight w:val="none"/>
              </w:rPr>
              <w:t>合同价格</w:t>
            </w:r>
          </w:p>
          <w:p w14:paraId="7AF56AEE">
            <w:pPr>
              <w:pStyle w:val="18"/>
              <w:spacing w:line="209" w:lineRule="auto"/>
              <w:ind w:left="199"/>
              <w:rPr>
                <w:color w:val="auto"/>
                <w:highlight w:val="none"/>
              </w:rPr>
            </w:pPr>
            <w:r>
              <w:rPr>
                <w:color w:val="auto"/>
                <w:spacing w:val="-6"/>
                <w:highlight w:val="none"/>
              </w:rPr>
              <w:t>（元）</w:t>
            </w:r>
          </w:p>
        </w:tc>
        <w:tc>
          <w:tcPr>
            <w:tcW w:w="1781" w:type="dxa"/>
            <w:vAlign w:val="top"/>
          </w:tcPr>
          <w:p w14:paraId="40145C8C">
            <w:pPr>
              <w:spacing w:line="290" w:lineRule="auto"/>
              <w:rPr>
                <w:rFonts w:ascii="Arial"/>
                <w:color w:val="auto"/>
                <w:sz w:val="21"/>
                <w:highlight w:val="none"/>
              </w:rPr>
            </w:pPr>
          </w:p>
          <w:p w14:paraId="58D39A8D">
            <w:pPr>
              <w:pStyle w:val="18"/>
              <w:spacing w:before="68" w:line="221" w:lineRule="auto"/>
              <w:ind w:left="267"/>
              <w:rPr>
                <w:color w:val="auto"/>
                <w:highlight w:val="none"/>
              </w:rPr>
            </w:pPr>
            <w:r>
              <w:rPr>
                <w:color w:val="auto"/>
                <w:spacing w:val="-1"/>
                <w:highlight w:val="none"/>
              </w:rPr>
              <w:t>开、竣工日期</w:t>
            </w:r>
          </w:p>
        </w:tc>
        <w:tc>
          <w:tcPr>
            <w:tcW w:w="1084" w:type="dxa"/>
            <w:vAlign w:val="top"/>
          </w:tcPr>
          <w:p w14:paraId="6E8B63C9">
            <w:pPr>
              <w:spacing w:line="291" w:lineRule="auto"/>
              <w:rPr>
                <w:rFonts w:ascii="Arial"/>
                <w:color w:val="auto"/>
                <w:sz w:val="21"/>
                <w:highlight w:val="none"/>
              </w:rPr>
            </w:pPr>
          </w:p>
          <w:p w14:paraId="59861886">
            <w:pPr>
              <w:pStyle w:val="18"/>
              <w:spacing w:before="68" w:line="221" w:lineRule="auto"/>
              <w:ind w:left="131"/>
              <w:rPr>
                <w:color w:val="auto"/>
                <w:highlight w:val="none"/>
              </w:rPr>
            </w:pPr>
            <w:r>
              <w:rPr>
                <w:color w:val="auto"/>
                <w:spacing w:val="-2"/>
                <w:highlight w:val="none"/>
              </w:rPr>
              <w:t>项目经理</w:t>
            </w:r>
          </w:p>
        </w:tc>
      </w:tr>
      <w:tr w14:paraId="6E28E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998CEDE">
            <w:pPr>
              <w:rPr>
                <w:rFonts w:ascii="Arial"/>
                <w:color w:val="auto"/>
                <w:sz w:val="21"/>
                <w:highlight w:val="none"/>
              </w:rPr>
            </w:pPr>
          </w:p>
        </w:tc>
        <w:tc>
          <w:tcPr>
            <w:tcW w:w="1842" w:type="dxa"/>
            <w:vAlign w:val="top"/>
          </w:tcPr>
          <w:p w14:paraId="0983F29D">
            <w:pPr>
              <w:rPr>
                <w:rFonts w:ascii="Arial"/>
                <w:color w:val="auto"/>
                <w:sz w:val="21"/>
                <w:highlight w:val="none"/>
              </w:rPr>
            </w:pPr>
          </w:p>
        </w:tc>
        <w:tc>
          <w:tcPr>
            <w:tcW w:w="1397" w:type="dxa"/>
            <w:vAlign w:val="top"/>
          </w:tcPr>
          <w:p w14:paraId="6B4D0EC9">
            <w:pPr>
              <w:rPr>
                <w:rFonts w:ascii="Arial"/>
                <w:color w:val="auto"/>
                <w:sz w:val="21"/>
                <w:highlight w:val="none"/>
              </w:rPr>
            </w:pPr>
          </w:p>
        </w:tc>
        <w:tc>
          <w:tcPr>
            <w:tcW w:w="1080" w:type="dxa"/>
            <w:vAlign w:val="top"/>
          </w:tcPr>
          <w:p w14:paraId="7A29D6D5">
            <w:pPr>
              <w:rPr>
                <w:rFonts w:ascii="Arial"/>
                <w:color w:val="auto"/>
                <w:sz w:val="21"/>
                <w:highlight w:val="none"/>
              </w:rPr>
            </w:pPr>
          </w:p>
        </w:tc>
        <w:tc>
          <w:tcPr>
            <w:tcW w:w="1108" w:type="dxa"/>
            <w:vAlign w:val="top"/>
          </w:tcPr>
          <w:p w14:paraId="497151FD">
            <w:pPr>
              <w:rPr>
                <w:rFonts w:ascii="Arial"/>
                <w:color w:val="auto"/>
                <w:sz w:val="21"/>
                <w:highlight w:val="none"/>
              </w:rPr>
            </w:pPr>
          </w:p>
        </w:tc>
        <w:tc>
          <w:tcPr>
            <w:tcW w:w="1781" w:type="dxa"/>
            <w:vAlign w:val="top"/>
          </w:tcPr>
          <w:p w14:paraId="70437D12">
            <w:pPr>
              <w:rPr>
                <w:rFonts w:ascii="Arial"/>
                <w:color w:val="auto"/>
                <w:sz w:val="21"/>
                <w:highlight w:val="none"/>
              </w:rPr>
            </w:pPr>
          </w:p>
        </w:tc>
        <w:tc>
          <w:tcPr>
            <w:tcW w:w="1084" w:type="dxa"/>
            <w:vAlign w:val="top"/>
          </w:tcPr>
          <w:p w14:paraId="4A9DC5CC">
            <w:pPr>
              <w:rPr>
                <w:rFonts w:ascii="Arial"/>
                <w:color w:val="auto"/>
                <w:sz w:val="21"/>
                <w:highlight w:val="none"/>
              </w:rPr>
            </w:pPr>
          </w:p>
        </w:tc>
      </w:tr>
      <w:tr w14:paraId="2E019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99ACD48">
            <w:pPr>
              <w:rPr>
                <w:rFonts w:ascii="Arial"/>
                <w:color w:val="auto"/>
                <w:sz w:val="21"/>
                <w:highlight w:val="none"/>
              </w:rPr>
            </w:pPr>
          </w:p>
        </w:tc>
        <w:tc>
          <w:tcPr>
            <w:tcW w:w="1842" w:type="dxa"/>
            <w:vAlign w:val="top"/>
          </w:tcPr>
          <w:p w14:paraId="022A0CFE">
            <w:pPr>
              <w:rPr>
                <w:rFonts w:ascii="Arial"/>
                <w:color w:val="auto"/>
                <w:sz w:val="21"/>
                <w:highlight w:val="none"/>
              </w:rPr>
            </w:pPr>
          </w:p>
        </w:tc>
        <w:tc>
          <w:tcPr>
            <w:tcW w:w="1397" w:type="dxa"/>
            <w:vAlign w:val="top"/>
          </w:tcPr>
          <w:p w14:paraId="1A52B57D">
            <w:pPr>
              <w:rPr>
                <w:rFonts w:ascii="Arial"/>
                <w:color w:val="auto"/>
                <w:sz w:val="21"/>
                <w:highlight w:val="none"/>
              </w:rPr>
            </w:pPr>
          </w:p>
        </w:tc>
        <w:tc>
          <w:tcPr>
            <w:tcW w:w="1080" w:type="dxa"/>
            <w:vAlign w:val="top"/>
          </w:tcPr>
          <w:p w14:paraId="11B39B93">
            <w:pPr>
              <w:rPr>
                <w:rFonts w:ascii="Arial"/>
                <w:color w:val="auto"/>
                <w:sz w:val="21"/>
                <w:highlight w:val="none"/>
              </w:rPr>
            </w:pPr>
          </w:p>
        </w:tc>
        <w:tc>
          <w:tcPr>
            <w:tcW w:w="1108" w:type="dxa"/>
            <w:vAlign w:val="top"/>
          </w:tcPr>
          <w:p w14:paraId="08C793F0">
            <w:pPr>
              <w:rPr>
                <w:rFonts w:ascii="Arial"/>
                <w:color w:val="auto"/>
                <w:sz w:val="21"/>
                <w:highlight w:val="none"/>
              </w:rPr>
            </w:pPr>
          </w:p>
        </w:tc>
        <w:tc>
          <w:tcPr>
            <w:tcW w:w="1781" w:type="dxa"/>
            <w:vAlign w:val="top"/>
          </w:tcPr>
          <w:p w14:paraId="5D900C22">
            <w:pPr>
              <w:rPr>
                <w:rFonts w:ascii="Arial"/>
                <w:color w:val="auto"/>
                <w:sz w:val="21"/>
                <w:highlight w:val="none"/>
              </w:rPr>
            </w:pPr>
          </w:p>
        </w:tc>
        <w:tc>
          <w:tcPr>
            <w:tcW w:w="1084" w:type="dxa"/>
            <w:vAlign w:val="top"/>
          </w:tcPr>
          <w:p w14:paraId="1E991E4B">
            <w:pPr>
              <w:rPr>
                <w:rFonts w:ascii="Arial"/>
                <w:color w:val="auto"/>
                <w:sz w:val="21"/>
                <w:highlight w:val="none"/>
              </w:rPr>
            </w:pPr>
          </w:p>
        </w:tc>
      </w:tr>
      <w:tr w14:paraId="565BC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1F1E547">
            <w:pPr>
              <w:rPr>
                <w:rFonts w:ascii="Arial"/>
                <w:color w:val="auto"/>
                <w:sz w:val="21"/>
                <w:highlight w:val="none"/>
              </w:rPr>
            </w:pPr>
          </w:p>
        </w:tc>
        <w:tc>
          <w:tcPr>
            <w:tcW w:w="1842" w:type="dxa"/>
            <w:vAlign w:val="top"/>
          </w:tcPr>
          <w:p w14:paraId="61340EF3">
            <w:pPr>
              <w:rPr>
                <w:rFonts w:ascii="Arial"/>
                <w:color w:val="auto"/>
                <w:sz w:val="21"/>
                <w:highlight w:val="none"/>
              </w:rPr>
            </w:pPr>
          </w:p>
        </w:tc>
        <w:tc>
          <w:tcPr>
            <w:tcW w:w="1397" w:type="dxa"/>
            <w:vAlign w:val="top"/>
          </w:tcPr>
          <w:p w14:paraId="3C252A55">
            <w:pPr>
              <w:rPr>
                <w:rFonts w:ascii="Arial"/>
                <w:color w:val="auto"/>
                <w:sz w:val="21"/>
                <w:highlight w:val="none"/>
              </w:rPr>
            </w:pPr>
          </w:p>
        </w:tc>
        <w:tc>
          <w:tcPr>
            <w:tcW w:w="1080" w:type="dxa"/>
            <w:vAlign w:val="top"/>
          </w:tcPr>
          <w:p w14:paraId="5F80769F">
            <w:pPr>
              <w:rPr>
                <w:rFonts w:ascii="Arial"/>
                <w:color w:val="auto"/>
                <w:sz w:val="21"/>
                <w:highlight w:val="none"/>
              </w:rPr>
            </w:pPr>
          </w:p>
        </w:tc>
        <w:tc>
          <w:tcPr>
            <w:tcW w:w="1108" w:type="dxa"/>
            <w:vAlign w:val="top"/>
          </w:tcPr>
          <w:p w14:paraId="209FD6FB">
            <w:pPr>
              <w:rPr>
                <w:rFonts w:ascii="Arial"/>
                <w:color w:val="auto"/>
                <w:sz w:val="21"/>
                <w:highlight w:val="none"/>
              </w:rPr>
            </w:pPr>
          </w:p>
        </w:tc>
        <w:tc>
          <w:tcPr>
            <w:tcW w:w="1781" w:type="dxa"/>
            <w:vAlign w:val="top"/>
          </w:tcPr>
          <w:p w14:paraId="64BAE183">
            <w:pPr>
              <w:rPr>
                <w:rFonts w:ascii="Arial"/>
                <w:color w:val="auto"/>
                <w:sz w:val="21"/>
                <w:highlight w:val="none"/>
              </w:rPr>
            </w:pPr>
          </w:p>
        </w:tc>
        <w:tc>
          <w:tcPr>
            <w:tcW w:w="1084" w:type="dxa"/>
            <w:vAlign w:val="top"/>
          </w:tcPr>
          <w:p w14:paraId="0EB6206C">
            <w:pPr>
              <w:rPr>
                <w:rFonts w:ascii="Arial"/>
                <w:color w:val="auto"/>
                <w:sz w:val="21"/>
                <w:highlight w:val="none"/>
              </w:rPr>
            </w:pPr>
          </w:p>
        </w:tc>
      </w:tr>
      <w:tr w14:paraId="639C6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CA36C31">
            <w:pPr>
              <w:rPr>
                <w:rFonts w:ascii="Arial"/>
                <w:color w:val="auto"/>
                <w:sz w:val="21"/>
                <w:highlight w:val="none"/>
              </w:rPr>
            </w:pPr>
          </w:p>
        </w:tc>
        <w:tc>
          <w:tcPr>
            <w:tcW w:w="1842" w:type="dxa"/>
            <w:vAlign w:val="top"/>
          </w:tcPr>
          <w:p w14:paraId="31981CA9">
            <w:pPr>
              <w:rPr>
                <w:rFonts w:ascii="Arial"/>
                <w:color w:val="auto"/>
                <w:sz w:val="21"/>
                <w:highlight w:val="none"/>
              </w:rPr>
            </w:pPr>
          </w:p>
        </w:tc>
        <w:tc>
          <w:tcPr>
            <w:tcW w:w="1397" w:type="dxa"/>
            <w:vAlign w:val="top"/>
          </w:tcPr>
          <w:p w14:paraId="05C1A8B0">
            <w:pPr>
              <w:rPr>
                <w:rFonts w:ascii="Arial"/>
                <w:color w:val="auto"/>
                <w:sz w:val="21"/>
                <w:highlight w:val="none"/>
              </w:rPr>
            </w:pPr>
          </w:p>
        </w:tc>
        <w:tc>
          <w:tcPr>
            <w:tcW w:w="1080" w:type="dxa"/>
            <w:vAlign w:val="top"/>
          </w:tcPr>
          <w:p w14:paraId="05D6C482">
            <w:pPr>
              <w:rPr>
                <w:rFonts w:ascii="Arial"/>
                <w:color w:val="auto"/>
                <w:sz w:val="21"/>
                <w:highlight w:val="none"/>
              </w:rPr>
            </w:pPr>
          </w:p>
        </w:tc>
        <w:tc>
          <w:tcPr>
            <w:tcW w:w="1108" w:type="dxa"/>
            <w:vAlign w:val="top"/>
          </w:tcPr>
          <w:p w14:paraId="62DB9212">
            <w:pPr>
              <w:rPr>
                <w:rFonts w:ascii="Arial"/>
                <w:color w:val="auto"/>
                <w:sz w:val="21"/>
                <w:highlight w:val="none"/>
              </w:rPr>
            </w:pPr>
          </w:p>
        </w:tc>
        <w:tc>
          <w:tcPr>
            <w:tcW w:w="1781" w:type="dxa"/>
            <w:vAlign w:val="top"/>
          </w:tcPr>
          <w:p w14:paraId="04E4A2B5">
            <w:pPr>
              <w:rPr>
                <w:rFonts w:ascii="Arial"/>
                <w:color w:val="auto"/>
                <w:sz w:val="21"/>
                <w:highlight w:val="none"/>
              </w:rPr>
            </w:pPr>
          </w:p>
        </w:tc>
        <w:tc>
          <w:tcPr>
            <w:tcW w:w="1084" w:type="dxa"/>
            <w:vAlign w:val="top"/>
          </w:tcPr>
          <w:p w14:paraId="3DFB4312">
            <w:pPr>
              <w:rPr>
                <w:rFonts w:ascii="Arial"/>
                <w:color w:val="auto"/>
                <w:sz w:val="21"/>
                <w:highlight w:val="none"/>
              </w:rPr>
            </w:pPr>
          </w:p>
        </w:tc>
      </w:tr>
      <w:tr w14:paraId="56577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2E19999">
            <w:pPr>
              <w:rPr>
                <w:rFonts w:ascii="Arial"/>
                <w:color w:val="auto"/>
                <w:sz w:val="21"/>
                <w:highlight w:val="none"/>
              </w:rPr>
            </w:pPr>
          </w:p>
        </w:tc>
        <w:tc>
          <w:tcPr>
            <w:tcW w:w="1842" w:type="dxa"/>
            <w:vAlign w:val="top"/>
          </w:tcPr>
          <w:p w14:paraId="12FAA668">
            <w:pPr>
              <w:rPr>
                <w:rFonts w:ascii="Arial"/>
                <w:color w:val="auto"/>
                <w:sz w:val="21"/>
                <w:highlight w:val="none"/>
              </w:rPr>
            </w:pPr>
          </w:p>
        </w:tc>
        <w:tc>
          <w:tcPr>
            <w:tcW w:w="1397" w:type="dxa"/>
            <w:vAlign w:val="top"/>
          </w:tcPr>
          <w:p w14:paraId="149B22B9">
            <w:pPr>
              <w:rPr>
                <w:rFonts w:ascii="Arial"/>
                <w:color w:val="auto"/>
                <w:sz w:val="21"/>
                <w:highlight w:val="none"/>
              </w:rPr>
            </w:pPr>
          </w:p>
        </w:tc>
        <w:tc>
          <w:tcPr>
            <w:tcW w:w="1080" w:type="dxa"/>
            <w:vAlign w:val="top"/>
          </w:tcPr>
          <w:p w14:paraId="40BBF4D0">
            <w:pPr>
              <w:rPr>
                <w:rFonts w:ascii="Arial"/>
                <w:color w:val="auto"/>
                <w:sz w:val="21"/>
                <w:highlight w:val="none"/>
              </w:rPr>
            </w:pPr>
          </w:p>
        </w:tc>
        <w:tc>
          <w:tcPr>
            <w:tcW w:w="1108" w:type="dxa"/>
            <w:vAlign w:val="top"/>
          </w:tcPr>
          <w:p w14:paraId="78FAEDD0">
            <w:pPr>
              <w:rPr>
                <w:rFonts w:ascii="Arial"/>
                <w:color w:val="auto"/>
                <w:sz w:val="21"/>
                <w:highlight w:val="none"/>
              </w:rPr>
            </w:pPr>
          </w:p>
        </w:tc>
        <w:tc>
          <w:tcPr>
            <w:tcW w:w="1781" w:type="dxa"/>
            <w:vAlign w:val="top"/>
          </w:tcPr>
          <w:p w14:paraId="18163FE6">
            <w:pPr>
              <w:rPr>
                <w:rFonts w:ascii="Arial"/>
                <w:color w:val="auto"/>
                <w:sz w:val="21"/>
                <w:highlight w:val="none"/>
              </w:rPr>
            </w:pPr>
          </w:p>
        </w:tc>
        <w:tc>
          <w:tcPr>
            <w:tcW w:w="1084" w:type="dxa"/>
            <w:vAlign w:val="top"/>
          </w:tcPr>
          <w:p w14:paraId="32947A54">
            <w:pPr>
              <w:rPr>
                <w:rFonts w:ascii="Arial"/>
                <w:color w:val="auto"/>
                <w:sz w:val="21"/>
                <w:highlight w:val="none"/>
              </w:rPr>
            </w:pPr>
          </w:p>
        </w:tc>
      </w:tr>
      <w:tr w14:paraId="20B17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06C6450A">
            <w:pPr>
              <w:rPr>
                <w:rFonts w:ascii="Arial"/>
                <w:color w:val="auto"/>
                <w:sz w:val="21"/>
                <w:highlight w:val="none"/>
              </w:rPr>
            </w:pPr>
          </w:p>
        </w:tc>
        <w:tc>
          <w:tcPr>
            <w:tcW w:w="1842" w:type="dxa"/>
            <w:vAlign w:val="top"/>
          </w:tcPr>
          <w:p w14:paraId="70C3A178">
            <w:pPr>
              <w:rPr>
                <w:rFonts w:ascii="Arial"/>
                <w:color w:val="auto"/>
                <w:sz w:val="21"/>
                <w:highlight w:val="none"/>
              </w:rPr>
            </w:pPr>
          </w:p>
        </w:tc>
        <w:tc>
          <w:tcPr>
            <w:tcW w:w="1397" w:type="dxa"/>
            <w:vAlign w:val="top"/>
          </w:tcPr>
          <w:p w14:paraId="7A040B95">
            <w:pPr>
              <w:rPr>
                <w:rFonts w:ascii="Arial"/>
                <w:color w:val="auto"/>
                <w:sz w:val="21"/>
                <w:highlight w:val="none"/>
              </w:rPr>
            </w:pPr>
          </w:p>
        </w:tc>
        <w:tc>
          <w:tcPr>
            <w:tcW w:w="1080" w:type="dxa"/>
            <w:vAlign w:val="top"/>
          </w:tcPr>
          <w:p w14:paraId="749D3254">
            <w:pPr>
              <w:rPr>
                <w:rFonts w:ascii="Arial"/>
                <w:color w:val="auto"/>
                <w:sz w:val="21"/>
                <w:highlight w:val="none"/>
              </w:rPr>
            </w:pPr>
          </w:p>
        </w:tc>
        <w:tc>
          <w:tcPr>
            <w:tcW w:w="1108" w:type="dxa"/>
            <w:vAlign w:val="top"/>
          </w:tcPr>
          <w:p w14:paraId="18E1D91D">
            <w:pPr>
              <w:rPr>
                <w:rFonts w:ascii="Arial"/>
                <w:color w:val="auto"/>
                <w:sz w:val="21"/>
                <w:highlight w:val="none"/>
              </w:rPr>
            </w:pPr>
          </w:p>
        </w:tc>
        <w:tc>
          <w:tcPr>
            <w:tcW w:w="1781" w:type="dxa"/>
            <w:vAlign w:val="top"/>
          </w:tcPr>
          <w:p w14:paraId="0B7C6C72">
            <w:pPr>
              <w:rPr>
                <w:rFonts w:ascii="Arial"/>
                <w:color w:val="auto"/>
                <w:sz w:val="21"/>
                <w:highlight w:val="none"/>
              </w:rPr>
            </w:pPr>
          </w:p>
        </w:tc>
        <w:tc>
          <w:tcPr>
            <w:tcW w:w="1084" w:type="dxa"/>
            <w:vAlign w:val="top"/>
          </w:tcPr>
          <w:p w14:paraId="65908A45">
            <w:pPr>
              <w:rPr>
                <w:rFonts w:ascii="Arial"/>
                <w:color w:val="auto"/>
                <w:sz w:val="21"/>
                <w:highlight w:val="none"/>
              </w:rPr>
            </w:pPr>
          </w:p>
        </w:tc>
      </w:tr>
      <w:tr w14:paraId="6A4AD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0A49561">
            <w:pPr>
              <w:rPr>
                <w:rFonts w:ascii="Arial"/>
                <w:color w:val="auto"/>
                <w:sz w:val="21"/>
                <w:highlight w:val="none"/>
              </w:rPr>
            </w:pPr>
          </w:p>
        </w:tc>
        <w:tc>
          <w:tcPr>
            <w:tcW w:w="1842" w:type="dxa"/>
            <w:vAlign w:val="top"/>
          </w:tcPr>
          <w:p w14:paraId="7D52853B">
            <w:pPr>
              <w:rPr>
                <w:rFonts w:ascii="Arial"/>
                <w:color w:val="auto"/>
                <w:sz w:val="21"/>
                <w:highlight w:val="none"/>
              </w:rPr>
            </w:pPr>
          </w:p>
        </w:tc>
        <w:tc>
          <w:tcPr>
            <w:tcW w:w="1397" w:type="dxa"/>
            <w:vAlign w:val="top"/>
          </w:tcPr>
          <w:p w14:paraId="1FB88B5A">
            <w:pPr>
              <w:rPr>
                <w:rFonts w:ascii="Arial"/>
                <w:color w:val="auto"/>
                <w:sz w:val="21"/>
                <w:highlight w:val="none"/>
              </w:rPr>
            </w:pPr>
          </w:p>
        </w:tc>
        <w:tc>
          <w:tcPr>
            <w:tcW w:w="1080" w:type="dxa"/>
            <w:vAlign w:val="top"/>
          </w:tcPr>
          <w:p w14:paraId="4A9B91E5">
            <w:pPr>
              <w:rPr>
                <w:rFonts w:ascii="Arial"/>
                <w:color w:val="auto"/>
                <w:sz w:val="21"/>
                <w:highlight w:val="none"/>
              </w:rPr>
            </w:pPr>
          </w:p>
        </w:tc>
        <w:tc>
          <w:tcPr>
            <w:tcW w:w="1108" w:type="dxa"/>
            <w:vAlign w:val="top"/>
          </w:tcPr>
          <w:p w14:paraId="6CC8B4F6">
            <w:pPr>
              <w:rPr>
                <w:rFonts w:ascii="Arial"/>
                <w:color w:val="auto"/>
                <w:sz w:val="21"/>
                <w:highlight w:val="none"/>
              </w:rPr>
            </w:pPr>
          </w:p>
        </w:tc>
        <w:tc>
          <w:tcPr>
            <w:tcW w:w="1781" w:type="dxa"/>
            <w:vAlign w:val="top"/>
          </w:tcPr>
          <w:p w14:paraId="3896F077">
            <w:pPr>
              <w:rPr>
                <w:rFonts w:ascii="Arial"/>
                <w:color w:val="auto"/>
                <w:sz w:val="21"/>
                <w:highlight w:val="none"/>
              </w:rPr>
            </w:pPr>
          </w:p>
        </w:tc>
        <w:tc>
          <w:tcPr>
            <w:tcW w:w="1084" w:type="dxa"/>
            <w:vAlign w:val="top"/>
          </w:tcPr>
          <w:p w14:paraId="7362F813">
            <w:pPr>
              <w:rPr>
                <w:rFonts w:ascii="Arial"/>
                <w:color w:val="auto"/>
                <w:sz w:val="21"/>
                <w:highlight w:val="none"/>
              </w:rPr>
            </w:pPr>
          </w:p>
        </w:tc>
      </w:tr>
      <w:tr w14:paraId="5B912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1C2EF08">
            <w:pPr>
              <w:rPr>
                <w:rFonts w:ascii="Arial"/>
                <w:color w:val="auto"/>
                <w:sz w:val="21"/>
                <w:highlight w:val="none"/>
              </w:rPr>
            </w:pPr>
          </w:p>
        </w:tc>
        <w:tc>
          <w:tcPr>
            <w:tcW w:w="1842" w:type="dxa"/>
            <w:vAlign w:val="top"/>
          </w:tcPr>
          <w:p w14:paraId="7CCBBD8C">
            <w:pPr>
              <w:rPr>
                <w:rFonts w:ascii="Arial"/>
                <w:color w:val="auto"/>
                <w:sz w:val="21"/>
                <w:highlight w:val="none"/>
              </w:rPr>
            </w:pPr>
          </w:p>
        </w:tc>
        <w:tc>
          <w:tcPr>
            <w:tcW w:w="1397" w:type="dxa"/>
            <w:vAlign w:val="top"/>
          </w:tcPr>
          <w:p w14:paraId="271DBE6E">
            <w:pPr>
              <w:rPr>
                <w:rFonts w:ascii="Arial"/>
                <w:color w:val="auto"/>
                <w:sz w:val="21"/>
                <w:highlight w:val="none"/>
              </w:rPr>
            </w:pPr>
          </w:p>
        </w:tc>
        <w:tc>
          <w:tcPr>
            <w:tcW w:w="1080" w:type="dxa"/>
            <w:vAlign w:val="top"/>
          </w:tcPr>
          <w:p w14:paraId="13EA6A2C">
            <w:pPr>
              <w:rPr>
                <w:rFonts w:ascii="Arial"/>
                <w:color w:val="auto"/>
                <w:sz w:val="21"/>
                <w:highlight w:val="none"/>
              </w:rPr>
            </w:pPr>
          </w:p>
        </w:tc>
        <w:tc>
          <w:tcPr>
            <w:tcW w:w="1108" w:type="dxa"/>
            <w:vAlign w:val="top"/>
          </w:tcPr>
          <w:p w14:paraId="506F6F2E">
            <w:pPr>
              <w:rPr>
                <w:rFonts w:ascii="Arial"/>
                <w:color w:val="auto"/>
                <w:sz w:val="21"/>
                <w:highlight w:val="none"/>
              </w:rPr>
            </w:pPr>
          </w:p>
        </w:tc>
        <w:tc>
          <w:tcPr>
            <w:tcW w:w="1781" w:type="dxa"/>
            <w:vAlign w:val="top"/>
          </w:tcPr>
          <w:p w14:paraId="7EA19955">
            <w:pPr>
              <w:rPr>
                <w:rFonts w:ascii="Arial"/>
                <w:color w:val="auto"/>
                <w:sz w:val="21"/>
                <w:highlight w:val="none"/>
              </w:rPr>
            </w:pPr>
          </w:p>
        </w:tc>
        <w:tc>
          <w:tcPr>
            <w:tcW w:w="1084" w:type="dxa"/>
            <w:vAlign w:val="top"/>
          </w:tcPr>
          <w:p w14:paraId="577C305A">
            <w:pPr>
              <w:rPr>
                <w:rFonts w:ascii="Arial"/>
                <w:color w:val="auto"/>
                <w:sz w:val="21"/>
                <w:highlight w:val="none"/>
              </w:rPr>
            </w:pPr>
          </w:p>
        </w:tc>
      </w:tr>
      <w:tr w14:paraId="4CB50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DA5F301">
            <w:pPr>
              <w:rPr>
                <w:rFonts w:ascii="Arial"/>
                <w:color w:val="auto"/>
                <w:sz w:val="21"/>
                <w:highlight w:val="none"/>
              </w:rPr>
            </w:pPr>
          </w:p>
        </w:tc>
        <w:tc>
          <w:tcPr>
            <w:tcW w:w="1842" w:type="dxa"/>
            <w:vAlign w:val="top"/>
          </w:tcPr>
          <w:p w14:paraId="6DDDAC61">
            <w:pPr>
              <w:rPr>
                <w:rFonts w:ascii="Arial"/>
                <w:color w:val="auto"/>
                <w:sz w:val="21"/>
                <w:highlight w:val="none"/>
              </w:rPr>
            </w:pPr>
          </w:p>
        </w:tc>
        <w:tc>
          <w:tcPr>
            <w:tcW w:w="1397" w:type="dxa"/>
            <w:vAlign w:val="top"/>
          </w:tcPr>
          <w:p w14:paraId="06604275">
            <w:pPr>
              <w:rPr>
                <w:rFonts w:ascii="Arial"/>
                <w:color w:val="auto"/>
                <w:sz w:val="21"/>
                <w:highlight w:val="none"/>
              </w:rPr>
            </w:pPr>
          </w:p>
        </w:tc>
        <w:tc>
          <w:tcPr>
            <w:tcW w:w="1080" w:type="dxa"/>
            <w:vAlign w:val="top"/>
          </w:tcPr>
          <w:p w14:paraId="6F818180">
            <w:pPr>
              <w:rPr>
                <w:rFonts w:ascii="Arial"/>
                <w:color w:val="auto"/>
                <w:sz w:val="21"/>
                <w:highlight w:val="none"/>
              </w:rPr>
            </w:pPr>
          </w:p>
        </w:tc>
        <w:tc>
          <w:tcPr>
            <w:tcW w:w="1108" w:type="dxa"/>
            <w:vAlign w:val="top"/>
          </w:tcPr>
          <w:p w14:paraId="37F4BD16">
            <w:pPr>
              <w:rPr>
                <w:rFonts w:ascii="Arial"/>
                <w:color w:val="auto"/>
                <w:sz w:val="21"/>
                <w:highlight w:val="none"/>
              </w:rPr>
            </w:pPr>
          </w:p>
        </w:tc>
        <w:tc>
          <w:tcPr>
            <w:tcW w:w="1781" w:type="dxa"/>
            <w:vAlign w:val="top"/>
          </w:tcPr>
          <w:p w14:paraId="5663CA07">
            <w:pPr>
              <w:rPr>
                <w:rFonts w:ascii="Arial"/>
                <w:color w:val="auto"/>
                <w:sz w:val="21"/>
                <w:highlight w:val="none"/>
              </w:rPr>
            </w:pPr>
          </w:p>
        </w:tc>
        <w:tc>
          <w:tcPr>
            <w:tcW w:w="1084" w:type="dxa"/>
            <w:vAlign w:val="top"/>
          </w:tcPr>
          <w:p w14:paraId="6C5EAA72">
            <w:pPr>
              <w:rPr>
                <w:rFonts w:ascii="Arial"/>
                <w:color w:val="auto"/>
                <w:sz w:val="21"/>
                <w:highlight w:val="none"/>
              </w:rPr>
            </w:pPr>
          </w:p>
        </w:tc>
      </w:tr>
      <w:tr w14:paraId="61CB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85CF111">
            <w:pPr>
              <w:rPr>
                <w:rFonts w:ascii="Arial"/>
                <w:color w:val="auto"/>
                <w:sz w:val="21"/>
                <w:highlight w:val="none"/>
              </w:rPr>
            </w:pPr>
          </w:p>
        </w:tc>
        <w:tc>
          <w:tcPr>
            <w:tcW w:w="1842" w:type="dxa"/>
            <w:vAlign w:val="top"/>
          </w:tcPr>
          <w:p w14:paraId="5D7BE5D7">
            <w:pPr>
              <w:rPr>
                <w:rFonts w:ascii="Arial"/>
                <w:color w:val="auto"/>
                <w:sz w:val="21"/>
                <w:highlight w:val="none"/>
              </w:rPr>
            </w:pPr>
          </w:p>
        </w:tc>
        <w:tc>
          <w:tcPr>
            <w:tcW w:w="1397" w:type="dxa"/>
            <w:vAlign w:val="top"/>
          </w:tcPr>
          <w:p w14:paraId="05D54E52">
            <w:pPr>
              <w:rPr>
                <w:rFonts w:ascii="Arial"/>
                <w:color w:val="auto"/>
                <w:sz w:val="21"/>
                <w:highlight w:val="none"/>
              </w:rPr>
            </w:pPr>
          </w:p>
        </w:tc>
        <w:tc>
          <w:tcPr>
            <w:tcW w:w="1080" w:type="dxa"/>
            <w:vAlign w:val="top"/>
          </w:tcPr>
          <w:p w14:paraId="7F5A6029">
            <w:pPr>
              <w:rPr>
                <w:rFonts w:ascii="Arial"/>
                <w:color w:val="auto"/>
                <w:sz w:val="21"/>
                <w:highlight w:val="none"/>
              </w:rPr>
            </w:pPr>
          </w:p>
        </w:tc>
        <w:tc>
          <w:tcPr>
            <w:tcW w:w="1108" w:type="dxa"/>
            <w:vAlign w:val="top"/>
          </w:tcPr>
          <w:p w14:paraId="2F6FFA96">
            <w:pPr>
              <w:rPr>
                <w:rFonts w:ascii="Arial"/>
                <w:color w:val="auto"/>
                <w:sz w:val="21"/>
                <w:highlight w:val="none"/>
              </w:rPr>
            </w:pPr>
          </w:p>
        </w:tc>
        <w:tc>
          <w:tcPr>
            <w:tcW w:w="1781" w:type="dxa"/>
            <w:vAlign w:val="top"/>
          </w:tcPr>
          <w:p w14:paraId="00D3EF30">
            <w:pPr>
              <w:rPr>
                <w:rFonts w:ascii="Arial"/>
                <w:color w:val="auto"/>
                <w:sz w:val="21"/>
                <w:highlight w:val="none"/>
              </w:rPr>
            </w:pPr>
          </w:p>
        </w:tc>
        <w:tc>
          <w:tcPr>
            <w:tcW w:w="1084" w:type="dxa"/>
            <w:vAlign w:val="top"/>
          </w:tcPr>
          <w:p w14:paraId="627D5615">
            <w:pPr>
              <w:rPr>
                <w:rFonts w:ascii="Arial"/>
                <w:color w:val="auto"/>
                <w:sz w:val="21"/>
                <w:highlight w:val="none"/>
              </w:rPr>
            </w:pPr>
          </w:p>
        </w:tc>
      </w:tr>
      <w:tr w14:paraId="4D62B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228418B">
            <w:pPr>
              <w:rPr>
                <w:rFonts w:ascii="Arial"/>
                <w:color w:val="auto"/>
                <w:sz w:val="21"/>
                <w:highlight w:val="none"/>
              </w:rPr>
            </w:pPr>
          </w:p>
        </w:tc>
        <w:tc>
          <w:tcPr>
            <w:tcW w:w="1842" w:type="dxa"/>
            <w:vAlign w:val="top"/>
          </w:tcPr>
          <w:p w14:paraId="7B943477">
            <w:pPr>
              <w:rPr>
                <w:rFonts w:ascii="Arial"/>
                <w:color w:val="auto"/>
                <w:sz w:val="21"/>
                <w:highlight w:val="none"/>
              </w:rPr>
            </w:pPr>
          </w:p>
        </w:tc>
        <w:tc>
          <w:tcPr>
            <w:tcW w:w="1397" w:type="dxa"/>
            <w:vAlign w:val="top"/>
          </w:tcPr>
          <w:p w14:paraId="611F1337">
            <w:pPr>
              <w:rPr>
                <w:rFonts w:ascii="Arial"/>
                <w:color w:val="auto"/>
                <w:sz w:val="21"/>
                <w:highlight w:val="none"/>
              </w:rPr>
            </w:pPr>
          </w:p>
        </w:tc>
        <w:tc>
          <w:tcPr>
            <w:tcW w:w="1080" w:type="dxa"/>
            <w:vAlign w:val="top"/>
          </w:tcPr>
          <w:p w14:paraId="2911300C">
            <w:pPr>
              <w:rPr>
                <w:rFonts w:ascii="Arial"/>
                <w:color w:val="auto"/>
                <w:sz w:val="21"/>
                <w:highlight w:val="none"/>
              </w:rPr>
            </w:pPr>
          </w:p>
        </w:tc>
        <w:tc>
          <w:tcPr>
            <w:tcW w:w="1108" w:type="dxa"/>
            <w:vAlign w:val="top"/>
          </w:tcPr>
          <w:p w14:paraId="4E8EB9CD">
            <w:pPr>
              <w:rPr>
                <w:rFonts w:ascii="Arial"/>
                <w:color w:val="auto"/>
                <w:sz w:val="21"/>
                <w:highlight w:val="none"/>
              </w:rPr>
            </w:pPr>
          </w:p>
        </w:tc>
        <w:tc>
          <w:tcPr>
            <w:tcW w:w="1781" w:type="dxa"/>
            <w:vAlign w:val="top"/>
          </w:tcPr>
          <w:p w14:paraId="39342DDD">
            <w:pPr>
              <w:rPr>
                <w:rFonts w:ascii="Arial"/>
                <w:color w:val="auto"/>
                <w:sz w:val="21"/>
                <w:highlight w:val="none"/>
              </w:rPr>
            </w:pPr>
          </w:p>
        </w:tc>
        <w:tc>
          <w:tcPr>
            <w:tcW w:w="1084" w:type="dxa"/>
            <w:vAlign w:val="top"/>
          </w:tcPr>
          <w:p w14:paraId="44005A18">
            <w:pPr>
              <w:rPr>
                <w:rFonts w:ascii="Arial"/>
                <w:color w:val="auto"/>
                <w:sz w:val="21"/>
                <w:highlight w:val="none"/>
              </w:rPr>
            </w:pPr>
          </w:p>
        </w:tc>
      </w:tr>
      <w:tr w14:paraId="12E09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8E7A1C0">
            <w:pPr>
              <w:rPr>
                <w:rFonts w:ascii="Arial"/>
                <w:color w:val="auto"/>
                <w:sz w:val="21"/>
                <w:highlight w:val="none"/>
              </w:rPr>
            </w:pPr>
          </w:p>
        </w:tc>
        <w:tc>
          <w:tcPr>
            <w:tcW w:w="1842" w:type="dxa"/>
            <w:vAlign w:val="top"/>
          </w:tcPr>
          <w:p w14:paraId="5C9F39C8">
            <w:pPr>
              <w:rPr>
                <w:rFonts w:ascii="Arial"/>
                <w:color w:val="auto"/>
                <w:sz w:val="21"/>
                <w:highlight w:val="none"/>
              </w:rPr>
            </w:pPr>
          </w:p>
        </w:tc>
        <w:tc>
          <w:tcPr>
            <w:tcW w:w="1397" w:type="dxa"/>
            <w:vAlign w:val="top"/>
          </w:tcPr>
          <w:p w14:paraId="7A32E2A3">
            <w:pPr>
              <w:rPr>
                <w:rFonts w:ascii="Arial"/>
                <w:color w:val="auto"/>
                <w:sz w:val="21"/>
                <w:highlight w:val="none"/>
              </w:rPr>
            </w:pPr>
          </w:p>
        </w:tc>
        <w:tc>
          <w:tcPr>
            <w:tcW w:w="1080" w:type="dxa"/>
            <w:vAlign w:val="top"/>
          </w:tcPr>
          <w:p w14:paraId="401109D2">
            <w:pPr>
              <w:rPr>
                <w:rFonts w:ascii="Arial"/>
                <w:color w:val="auto"/>
                <w:sz w:val="21"/>
                <w:highlight w:val="none"/>
              </w:rPr>
            </w:pPr>
          </w:p>
        </w:tc>
        <w:tc>
          <w:tcPr>
            <w:tcW w:w="1108" w:type="dxa"/>
            <w:vAlign w:val="top"/>
          </w:tcPr>
          <w:p w14:paraId="728375AD">
            <w:pPr>
              <w:rPr>
                <w:rFonts w:ascii="Arial"/>
                <w:color w:val="auto"/>
                <w:sz w:val="21"/>
                <w:highlight w:val="none"/>
              </w:rPr>
            </w:pPr>
          </w:p>
        </w:tc>
        <w:tc>
          <w:tcPr>
            <w:tcW w:w="1781" w:type="dxa"/>
            <w:vAlign w:val="top"/>
          </w:tcPr>
          <w:p w14:paraId="1A8EB65A">
            <w:pPr>
              <w:rPr>
                <w:rFonts w:ascii="Arial"/>
                <w:color w:val="auto"/>
                <w:sz w:val="21"/>
                <w:highlight w:val="none"/>
              </w:rPr>
            </w:pPr>
          </w:p>
        </w:tc>
        <w:tc>
          <w:tcPr>
            <w:tcW w:w="1084" w:type="dxa"/>
            <w:vAlign w:val="top"/>
          </w:tcPr>
          <w:p w14:paraId="7737B4EE">
            <w:pPr>
              <w:rPr>
                <w:rFonts w:ascii="Arial"/>
                <w:color w:val="auto"/>
                <w:sz w:val="21"/>
                <w:highlight w:val="none"/>
              </w:rPr>
            </w:pPr>
          </w:p>
        </w:tc>
      </w:tr>
      <w:tr w14:paraId="180C2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30470183">
            <w:pPr>
              <w:rPr>
                <w:rFonts w:ascii="Arial"/>
                <w:color w:val="auto"/>
                <w:sz w:val="21"/>
                <w:highlight w:val="none"/>
              </w:rPr>
            </w:pPr>
          </w:p>
        </w:tc>
        <w:tc>
          <w:tcPr>
            <w:tcW w:w="1842" w:type="dxa"/>
            <w:vAlign w:val="top"/>
          </w:tcPr>
          <w:p w14:paraId="7CB26320">
            <w:pPr>
              <w:rPr>
                <w:rFonts w:ascii="Arial"/>
                <w:color w:val="auto"/>
                <w:sz w:val="21"/>
                <w:highlight w:val="none"/>
              </w:rPr>
            </w:pPr>
          </w:p>
        </w:tc>
        <w:tc>
          <w:tcPr>
            <w:tcW w:w="1397" w:type="dxa"/>
            <w:vAlign w:val="top"/>
          </w:tcPr>
          <w:p w14:paraId="6D0B68E0">
            <w:pPr>
              <w:rPr>
                <w:rFonts w:ascii="Arial"/>
                <w:color w:val="auto"/>
                <w:sz w:val="21"/>
                <w:highlight w:val="none"/>
              </w:rPr>
            </w:pPr>
          </w:p>
        </w:tc>
        <w:tc>
          <w:tcPr>
            <w:tcW w:w="1080" w:type="dxa"/>
            <w:vAlign w:val="top"/>
          </w:tcPr>
          <w:p w14:paraId="156AA6BA">
            <w:pPr>
              <w:rPr>
                <w:rFonts w:ascii="Arial"/>
                <w:color w:val="auto"/>
                <w:sz w:val="21"/>
                <w:highlight w:val="none"/>
              </w:rPr>
            </w:pPr>
          </w:p>
        </w:tc>
        <w:tc>
          <w:tcPr>
            <w:tcW w:w="1108" w:type="dxa"/>
            <w:vAlign w:val="top"/>
          </w:tcPr>
          <w:p w14:paraId="46ED062A">
            <w:pPr>
              <w:rPr>
                <w:rFonts w:ascii="Arial"/>
                <w:color w:val="auto"/>
                <w:sz w:val="21"/>
                <w:highlight w:val="none"/>
              </w:rPr>
            </w:pPr>
          </w:p>
        </w:tc>
        <w:tc>
          <w:tcPr>
            <w:tcW w:w="1781" w:type="dxa"/>
            <w:vAlign w:val="top"/>
          </w:tcPr>
          <w:p w14:paraId="3857B6CC">
            <w:pPr>
              <w:rPr>
                <w:rFonts w:ascii="Arial"/>
                <w:color w:val="auto"/>
                <w:sz w:val="21"/>
                <w:highlight w:val="none"/>
              </w:rPr>
            </w:pPr>
          </w:p>
        </w:tc>
        <w:tc>
          <w:tcPr>
            <w:tcW w:w="1084" w:type="dxa"/>
            <w:vAlign w:val="top"/>
          </w:tcPr>
          <w:p w14:paraId="0E0CEBBD">
            <w:pPr>
              <w:rPr>
                <w:rFonts w:ascii="Arial"/>
                <w:color w:val="auto"/>
                <w:sz w:val="21"/>
                <w:highlight w:val="none"/>
              </w:rPr>
            </w:pPr>
          </w:p>
        </w:tc>
      </w:tr>
      <w:tr w14:paraId="7B910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25A0BDD">
            <w:pPr>
              <w:rPr>
                <w:rFonts w:ascii="Arial"/>
                <w:color w:val="auto"/>
                <w:sz w:val="21"/>
                <w:highlight w:val="none"/>
              </w:rPr>
            </w:pPr>
          </w:p>
        </w:tc>
        <w:tc>
          <w:tcPr>
            <w:tcW w:w="1842" w:type="dxa"/>
            <w:vAlign w:val="top"/>
          </w:tcPr>
          <w:p w14:paraId="21545CFE">
            <w:pPr>
              <w:rPr>
                <w:rFonts w:ascii="Arial"/>
                <w:color w:val="auto"/>
                <w:sz w:val="21"/>
                <w:highlight w:val="none"/>
              </w:rPr>
            </w:pPr>
          </w:p>
        </w:tc>
        <w:tc>
          <w:tcPr>
            <w:tcW w:w="1397" w:type="dxa"/>
            <w:vAlign w:val="top"/>
          </w:tcPr>
          <w:p w14:paraId="64AD3404">
            <w:pPr>
              <w:rPr>
                <w:rFonts w:ascii="Arial"/>
                <w:color w:val="auto"/>
                <w:sz w:val="21"/>
                <w:highlight w:val="none"/>
              </w:rPr>
            </w:pPr>
          </w:p>
        </w:tc>
        <w:tc>
          <w:tcPr>
            <w:tcW w:w="1080" w:type="dxa"/>
            <w:vAlign w:val="top"/>
          </w:tcPr>
          <w:p w14:paraId="7C65E057">
            <w:pPr>
              <w:rPr>
                <w:rFonts w:ascii="Arial"/>
                <w:color w:val="auto"/>
                <w:sz w:val="21"/>
                <w:highlight w:val="none"/>
              </w:rPr>
            </w:pPr>
          </w:p>
        </w:tc>
        <w:tc>
          <w:tcPr>
            <w:tcW w:w="1108" w:type="dxa"/>
            <w:vAlign w:val="top"/>
          </w:tcPr>
          <w:p w14:paraId="56BB92C1">
            <w:pPr>
              <w:rPr>
                <w:rFonts w:ascii="Arial"/>
                <w:color w:val="auto"/>
                <w:sz w:val="21"/>
                <w:highlight w:val="none"/>
              </w:rPr>
            </w:pPr>
          </w:p>
        </w:tc>
        <w:tc>
          <w:tcPr>
            <w:tcW w:w="1781" w:type="dxa"/>
            <w:vAlign w:val="top"/>
          </w:tcPr>
          <w:p w14:paraId="63883246">
            <w:pPr>
              <w:rPr>
                <w:rFonts w:ascii="Arial"/>
                <w:color w:val="auto"/>
                <w:sz w:val="21"/>
                <w:highlight w:val="none"/>
              </w:rPr>
            </w:pPr>
          </w:p>
        </w:tc>
        <w:tc>
          <w:tcPr>
            <w:tcW w:w="1084" w:type="dxa"/>
            <w:vAlign w:val="top"/>
          </w:tcPr>
          <w:p w14:paraId="57857721">
            <w:pPr>
              <w:rPr>
                <w:rFonts w:ascii="Arial"/>
                <w:color w:val="auto"/>
                <w:sz w:val="21"/>
                <w:highlight w:val="none"/>
              </w:rPr>
            </w:pPr>
          </w:p>
        </w:tc>
      </w:tr>
      <w:tr w14:paraId="4F6B8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02986BA">
            <w:pPr>
              <w:rPr>
                <w:rFonts w:ascii="Arial"/>
                <w:color w:val="auto"/>
                <w:sz w:val="21"/>
                <w:highlight w:val="none"/>
              </w:rPr>
            </w:pPr>
          </w:p>
        </w:tc>
        <w:tc>
          <w:tcPr>
            <w:tcW w:w="1842" w:type="dxa"/>
            <w:vAlign w:val="top"/>
          </w:tcPr>
          <w:p w14:paraId="0E944FDA">
            <w:pPr>
              <w:rPr>
                <w:rFonts w:ascii="Arial"/>
                <w:color w:val="auto"/>
                <w:sz w:val="21"/>
                <w:highlight w:val="none"/>
              </w:rPr>
            </w:pPr>
          </w:p>
        </w:tc>
        <w:tc>
          <w:tcPr>
            <w:tcW w:w="1397" w:type="dxa"/>
            <w:vAlign w:val="top"/>
          </w:tcPr>
          <w:p w14:paraId="3DB7B4E2">
            <w:pPr>
              <w:rPr>
                <w:rFonts w:ascii="Arial"/>
                <w:color w:val="auto"/>
                <w:sz w:val="21"/>
                <w:highlight w:val="none"/>
              </w:rPr>
            </w:pPr>
          </w:p>
        </w:tc>
        <w:tc>
          <w:tcPr>
            <w:tcW w:w="1080" w:type="dxa"/>
            <w:vAlign w:val="top"/>
          </w:tcPr>
          <w:p w14:paraId="40D23CA8">
            <w:pPr>
              <w:rPr>
                <w:rFonts w:ascii="Arial"/>
                <w:color w:val="auto"/>
                <w:sz w:val="21"/>
                <w:highlight w:val="none"/>
              </w:rPr>
            </w:pPr>
          </w:p>
        </w:tc>
        <w:tc>
          <w:tcPr>
            <w:tcW w:w="1108" w:type="dxa"/>
            <w:vAlign w:val="top"/>
          </w:tcPr>
          <w:p w14:paraId="029CD0FD">
            <w:pPr>
              <w:rPr>
                <w:rFonts w:ascii="Arial"/>
                <w:color w:val="auto"/>
                <w:sz w:val="21"/>
                <w:highlight w:val="none"/>
              </w:rPr>
            </w:pPr>
          </w:p>
        </w:tc>
        <w:tc>
          <w:tcPr>
            <w:tcW w:w="1781" w:type="dxa"/>
            <w:vAlign w:val="top"/>
          </w:tcPr>
          <w:p w14:paraId="49105EAA">
            <w:pPr>
              <w:rPr>
                <w:rFonts w:ascii="Arial"/>
                <w:color w:val="auto"/>
                <w:sz w:val="21"/>
                <w:highlight w:val="none"/>
              </w:rPr>
            </w:pPr>
          </w:p>
        </w:tc>
        <w:tc>
          <w:tcPr>
            <w:tcW w:w="1084" w:type="dxa"/>
            <w:vAlign w:val="top"/>
          </w:tcPr>
          <w:p w14:paraId="3A268FB0">
            <w:pPr>
              <w:rPr>
                <w:rFonts w:ascii="Arial"/>
                <w:color w:val="auto"/>
                <w:sz w:val="21"/>
                <w:highlight w:val="none"/>
              </w:rPr>
            </w:pPr>
          </w:p>
        </w:tc>
      </w:tr>
      <w:tr w14:paraId="16DA2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1F4691D1">
            <w:pPr>
              <w:rPr>
                <w:rFonts w:ascii="Arial"/>
                <w:color w:val="auto"/>
                <w:sz w:val="21"/>
                <w:highlight w:val="none"/>
              </w:rPr>
            </w:pPr>
          </w:p>
        </w:tc>
        <w:tc>
          <w:tcPr>
            <w:tcW w:w="1842" w:type="dxa"/>
            <w:vAlign w:val="top"/>
          </w:tcPr>
          <w:p w14:paraId="556B2DB7">
            <w:pPr>
              <w:rPr>
                <w:rFonts w:ascii="Arial"/>
                <w:color w:val="auto"/>
                <w:sz w:val="21"/>
                <w:highlight w:val="none"/>
              </w:rPr>
            </w:pPr>
          </w:p>
        </w:tc>
        <w:tc>
          <w:tcPr>
            <w:tcW w:w="1397" w:type="dxa"/>
            <w:vAlign w:val="top"/>
          </w:tcPr>
          <w:p w14:paraId="09F9DE25">
            <w:pPr>
              <w:rPr>
                <w:rFonts w:ascii="Arial"/>
                <w:color w:val="auto"/>
                <w:sz w:val="21"/>
                <w:highlight w:val="none"/>
              </w:rPr>
            </w:pPr>
          </w:p>
        </w:tc>
        <w:tc>
          <w:tcPr>
            <w:tcW w:w="1080" w:type="dxa"/>
            <w:vAlign w:val="top"/>
          </w:tcPr>
          <w:p w14:paraId="2B6B59D4">
            <w:pPr>
              <w:rPr>
                <w:rFonts w:ascii="Arial"/>
                <w:color w:val="auto"/>
                <w:sz w:val="21"/>
                <w:highlight w:val="none"/>
              </w:rPr>
            </w:pPr>
          </w:p>
        </w:tc>
        <w:tc>
          <w:tcPr>
            <w:tcW w:w="1108" w:type="dxa"/>
            <w:vAlign w:val="top"/>
          </w:tcPr>
          <w:p w14:paraId="4074DCD5">
            <w:pPr>
              <w:rPr>
                <w:rFonts w:ascii="Arial"/>
                <w:color w:val="auto"/>
                <w:sz w:val="21"/>
                <w:highlight w:val="none"/>
              </w:rPr>
            </w:pPr>
          </w:p>
        </w:tc>
        <w:tc>
          <w:tcPr>
            <w:tcW w:w="1781" w:type="dxa"/>
            <w:vAlign w:val="top"/>
          </w:tcPr>
          <w:p w14:paraId="4A0661BE">
            <w:pPr>
              <w:rPr>
                <w:rFonts w:ascii="Arial"/>
                <w:color w:val="auto"/>
                <w:sz w:val="21"/>
                <w:highlight w:val="none"/>
              </w:rPr>
            </w:pPr>
          </w:p>
        </w:tc>
        <w:tc>
          <w:tcPr>
            <w:tcW w:w="1084" w:type="dxa"/>
            <w:vAlign w:val="top"/>
          </w:tcPr>
          <w:p w14:paraId="5BB58C14">
            <w:pPr>
              <w:rPr>
                <w:rFonts w:ascii="Arial"/>
                <w:color w:val="auto"/>
                <w:sz w:val="21"/>
                <w:highlight w:val="none"/>
              </w:rPr>
            </w:pPr>
          </w:p>
        </w:tc>
      </w:tr>
    </w:tbl>
    <w:p w14:paraId="7FB42053">
      <w:pPr>
        <w:pStyle w:val="5"/>
        <w:rPr>
          <w:color w:val="auto"/>
          <w:highlight w:val="none"/>
        </w:rPr>
      </w:pPr>
    </w:p>
    <w:p w14:paraId="72BA82E9">
      <w:pPr>
        <w:rPr>
          <w:color w:val="auto"/>
          <w:highlight w:val="none"/>
        </w:rPr>
        <w:sectPr>
          <w:footerReference r:id="rId175" w:type="default"/>
          <w:pgSz w:w="11905" w:h="16839"/>
          <w:pgMar w:top="400" w:right="1527" w:bottom="1004" w:left="1531" w:header="0" w:footer="828" w:gutter="0"/>
          <w:pgNumType w:fmt="decimal"/>
          <w:cols w:space="720" w:num="1"/>
        </w:sectPr>
      </w:pPr>
    </w:p>
    <w:p w14:paraId="7C6FF767">
      <w:pPr>
        <w:pStyle w:val="5"/>
        <w:spacing w:line="267" w:lineRule="auto"/>
        <w:rPr>
          <w:color w:val="auto"/>
          <w:highlight w:val="none"/>
        </w:rPr>
      </w:pPr>
    </w:p>
    <w:p w14:paraId="692ADCC4">
      <w:pPr>
        <w:pStyle w:val="5"/>
        <w:spacing w:line="268" w:lineRule="auto"/>
        <w:rPr>
          <w:color w:val="auto"/>
          <w:highlight w:val="none"/>
        </w:rPr>
      </w:pPr>
    </w:p>
    <w:p w14:paraId="2BC50E61">
      <w:pPr>
        <w:pStyle w:val="5"/>
        <w:spacing w:line="268" w:lineRule="auto"/>
        <w:rPr>
          <w:color w:val="auto"/>
          <w:highlight w:val="none"/>
        </w:rPr>
      </w:pPr>
    </w:p>
    <w:p w14:paraId="3C9380CF">
      <w:pPr>
        <w:pStyle w:val="5"/>
        <w:spacing w:line="268" w:lineRule="auto"/>
        <w:rPr>
          <w:color w:val="auto"/>
          <w:highlight w:val="none"/>
        </w:rPr>
      </w:pPr>
    </w:p>
    <w:p w14:paraId="13900CB9">
      <w:pPr>
        <w:spacing w:before="78" w:line="218" w:lineRule="auto"/>
        <w:ind w:left="2546"/>
        <w:rPr>
          <w:rFonts w:ascii="黑体" w:hAnsi="黑体" w:eastAsia="黑体" w:cs="黑体"/>
          <w:color w:val="auto"/>
          <w:sz w:val="24"/>
          <w:szCs w:val="24"/>
          <w:highlight w:val="none"/>
        </w:rPr>
      </w:pPr>
      <w:bookmarkStart w:id="1767" w:name="bookmark322"/>
      <w:bookmarkEnd w:id="1767"/>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近年完成的类似项目情况表</w:t>
      </w:r>
    </w:p>
    <w:p w14:paraId="6BEDFB22">
      <w:pPr>
        <w:spacing w:before="199"/>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2FBD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2E693BE2">
            <w:pPr>
              <w:pStyle w:val="18"/>
              <w:spacing w:before="208" w:line="221" w:lineRule="auto"/>
              <w:ind w:left="775"/>
              <w:rPr>
                <w:color w:val="auto"/>
                <w:highlight w:val="none"/>
              </w:rPr>
            </w:pPr>
            <w:r>
              <w:rPr>
                <w:color w:val="auto"/>
                <w:spacing w:val="-2"/>
                <w:highlight w:val="none"/>
              </w:rPr>
              <w:t>项目名称</w:t>
            </w:r>
          </w:p>
        </w:tc>
        <w:tc>
          <w:tcPr>
            <w:tcW w:w="5941" w:type="dxa"/>
            <w:vAlign w:val="top"/>
          </w:tcPr>
          <w:p w14:paraId="2E0295E5">
            <w:pPr>
              <w:rPr>
                <w:rFonts w:ascii="Arial"/>
                <w:color w:val="auto"/>
                <w:sz w:val="21"/>
                <w:highlight w:val="none"/>
              </w:rPr>
            </w:pPr>
          </w:p>
        </w:tc>
      </w:tr>
      <w:tr w14:paraId="77397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E847F12">
            <w:pPr>
              <w:pStyle w:val="18"/>
              <w:spacing w:before="207" w:line="221" w:lineRule="auto"/>
              <w:ind w:left="669"/>
              <w:rPr>
                <w:color w:val="auto"/>
                <w:highlight w:val="none"/>
              </w:rPr>
            </w:pPr>
            <w:r>
              <w:rPr>
                <w:color w:val="auto"/>
                <w:spacing w:val="-1"/>
                <w:highlight w:val="none"/>
              </w:rPr>
              <w:t>项目所在地</w:t>
            </w:r>
          </w:p>
        </w:tc>
        <w:tc>
          <w:tcPr>
            <w:tcW w:w="5941" w:type="dxa"/>
            <w:vAlign w:val="top"/>
          </w:tcPr>
          <w:p w14:paraId="59A6BBB6">
            <w:pPr>
              <w:rPr>
                <w:rFonts w:ascii="Arial"/>
                <w:color w:val="auto"/>
                <w:sz w:val="21"/>
                <w:highlight w:val="none"/>
              </w:rPr>
            </w:pPr>
          </w:p>
        </w:tc>
      </w:tr>
      <w:tr w14:paraId="7779A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FD940F6">
            <w:pPr>
              <w:pStyle w:val="18"/>
              <w:spacing w:before="208" w:line="221" w:lineRule="auto"/>
              <w:ind w:left="669"/>
              <w:rPr>
                <w:color w:val="auto"/>
                <w:highlight w:val="none"/>
              </w:rPr>
            </w:pPr>
            <w:r>
              <w:rPr>
                <w:color w:val="auto"/>
                <w:spacing w:val="-1"/>
                <w:highlight w:val="none"/>
              </w:rPr>
              <w:t>发包人名称</w:t>
            </w:r>
          </w:p>
        </w:tc>
        <w:tc>
          <w:tcPr>
            <w:tcW w:w="5941" w:type="dxa"/>
            <w:vAlign w:val="top"/>
          </w:tcPr>
          <w:p w14:paraId="12484A08">
            <w:pPr>
              <w:rPr>
                <w:rFonts w:ascii="Arial"/>
                <w:color w:val="auto"/>
                <w:sz w:val="21"/>
                <w:highlight w:val="none"/>
              </w:rPr>
            </w:pPr>
          </w:p>
        </w:tc>
      </w:tr>
      <w:tr w14:paraId="56D88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09643FD">
            <w:pPr>
              <w:pStyle w:val="18"/>
              <w:spacing w:before="209" w:line="221" w:lineRule="auto"/>
              <w:ind w:left="669"/>
              <w:rPr>
                <w:color w:val="auto"/>
                <w:highlight w:val="none"/>
              </w:rPr>
            </w:pPr>
            <w:r>
              <w:rPr>
                <w:color w:val="auto"/>
                <w:spacing w:val="-1"/>
                <w:highlight w:val="none"/>
              </w:rPr>
              <w:t>发包人地址</w:t>
            </w:r>
          </w:p>
        </w:tc>
        <w:tc>
          <w:tcPr>
            <w:tcW w:w="5941" w:type="dxa"/>
            <w:vAlign w:val="top"/>
          </w:tcPr>
          <w:p w14:paraId="7EDEB8B9">
            <w:pPr>
              <w:rPr>
                <w:rFonts w:ascii="Arial"/>
                <w:color w:val="auto"/>
                <w:sz w:val="21"/>
                <w:highlight w:val="none"/>
              </w:rPr>
            </w:pPr>
          </w:p>
        </w:tc>
      </w:tr>
      <w:tr w14:paraId="4535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DAD4617">
            <w:pPr>
              <w:pStyle w:val="18"/>
              <w:spacing w:before="208" w:line="221" w:lineRule="auto"/>
              <w:ind w:left="251"/>
              <w:rPr>
                <w:color w:val="auto"/>
                <w:highlight w:val="none"/>
              </w:rPr>
            </w:pPr>
            <w:r>
              <w:rPr>
                <w:color w:val="auto"/>
                <w:spacing w:val="-1"/>
                <w:highlight w:val="none"/>
              </w:rPr>
              <w:t>发包人联系人及电话</w:t>
            </w:r>
          </w:p>
        </w:tc>
        <w:tc>
          <w:tcPr>
            <w:tcW w:w="5941" w:type="dxa"/>
            <w:vAlign w:val="top"/>
          </w:tcPr>
          <w:p w14:paraId="368613BF">
            <w:pPr>
              <w:rPr>
                <w:rFonts w:ascii="Arial"/>
                <w:color w:val="auto"/>
                <w:sz w:val="21"/>
                <w:highlight w:val="none"/>
              </w:rPr>
            </w:pPr>
          </w:p>
        </w:tc>
      </w:tr>
      <w:tr w14:paraId="1DA08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5DD9766">
            <w:pPr>
              <w:pStyle w:val="18"/>
              <w:spacing w:before="209" w:line="219" w:lineRule="auto"/>
              <w:ind w:left="460"/>
              <w:rPr>
                <w:color w:val="auto"/>
                <w:highlight w:val="none"/>
              </w:rPr>
            </w:pPr>
            <w:r>
              <w:rPr>
                <w:color w:val="auto"/>
                <w:spacing w:val="-3"/>
                <w:highlight w:val="none"/>
              </w:rPr>
              <w:t>合同价格（元）</w:t>
            </w:r>
          </w:p>
        </w:tc>
        <w:tc>
          <w:tcPr>
            <w:tcW w:w="5941" w:type="dxa"/>
            <w:vAlign w:val="top"/>
          </w:tcPr>
          <w:p w14:paraId="55EE400D">
            <w:pPr>
              <w:rPr>
                <w:rFonts w:ascii="Arial"/>
                <w:color w:val="auto"/>
                <w:sz w:val="21"/>
                <w:highlight w:val="none"/>
              </w:rPr>
            </w:pPr>
          </w:p>
        </w:tc>
      </w:tr>
      <w:tr w14:paraId="60410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BBE112E">
            <w:pPr>
              <w:pStyle w:val="18"/>
              <w:spacing w:before="210" w:line="221" w:lineRule="auto"/>
              <w:ind w:left="772"/>
              <w:rPr>
                <w:color w:val="auto"/>
                <w:highlight w:val="none"/>
              </w:rPr>
            </w:pPr>
            <w:r>
              <w:rPr>
                <w:color w:val="auto"/>
                <w:spacing w:val="-1"/>
                <w:highlight w:val="none"/>
              </w:rPr>
              <w:t>开工日期</w:t>
            </w:r>
          </w:p>
        </w:tc>
        <w:tc>
          <w:tcPr>
            <w:tcW w:w="5941" w:type="dxa"/>
            <w:vAlign w:val="top"/>
          </w:tcPr>
          <w:p w14:paraId="16AD76A9">
            <w:pPr>
              <w:rPr>
                <w:rFonts w:ascii="Arial"/>
                <w:color w:val="auto"/>
                <w:sz w:val="21"/>
                <w:highlight w:val="none"/>
              </w:rPr>
            </w:pPr>
          </w:p>
        </w:tc>
      </w:tr>
      <w:tr w14:paraId="1F43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7666079">
            <w:pPr>
              <w:pStyle w:val="18"/>
              <w:spacing w:before="204" w:line="221" w:lineRule="auto"/>
              <w:ind w:left="772"/>
              <w:rPr>
                <w:color w:val="auto"/>
                <w:highlight w:val="none"/>
              </w:rPr>
            </w:pPr>
            <w:r>
              <w:rPr>
                <w:color w:val="auto"/>
                <w:spacing w:val="-1"/>
                <w:highlight w:val="none"/>
              </w:rPr>
              <w:t>竣工日期</w:t>
            </w:r>
          </w:p>
        </w:tc>
        <w:tc>
          <w:tcPr>
            <w:tcW w:w="5941" w:type="dxa"/>
            <w:vAlign w:val="top"/>
          </w:tcPr>
          <w:p w14:paraId="64E5FF34">
            <w:pPr>
              <w:rPr>
                <w:rFonts w:ascii="Arial"/>
                <w:color w:val="auto"/>
                <w:sz w:val="21"/>
                <w:highlight w:val="none"/>
              </w:rPr>
            </w:pPr>
          </w:p>
        </w:tc>
      </w:tr>
      <w:tr w14:paraId="1E1C9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1A8495B2">
            <w:pPr>
              <w:pStyle w:val="18"/>
              <w:spacing w:before="204" w:line="221" w:lineRule="auto"/>
              <w:ind w:left="666"/>
              <w:rPr>
                <w:color w:val="auto"/>
                <w:highlight w:val="none"/>
              </w:rPr>
            </w:pPr>
            <w:r>
              <w:rPr>
                <w:color w:val="auto"/>
                <w:spacing w:val="-1"/>
                <w:highlight w:val="none"/>
              </w:rPr>
              <w:t>承担的工作</w:t>
            </w:r>
          </w:p>
        </w:tc>
        <w:tc>
          <w:tcPr>
            <w:tcW w:w="5941" w:type="dxa"/>
            <w:vAlign w:val="top"/>
          </w:tcPr>
          <w:p w14:paraId="05DEDFC6">
            <w:pPr>
              <w:rPr>
                <w:rFonts w:ascii="Arial"/>
                <w:color w:val="auto"/>
                <w:sz w:val="21"/>
                <w:highlight w:val="none"/>
              </w:rPr>
            </w:pPr>
          </w:p>
        </w:tc>
      </w:tr>
      <w:tr w14:paraId="246E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E760B22">
            <w:pPr>
              <w:pStyle w:val="18"/>
              <w:spacing w:before="205" w:line="221" w:lineRule="auto"/>
              <w:ind w:left="774"/>
              <w:rPr>
                <w:color w:val="auto"/>
                <w:highlight w:val="none"/>
              </w:rPr>
            </w:pPr>
            <w:r>
              <w:rPr>
                <w:color w:val="auto"/>
                <w:spacing w:val="-2"/>
                <w:highlight w:val="none"/>
              </w:rPr>
              <w:t>工程质量</w:t>
            </w:r>
          </w:p>
        </w:tc>
        <w:tc>
          <w:tcPr>
            <w:tcW w:w="5941" w:type="dxa"/>
            <w:vAlign w:val="top"/>
          </w:tcPr>
          <w:p w14:paraId="5BDA9527">
            <w:pPr>
              <w:rPr>
                <w:rFonts w:ascii="Arial"/>
                <w:color w:val="auto"/>
                <w:sz w:val="21"/>
                <w:highlight w:val="none"/>
              </w:rPr>
            </w:pPr>
          </w:p>
        </w:tc>
      </w:tr>
      <w:tr w14:paraId="35F57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A0EA46B">
            <w:pPr>
              <w:pStyle w:val="18"/>
              <w:spacing w:before="206" w:line="221" w:lineRule="auto"/>
              <w:ind w:left="775"/>
              <w:rPr>
                <w:color w:val="auto"/>
                <w:highlight w:val="none"/>
              </w:rPr>
            </w:pPr>
            <w:r>
              <w:rPr>
                <w:color w:val="auto"/>
                <w:spacing w:val="-2"/>
                <w:highlight w:val="none"/>
              </w:rPr>
              <w:t>项目经理</w:t>
            </w:r>
          </w:p>
        </w:tc>
        <w:tc>
          <w:tcPr>
            <w:tcW w:w="5941" w:type="dxa"/>
            <w:vAlign w:val="top"/>
          </w:tcPr>
          <w:p w14:paraId="5FF1EA9A">
            <w:pPr>
              <w:rPr>
                <w:rFonts w:ascii="Arial"/>
                <w:color w:val="auto"/>
                <w:sz w:val="21"/>
                <w:highlight w:val="none"/>
              </w:rPr>
            </w:pPr>
          </w:p>
        </w:tc>
      </w:tr>
      <w:tr w14:paraId="1A6E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8D79A89">
            <w:pPr>
              <w:pStyle w:val="18"/>
              <w:spacing w:before="206" w:line="221" w:lineRule="auto"/>
              <w:ind w:left="667"/>
              <w:rPr>
                <w:color w:val="auto"/>
                <w:highlight w:val="none"/>
              </w:rPr>
            </w:pPr>
            <w:r>
              <w:rPr>
                <w:color w:val="auto"/>
                <w:spacing w:val="-1"/>
                <w:highlight w:val="none"/>
              </w:rPr>
              <w:t>技术负责人</w:t>
            </w:r>
          </w:p>
        </w:tc>
        <w:tc>
          <w:tcPr>
            <w:tcW w:w="5941" w:type="dxa"/>
            <w:vAlign w:val="top"/>
          </w:tcPr>
          <w:p w14:paraId="12FDF038">
            <w:pPr>
              <w:rPr>
                <w:rFonts w:ascii="Arial"/>
                <w:color w:val="auto"/>
                <w:sz w:val="21"/>
                <w:highlight w:val="none"/>
              </w:rPr>
            </w:pPr>
          </w:p>
        </w:tc>
      </w:tr>
      <w:tr w14:paraId="51742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0AA8904">
            <w:pPr>
              <w:pStyle w:val="18"/>
              <w:spacing w:before="206" w:line="221" w:lineRule="auto"/>
              <w:ind w:left="254"/>
              <w:rPr>
                <w:color w:val="auto"/>
                <w:highlight w:val="none"/>
              </w:rPr>
            </w:pPr>
            <w:r>
              <w:rPr>
                <w:color w:val="auto"/>
                <w:spacing w:val="-1"/>
                <w:highlight w:val="none"/>
              </w:rPr>
              <w:t>总监理工程师及电话</w:t>
            </w:r>
          </w:p>
        </w:tc>
        <w:tc>
          <w:tcPr>
            <w:tcW w:w="5941" w:type="dxa"/>
            <w:vAlign w:val="top"/>
          </w:tcPr>
          <w:p w14:paraId="09AC4021">
            <w:pPr>
              <w:rPr>
                <w:rFonts w:ascii="Arial"/>
                <w:color w:val="auto"/>
                <w:sz w:val="21"/>
                <w:highlight w:val="none"/>
              </w:rPr>
            </w:pPr>
          </w:p>
        </w:tc>
      </w:tr>
      <w:tr w14:paraId="0636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36424900">
            <w:pPr>
              <w:pStyle w:val="18"/>
              <w:spacing w:before="298" w:line="221" w:lineRule="auto"/>
              <w:ind w:left="775"/>
              <w:rPr>
                <w:color w:val="auto"/>
                <w:highlight w:val="none"/>
              </w:rPr>
            </w:pPr>
            <w:r>
              <w:rPr>
                <w:color w:val="auto"/>
                <w:spacing w:val="-2"/>
                <w:highlight w:val="none"/>
              </w:rPr>
              <w:t>项目描述</w:t>
            </w:r>
          </w:p>
        </w:tc>
        <w:tc>
          <w:tcPr>
            <w:tcW w:w="5941" w:type="dxa"/>
            <w:vAlign w:val="top"/>
          </w:tcPr>
          <w:p w14:paraId="694289B0">
            <w:pPr>
              <w:rPr>
                <w:rFonts w:ascii="Arial"/>
                <w:color w:val="auto"/>
                <w:sz w:val="21"/>
                <w:highlight w:val="none"/>
              </w:rPr>
            </w:pPr>
          </w:p>
        </w:tc>
      </w:tr>
      <w:tr w14:paraId="01046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4ECD8C3">
            <w:pPr>
              <w:pStyle w:val="18"/>
              <w:spacing w:before="208" w:line="222" w:lineRule="auto"/>
              <w:ind w:left="985"/>
              <w:rPr>
                <w:color w:val="auto"/>
                <w:highlight w:val="none"/>
              </w:rPr>
            </w:pPr>
            <w:r>
              <w:rPr>
                <w:color w:val="auto"/>
                <w:spacing w:val="-3"/>
                <w:highlight w:val="none"/>
              </w:rPr>
              <w:t>备注</w:t>
            </w:r>
          </w:p>
        </w:tc>
        <w:tc>
          <w:tcPr>
            <w:tcW w:w="5941" w:type="dxa"/>
            <w:vAlign w:val="top"/>
          </w:tcPr>
          <w:p w14:paraId="1CCE4F1E">
            <w:pPr>
              <w:rPr>
                <w:rFonts w:ascii="Arial"/>
                <w:color w:val="auto"/>
                <w:sz w:val="21"/>
                <w:highlight w:val="none"/>
              </w:rPr>
            </w:pPr>
          </w:p>
        </w:tc>
      </w:tr>
    </w:tbl>
    <w:p w14:paraId="2A165C24">
      <w:pPr>
        <w:spacing w:before="29" w:line="220" w:lineRule="auto"/>
        <w:ind w:left="33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备注： 1.类似项目含义和近年具体要求见投标人须</w:t>
      </w:r>
      <w:r>
        <w:rPr>
          <w:rFonts w:ascii="宋体" w:hAnsi="宋体" w:eastAsia="宋体" w:cs="宋体"/>
          <w:color w:val="auto"/>
          <w:spacing w:val="-6"/>
          <w:sz w:val="21"/>
          <w:szCs w:val="21"/>
          <w:highlight w:val="none"/>
        </w:rPr>
        <w:t>知前附表，</w:t>
      </w:r>
    </w:p>
    <w:p w14:paraId="796A1246">
      <w:pPr>
        <w:spacing w:before="18" w:line="220" w:lineRule="auto"/>
        <w:ind w:left="96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2.本表后附业绩材料。每张表格只填写一个项目，</w:t>
      </w:r>
      <w:r>
        <w:rPr>
          <w:rFonts w:ascii="宋体" w:hAnsi="宋体" w:eastAsia="宋体" w:cs="宋体"/>
          <w:color w:val="auto"/>
          <w:spacing w:val="-2"/>
          <w:sz w:val="21"/>
          <w:szCs w:val="21"/>
          <w:highlight w:val="none"/>
        </w:rPr>
        <w:t>并标明序号。</w:t>
      </w:r>
    </w:p>
    <w:p w14:paraId="5536EF6B">
      <w:pPr>
        <w:spacing w:line="220" w:lineRule="auto"/>
        <w:rPr>
          <w:rFonts w:ascii="宋体" w:hAnsi="宋体" w:eastAsia="宋体" w:cs="宋体"/>
          <w:color w:val="auto"/>
          <w:sz w:val="21"/>
          <w:szCs w:val="21"/>
          <w:highlight w:val="none"/>
        </w:rPr>
        <w:sectPr>
          <w:footerReference r:id="rId176" w:type="default"/>
          <w:pgSz w:w="11905" w:h="16839"/>
          <w:pgMar w:top="400" w:right="1785" w:bottom="1004" w:left="1785" w:header="0" w:footer="828" w:gutter="0"/>
          <w:pgNumType w:fmt="decimal"/>
          <w:cols w:space="720" w:num="1"/>
        </w:sectPr>
      </w:pPr>
    </w:p>
    <w:p w14:paraId="72BA1AFD">
      <w:pPr>
        <w:pStyle w:val="5"/>
        <w:spacing w:line="267" w:lineRule="auto"/>
        <w:rPr>
          <w:color w:val="auto"/>
          <w:highlight w:val="none"/>
        </w:rPr>
      </w:pPr>
    </w:p>
    <w:p w14:paraId="17076B12">
      <w:pPr>
        <w:pStyle w:val="5"/>
        <w:spacing w:line="268" w:lineRule="auto"/>
        <w:rPr>
          <w:color w:val="auto"/>
          <w:highlight w:val="none"/>
        </w:rPr>
      </w:pPr>
    </w:p>
    <w:p w14:paraId="1C1F95F2">
      <w:pPr>
        <w:pStyle w:val="5"/>
        <w:spacing w:line="268" w:lineRule="auto"/>
        <w:rPr>
          <w:color w:val="auto"/>
          <w:highlight w:val="none"/>
        </w:rPr>
      </w:pPr>
    </w:p>
    <w:p w14:paraId="7B2527DA">
      <w:pPr>
        <w:pStyle w:val="5"/>
        <w:spacing w:line="268" w:lineRule="auto"/>
        <w:rPr>
          <w:color w:val="auto"/>
          <w:highlight w:val="none"/>
        </w:rPr>
      </w:pPr>
    </w:p>
    <w:p w14:paraId="150B8960">
      <w:pPr>
        <w:spacing w:before="78" w:line="398" w:lineRule="exact"/>
        <w:ind w:left="2406"/>
        <w:rPr>
          <w:rFonts w:ascii="黑体" w:hAnsi="黑体" w:eastAsia="黑体" w:cs="黑体"/>
          <w:color w:val="auto"/>
          <w:sz w:val="24"/>
          <w:szCs w:val="24"/>
          <w:highlight w:val="none"/>
        </w:rPr>
      </w:pPr>
      <w:r>
        <w:rPr>
          <w:rFonts w:ascii="黑体" w:hAnsi="黑体" w:eastAsia="黑体" w:cs="黑体"/>
          <w:color w:val="auto"/>
          <w:spacing w:val="-2"/>
          <w:position w:val="11"/>
          <w:sz w:val="24"/>
          <w:szCs w:val="24"/>
          <w:highlight w:val="none"/>
        </w:rPr>
        <w:t>（四）正在施工的和新承接的项目情况</w:t>
      </w:r>
    </w:p>
    <w:p w14:paraId="587B5CE6">
      <w:pPr>
        <w:spacing w:line="218" w:lineRule="auto"/>
        <w:ind w:left="2433"/>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4-</w:t>
      </w:r>
      <w:r>
        <w:rPr>
          <w:rFonts w:ascii="Times New Roman" w:hAnsi="Times New Roman" w:eastAsia="Times New Roman" w:cs="Times New Roman"/>
          <w:color w:val="auto"/>
          <w:spacing w:val="-23"/>
          <w:sz w:val="24"/>
          <w:szCs w:val="24"/>
          <w:highlight w:val="none"/>
        </w:rPr>
        <w:t xml:space="preserve"> </w:t>
      </w:r>
      <w:r>
        <w:rPr>
          <w:rFonts w:ascii="Times New Roman" w:hAnsi="Times New Roman" w:eastAsia="Times New Roman" w:cs="Times New Roman"/>
          <w:color w:val="auto"/>
          <w:spacing w:val="-3"/>
          <w:sz w:val="24"/>
          <w:szCs w:val="24"/>
          <w:highlight w:val="none"/>
        </w:rPr>
        <w:t>1</w:t>
      </w:r>
      <w:r>
        <w:rPr>
          <w:rFonts w:ascii="Times New Roman" w:hAnsi="Times New Roman" w:eastAsia="Times New Roman" w:cs="Times New Roman"/>
          <w:color w:val="auto"/>
          <w:spacing w:val="17"/>
          <w:w w:val="101"/>
          <w:sz w:val="24"/>
          <w:szCs w:val="24"/>
          <w:highlight w:val="none"/>
        </w:rPr>
        <w:t xml:space="preserve"> </w:t>
      </w:r>
      <w:r>
        <w:rPr>
          <w:rFonts w:ascii="黑体" w:hAnsi="黑体" w:eastAsia="黑体" w:cs="黑体"/>
          <w:color w:val="auto"/>
          <w:spacing w:val="-3"/>
          <w:sz w:val="24"/>
          <w:szCs w:val="24"/>
          <w:highlight w:val="none"/>
        </w:rPr>
        <w:t>正在施工的和新承接的项目汇总表</w:t>
      </w:r>
    </w:p>
    <w:p w14:paraId="3D5F0B1C">
      <w:pPr>
        <w:spacing w:line="44" w:lineRule="auto"/>
        <w:rPr>
          <w:rFonts w:ascii="Arial"/>
          <w:color w:val="auto"/>
          <w:sz w:val="2"/>
          <w:highlight w:val="none"/>
        </w:rPr>
      </w:pPr>
    </w:p>
    <w:tbl>
      <w:tblPr>
        <w:tblStyle w:val="17"/>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0084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5A6CF045">
            <w:pPr>
              <w:pStyle w:val="18"/>
              <w:spacing w:before="167" w:line="211" w:lineRule="auto"/>
              <w:ind w:left="159"/>
              <w:rPr>
                <w:color w:val="auto"/>
                <w:highlight w:val="none"/>
              </w:rPr>
            </w:pPr>
            <w:r>
              <w:rPr>
                <w:color w:val="auto"/>
                <w:spacing w:val="1"/>
                <w:highlight w:val="none"/>
              </w:rPr>
              <w:t>序</w:t>
            </w:r>
            <w:r>
              <w:rPr>
                <w:color w:val="auto"/>
                <w:spacing w:val="82"/>
                <w:highlight w:val="none"/>
              </w:rPr>
              <w:t xml:space="preserve"> </w:t>
            </w:r>
            <w:r>
              <w:rPr>
                <w:color w:val="auto"/>
                <w:spacing w:val="1"/>
                <w:highlight w:val="none"/>
              </w:rPr>
              <w:t>号</w:t>
            </w:r>
          </w:p>
        </w:tc>
        <w:tc>
          <w:tcPr>
            <w:tcW w:w="1842" w:type="dxa"/>
            <w:vAlign w:val="top"/>
          </w:tcPr>
          <w:p w14:paraId="62FD5A5D">
            <w:pPr>
              <w:spacing w:line="286" w:lineRule="auto"/>
              <w:rPr>
                <w:rFonts w:ascii="Arial"/>
                <w:color w:val="auto"/>
                <w:sz w:val="21"/>
                <w:highlight w:val="none"/>
              </w:rPr>
            </w:pPr>
          </w:p>
          <w:p w14:paraId="0A3582C2">
            <w:pPr>
              <w:pStyle w:val="18"/>
              <w:spacing w:before="69" w:line="221" w:lineRule="auto"/>
              <w:ind w:left="506"/>
              <w:rPr>
                <w:color w:val="auto"/>
                <w:highlight w:val="none"/>
              </w:rPr>
            </w:pPr>
            <w:r>
              <w:rPr>
                <w:color w:val="auto"/>
                <w:spacing w:val="-2"/>
                <w:highlight w:val="none"/>
              </w:rPr>
              <w:t>项目名称</w:t>
            </w:r>
          </w:p>
        </w:tc>
        <w:tc>
          <w:tcPr>
            <w:tcW w:w="1397" w:type="dxa"/>
            <w:vAlign w:val="top"/>
          </w:tcPr>
          <w:p w14:paraId="1A5B22FD">
            <w:pPr>
              <w:spacing w:line="286" w:lineRule="auto"/>
              <w:rPr>
                <w:rFonts w:ascii="Arial"/>
                <w:color w:val="auto"/>
                <w:sz w:val="21"/>
                <w:highlight w:val="none"/>
              </w:rPr>
            </w:pPr>
          </w:p>
          <w:p w14:paraId="26CAB207">
            <w:pPr>
              <w:pStyle w:val="18"/>
              <w:spacing w:before="69" w:line="221" w:lineRule="auto"/>
              <w:ind w:left="181"/>
              <w:rPr>
                <w:color w:val="auto"/>
                <w:highlight w:val="none"/>
              </w:rPr>
            </w:pPr>
            <w:r>
              <w:rPr>
                <w:color w:val="auto"/>
                <w:spacing w:val="-1"/>
                <w:highlight w:val="none"/>
              </w:rPr>
              <w:t>发包人名称</w:t>
            </w:r>
          </w:p>
        </w:tc>
        <w:tc>
          <w:tcPr>
            <w:tcW w:w="1080" w:type="dxa"/>
            <w:vAlign w:val="top"/>
          </w:tcPr>
          <w:p w14:paraId="62A324DB">
            <w:pPr>
              <w:spacing w:line="286" w:lineRule="auto"/>
              <w:rPr>
                <w:rFonts w:ascii="Arial"/>
                <w:color w:val="auto"/>
                <w:sz w:val="21"/>
                <w:highlight w:val="none"/>
              </w:rPr>
            </w:pPr>
          </w:p>
          <w:p w14:paraId="2BF9A43F">
            <w:pPr>
              <w:pStyle w:val="18"/>
              <w:spacing w:before="68" w:line="221" w:lineRule="auto"/>
              <w:ind w:left="123"/>
              <w:rPr>
                <w:color w:val="auto"/>
                <w:highlight w:val="none"/>
              </w:rPr>
            </w:pPr>
            <w:r>
              <w:rPr>
                <w:color w:val="auto"/>
                <w:spacing w:val="-2"/>
                <w:highlight w:val="none"/>
              </w:rPr>
              <w:t>工程规模</w:t>
            </w:r>
          </w:p>
        </w:tc>
        <w:tc>
          <w:tcPr>
            <w:tcW w:w="1108" w:type="dxa"/>
            <w:vAlign w:val="top"/>
          </w:tcPr>
          <w:p w14:paraId="5D7DA81A">
            <w:pPr>
              <w:pStyle w:val="18"/>
              <w:spacing w:before="159" w:line="399" w:lineRule="exact"/>
              <w:ind w:left="141"/>
              <w:rPr>
                <w:color w:val="auto"/>
                <w:highlight w:val="none"/>
              </w:rPr>
            </w:pPr>
            <w:r>
              <w:rPr>
                <w:color w:val="auto"/>
                <w:spacing w:val="-1"/>
                <w:position w:val="14"/>
                <w:highlight w:val="none"/>
              </w:rPr>
              <w:t>合同价格</w:t>
            </w:r>
          </w:p>
          <w:p w14:paraId="18048CF8">
            <w:pPr>
              <w:pStyle w:val="18"/>
              <w:spacing w:line="209" w:lineRule="auto"/>
              <w:ind w:left="199"/>
              <w:rPr>
                <w:color w:val="auto"/>
                <w:highlight w:val="none"/>
              </w:rPr>
            </w:pPr>
            <w:r>
              <w:rPr>
                <w:color w:val="auto"/>
                <w:spacing w:val="-6"/>
                <w:highlight w:val="none"/>
              </w:rPr>
              <w:t>（元）</w:t>
            </w:r>
          </w:p>
        </w:tc>
        <w:tc>
          <w:tcPr>
            <w:tcW w:w="1781" w:type="dxa"/>
            <w:vAlign w:val="top"/>
          </w:tcPr>
          <w:p w14:paraId="22BE07F6">
            <w:pPr>
              <w:pStyle w:val="18"/>
              <w:spacing w:before="159" w:line="399" w:lineRule="exact"/>
              <w:ind w:left="372"/>
              <w:rPr>
                <w:color w:val="auto"/>
                <w:highlight w:val="none"/>
              </w:rPr>
            </w:pPr>
            <w:r>
              <w:rPr>
                <w:color w:val="auto"/>
                <w:spacing w:val="-1"/>
                <w:position w:val="14"/>
                <w:highlight w:val="none"/>
              </w:rPr>
              <w:t>计划开、竣</w:t>
            </w:r>
          </w:p>
          <w:p w14:paraId="60FF5A51">
            <w:pPr>
              <w:pStyle w:val="18"/>
              <w:spacing w:line="209" w:lineRule="auto"/>
              <w:ind w:left="586"/>
              <w:rPr>
                <w:color w:val="auto"/>
                <w:highlight w:val="none"/>
              </w:rPr>
            </w:pPr>
            <w:r>
              <w:rPr>
                <w:color w:val="auto"/>
                <w:spacing w:val="-2"/>
                <w:highlight w:val="none"/>
              </w:rPr>
              <w:t>工日期</w:t>
            </w:r>
          </w:p>
        </w:tc>
        <w:tc>
          <w:tcPr>
            <w:tcW w:w="1084" w:type="dxa"/>
            <w:vAlign w:val="top"/>
          </w:tcPr>
          <w:p w14:paraId="0E0BA3F4">
            <w:pPr>
              <w:spacing w:line="286" w:lineRule="auto"/>
              <w:rPr>
                <w:rFonts w:ascii="Arial"/>
                <w:color w:val="auto"/>
                <w:sz w:val="21"/>
                <w:highlight w:val="none"/>
              </w:rPr>
            </w:pPr>
          </w:p>
          <w:p w14:paraId="0D886CC1">
            <w:pPr>
              <w:pStyle w:val="18"/>
              <w:spacing w:before="69" w:line="221" w:lineRule="auto"/>
              <w:ind w:left="131"/>
              <w:rPr>
                <w:color w:val="auto"/>
                <w:highlight w:val="none"/>
              </w:rPr>
            </w:pPr>
            <w:r>
              <w:rPr>
                <w:color w:val="auto"/>
                <w:spacing w:val="-2"/>
                <w:highlight w:val="none"/>
              </w:rPr>
              <w:t>项目经理</w:t>
            </w:r>
          </w:p>
        </w:tc>
      </w:tr>
      <w:tr w14:paraId="19510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5B722C6">
            <w:pPr>
              <w:rPr>
                <w:rFonts w:ascii="Arial"/>
                <w:color w:val="auto"/>
                <w:sz w:val="21"/>
                <w:highlight w:val="none"/>
              </w:rPr>
            </w:pPr>
          </w:p>
        </w:tc>
        <w:tc>
          <w:tcPr>
            <w:tcW w:w="1842" w:type="dxa"/>
            <w:vAlign w:val="top"/>
          </w:tcPr>
          <w:p w14:paraId="5446F5C0">
            <w:pPr>
              <w:rPr>
                <w:rFonts w:ascii="Arial"/>
                <w:color w:val="auto"/>
                <w:sz w:val="21"/>
                <w:highlight w:val="none"/>
              </w:rPr>
            </w:pPr>
          </w:p>
        </w:tc>
        <w:tc>
          <w:tcPr>
            <w:tcW w:w="1397" w:type="dxa"/>
            <w:vAlign w:val="top"/>
          </w:tcPr>
          <w:p w14:paraId="65EF3001">
            <w:pPr>
              <w:rPr>
                <w:rFonts w:ascii="Arial"/>
                <w:color w:val="auto"/>
                <w:sz w:val="21"/>
                <w:highlight w:val="none"/>
              </w:rPr>
            </w:pPr>
          </w:p>
        </w:tc>
        <w:tc>
          <w:tcPr>
            <w:tcW w:w="1080" w:type="dxa"/>
            <w:vAlign w:val="top"/>
          </w:tcPr>
          <w:p w14:paraId="4C75C212">
            <w:pPr>
              <w:rPr>
                <w:rFonts w:ascii="Arial"/>
                <w:color w:val="auto"/>
                <w:sz w:val="21"/>
                <w:highlight w:val="none"/>
              </w:rPr>
            </w:pPr>
          </w:p>
        </w:tc>
        <w:tc>
          <w:tcPr>
            <w:tcW w:w="1108" w:type="dxa"/>
            <w:vAlign w:val="top"/>
          </w:tcPr>
          <w:p w14:paraId="40C42AF9">
            <w:pPr>
              <w:rPr>
                <w:rFonts w:ascii="Arial"/>
                <w:color w:val="auto"/>
                <w:sz w:val="21"/>
                <w:highlight w:val="none"/>
              </w:rPr>
            </w:pPr>
          </w:p>
        </w:tc>
        <w:tc>
          <w:tcPr>
            <w:tcW w:w="1781" w:type="dxa"/>
            <w:vAlign w:val="top"/>
          </w:tcPr>
          <w:p w14:paraId="71610DC8">
            <w:pPr>
              <w:rPr>
                <w:rFonts w:ascii="Arial"/>
                <w:color w:val="auto"/>
                <w:sz w:val="21"/>
                <w:highlight w:val="none"/>
              </w:rPr>
            </w:pPr>
          </w:p>
        </w:tc>
        <w:tc>
          <w:tcPr>
            <w:tcW w:w="1084" w:type="dxa"/>
            <w:vAlign w:val="top"/>
          </w:tcPr>
          <w:p w14:paraId="477E8B45">
            <w:pPr>
              <w:rPr>
                <w:rFonts w:ascii="Arial"/>
                <w:color w:val="auto"/>
                <w:sz w:val="21"/>
                <w:highlight w:val="none"/>
              </w:rPr>
            </w:pPr>
          </w:p>
        </w:tc>
      </w:tr>
      <w:tr w14:paraId="1B792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D875C08">
            <w:pPr>
              <w:rPr>
                <w:rFonts w:ascii="Arial"/>
                <w:color w:val="auto"/>
                <w:sz w:val="21"/>
                <w:highlight w:val="none"/>
              </w:rPr>
            </w:pPr>
          </w:p>
        </w:tc>
        <w:tc>
          <w:tcPr>
            <w:tcW w:w="1842" w:type="dxa"/>
            <w:vAlign w:val="top"/>
          </w:tcPr>
          <w:p w14:paraId="15D5C473">
            <w:pPr>
              <w:rPr>
                <w:rFonts w:ascii="Arial"/>
                <w:color w:val="auto"/>
                <w:sz w:val="21"/>
                <w:highlight w:val="none"/>
              </w:rPr>
            </w:pPr>
          </w:p>
        </w:tc>
        <w:tc>
          <w:tcPr>
            <w:tcW w:w="1397" w:type="dxa"/>
            <w:vAlign w:val="top"/>
          </w:tcPr>
          <w:p w14:paraId="7B7EF1DB">
            <w:pPr>
              <w:rPr>
                <w:rFonts w:ascii="Arial"/>
                <w:color w:val="auto"/>
                <w:sz w:val="21"/>
                <w:highlight w:val="none"/>
              </w:rPr>
            </w:pPr>
          </w:p>
        </w:tc>
        <w:tc>
          <w:tcPr>
            <w:tcW w:w="1080" w:type="dxa"/>
            <w:vAlign w:val="top"/>
          </w:tcPr>
          <w:p w14:paraId="18CA7B77">
            <w:pPr>
              <w:rPr>
                <w:rFonts w:ascii="Arial"/>
                <w:color w:val="auto"/>
                <w:sz w:val="21"/>
                <w:highlight w:val="none"/>
              </w:rPr>
            </w:pPr>
          </w:p>
        </w:tc>
        <w:tc>
          <w:tcPr>
            <w:tcW w:w="1108" w:type="dxa"/>
            <w:vAlign w:val="top"/>
          </w:tcPr>
          <w:p w14:paraId="144FCF9A">
            <w:pPr>
              <w:rPr>
                <w:rFonts w:ascii="Arial"/>
                <w:color w:val="auto"/>
                <w:sz w:val="21"/>
                <w:highlight w:val="none"/>
              </w:rPr>
            </w:pPr>
          </w:p>
        </w:tc>
        <w:tc>
          <w:tcPr>
            <w:tcW w:w="1781" w:type="dxa"/>
            <w:vAlign w:val="top"/>
          </w:tcPr>
          <w:p w14:paraId="3B7D2DB1">
            <w:pPr>
              <w:rPr>
                <w:rFonts w:ascii="Arial"/>
                <w:color w:val="auto"/>
                <w:sz w:val="21"/>
                <w:highlight w:val="none"/>
              </w:rPr>
            </w:pPr>
          </w:p>
        </w:tc>
        <w:tc>
          <w:tcPr>
            <w:tcW w:w="1084" w:type="dxa"/>
            <w:vAlign w:val="top"/>
          </w:tcPr>
          <w:p w14:paraId="76A929C7">
            <w:pPr>
              <w:rPr>
                <w:rFonts w:ascii="Arial"/>
                <w:color w:val="auto"/>
                <w:sz w:val="21"/>
                <w:highlight w:val="none"/>
              </w:rPr>
            </w:pPr>
          </w:p>
        </w:tc>
      </w:tr>
      <w:tr w14:paraId="79BBF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030D7C70">
            <w:pPr>
              <w:rPr>
                <w:rFonts w:ascii="Arial"/>
                <w:color w:val="auto"/>
                <w:sz w:val="21"/>
                <w:highlight w:val="none"/>
              </w:rPr>
            </w:pPr>
          </w:p>
        </w:tc>
        <w:tc>
          <w:tcPr>
            <w:tcW w:w="1842" w:type="dxa"/>
            <w:vAlign w:val="top"/>
          </w:tcPr>
          <w:p w14:paraId="53631715">
            <w:pPr>
              <w:rPr>
                <w:rFonts w:ascii="Arial"/>
                <w:color w:val="auto"/>
                <w:sz w:val="21"/>
                <w:highlight w:val="none"/>
              </w:rPr>
            </w:pPr>
          </w:p>
        </w:tc>
        <w:tc>
          <w:tcPr>
            <w:tcW w:w="1397" w:type="dxa"/>
            <w:vAlign w:val="top"/>
          </w:tcPr>
          <w:p w14:paraId="124C26FE">
            <w:pPr>
              <w:rPr>
                <w:rFonts w:ascii="Arial"/>
                <w:color w:val="auto"/>
                <w:sz w:val="21"/>
                <w:highlight w:val="none"/>
              </w:rPr>
            </w:pPr>
          </w:p>
        </w:tc>
        <w:tc>
          <w:tcPr>
            <w:tcW w:w="1080" w:type="dxa"/>
            <w:vAlign w:val="top"/>
          </w:tcPr>
          <w:p w14:paraId="481A61B4">
            <w:pPr>
              <w:rPr>
                <w:rFonts w:ascii="Arial"/>
                <w:color w:val="auto"/>
                <w:sz w:val="21"/>
                <w:highlight w:val="none"/>
              </w:rPr>
            </w:pPr>
          </w:p>
        </w:tc>
        <w:tc>
          <w:tcPr>
            <w:tcW w:w="1108" w:type="dxa"/>
            <w:vAlign w:val="top"/>
          </w:tcPr>
          <w:p w14:paraId="43D6017C">
            <w:pPr>
              <w:rPr>
                <w:rFonts w:ascii="Arial"/>
                <w:color w:val="auto"/>
                <w:sz w:val="21"/>
                <w:highlight w:val="none"/>
              </w:rPr>
            </w:pPr>
          </w:p>
        </w:tc>
        <w:tc>
          <w:tcPr>
            <w:tcW w:w="1781" w:type="dxa"/>
            <w:vAlign w:val="top"/>
          </w:tcPr>
          <w:p w14:paraId="160D9CD3">
            <w:pPr>
              <w:rPr>
                <w:rFonts w:ascii="Arial"/>
                <w:color w:val="auto"/>
                <w:sz w:val="21"/>
                <w:highlight w:val="none"/>
              </w:rPr>
            </w:pPr>
          </w:p>
        </w:tc>
        <w:tc>
          <w:tcPr>
            <w:tcW w:w="1084" w:type="dxa"/>
            <w:vAlign w:val="top"/>
          </w:tcPr>
          <w:p w14:paraId="4C1BF0EA">
            <w:pPr>
              <w:rPr>
                <w:rFonts w:ascii="Arial"/>
                <w:color w:val="auto"/>
                <w:sz w:val="21"/>
                <w:highlight w:val="none"/>
              </w:rPr>
            </w:pPr>
          </w:p>
        </w:tc>
      </w:tr>
      <w:tr w14:paraId="3D950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CA8DAF6">
            <w:pPr>
              <w:rPr>
                <w:rFonts w:ascii="Arial"/>
                <w:color w:val="auto"/>
                <w:sz w:val="21"/>
                <w:highlight w:val="none"/>
              </w:rPr>
            </w:pPr>
          </w:p>
        </w:tc>
        <w:tc>
          <w:tcPr>
            <w:tcW w:w="1842" w:type="dxa"/>
            <w:vAlign w:val="top"/>
          </w:tcPr>
          <w:p w14:paraId="07D31F99">
            <w:pPr>
              <w:rPr>
                <w:rFonts w:ascii="Arial"/>
                <w:color w:val="auto"/>
                <w:sz w:val="21"/>
                <w:highlight w:val="none"/>
              </w:rPr>
            </w:pPr>
          </w:p>
        </w:tc>
        <w:tc>
          <w:tcPr>
            <w:tcW w:w="1397" w:type="dxa"/>
            <w:vAlign w:val="top"/>
          </w:tcPr>
          <w:p w14:paraId="492AF54A">
            <w:pPr>
              <w:rPr>
                <w:rFonts w:ascii="Arial"/>
                <w:color w:val="auto"/>
                <w:sz w:val="21"/>
                <w:highlight w:val="none"/>
              </w:rPr>
            </w:pPr>
          </w:p>
        </w:tc>
        <w:tc>
          <w:tcPr>
            <w:tcW w:w="1080" w:type="dxa"/>
            <w:vAlign w:val="top"/>
          </w:tcPr>
          <w:p w14:paraId="1D0F84C6">
            <w:pPr>
              <w:rPr>
                <w:rFonts w:ascii="Arial"/>
                <w:color w:val="auto"/>
                <w:sz w:val="21"/>
                <w:highlight w:val="none"/>
              </w:rPr>
            </w:pPr>
          </w:p>
        </w:tc>
        <w:tc>
          <w:tcPr>
            <w:tcW w:w="1108" w:type="dxa"/>
            <w:vAlign w:val="top"/>
          </w:tcPr>
          <w:p w14:paraId="69E3D623">
            <w:pPr>
              <w:rPr>
                <w:rFonts w:ascii="Arial"/>
                <w:color w:val="auto"/>
                <w:sz w:val="21"/>
                <w:highlight w:val="none"/>
              </w:rPr>
            </w:pPr>
          </w:p>
        </w:tc>
        <w:tc>
          <w:tcPr>
            <w:tcW w:w="1781" w:type="dxa"/>
            <w:vAlign w:val="top"/>
          </w:tcPr>
          <w:p w14:paraId="723DDD85">
            <w:pPr>
              <w:rPr>
                <w:rFonts w:ascii="Arial"/>
                <w:color w:val="auto"/>
                <w:sz w:val="21"/>
                <w:highlight w:val="none"/>
              </w:rPr>
            </w:pPr>
          </w:p>
        </w:tc>
        <w:tc>
          <w:tcPr>
            <w:tcW w:w="1084" w:type="dxa"/>
            <w:vAlign w:val="top"/>
          </w:tcPr>
          <w:p w14:paraId="0F62D497">
            <w:pPr>
              <w:rPr>
                <w:rFonts w:ascii="Arial"/>
                <w:color w:val="auto"/>
                <w:sz w:val="21"/>
                <w:highlight w:val="none"/>
              </w:rPr>
            </w:pPr>
          </w:p>
        </w:tc>
      </w:tr>
      <w:tr w14:paraId="4B5A7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74ECEB2">
            <w:pPr>
              <w:rPr>
                <w:rFonts w:ascii="Arial"/>
                <w:color w:val="auto"/>
                <w:sz w:val="21"/>
                <w:highlight w:val="none"/>
              </w:rPr>
            </w:pPr>
          </w:p>
        </w:tc>
        <w:tc>
          <w:tcPr>
            <w:tcW w:w="1842" w:type="dxa"/>
            <w:vAlign w:val="top"/>
          </w:tcPr>
          <w:p w14:paraId="74BF20F3">
            <w:pPr>
              <w:rPr>
                <w:rFonts w:ascii="Arial"/>
                <w:color w:val="auto"/>
                <w:sz w:val="21"/>
                <w:highlight w:val="none"/>
              </w:rPr>
            </w:pPr>
          </w:p>
        </w:tc>
        <w:tc>
          <w:tcPr>
            <w:tcW w:w="1397" w:type="dxa"/>
            <w:vAlign w:val="top"/>
          </w:tcPr>
          <w:p w14:paraId="78C7097C">
            <w:pPr>
              <w:rPr>
                <w:rFonts w:ascii="Arial"/>
                <w:color w:val="auto"/>
                <w:sz w:val="21"/>
                <w:highlight w:val="none"/>
              </w:rPr>
            </w:pPr>
          </w:p>
        </w:tc>
        <w:tc>
          <w:tcPr>
            <w:tcW w:w="1080" w:type="dxa"/>
            <w:vAlign w:val="top"/>
          </w:tcPr>
          <w:p w14:paraId="526B9D2D">
            <w:pPr>
              <w:rPr>
                <w:rFonts w:ascii="Arial"/>
                <w:color w:val="auto"/>
                <w:sz w:val="21"/>
                <w:highlight w:val="none"/>
              </w:rPr>
            </w:pPr>
          </w:p>
        </w:tc>
        <w:tc>
          <w:tcPr>
            <w:tcW w:w="1108" w:type="dxa"/>
            <w:vAlign w:val="top"/>
          </w:tcPr>
          <w:p w14:paraId="4A4E1669">
            <w:pPr>
              <w:rPr>
                <w:rFonts w:ascii="Arial"/>
                <w:color w:val="auto"/>
                <w:sz w:val="21"/>
                <w:highlight w:val="none"/>
              </w:rPr>
            </w:pPr>
          </w:p>
        </w:tc>
        <w:tc>
          <w:tcPr>
            <w:tcW w:w="1781" w:type="dxa"/>
            <w:vAlign w:val="top"/>
          </w:tcPr>
          <w:p w14:paraId="32469457">
            <w:pPr>
              <w:rPr>
                <w:rFonts w:ascii="Arial"/>
                <w:color w:val="auto"/>
                <w:sz w:val="21"/>
                <w:highlight w:val="none"/>
              </w:rPr>
            </w:pPr>
          </w:p>
        </w:tc>
        <w:tc>
          <w:tcPr>
            <w:tcW w:w="1084" w:type="dxa"/>
            <w:vAlign w:val="top"/>
          </w:tcPr>
          <w:p w14:paraId="436E0CCD">
            <w:pPr>
              <w:rPr>
                <w:rFonts w:ascii="Arial"/>
                <w:color w:val="auto"/>
                <w:sz w:val="21"/>
                <w:highlight w:val="none"/>
              </w:rPr>
            </w:pPr>
          </w:p>
        </w:tc>
      </w:tr>
      <w:tr w14:paraId="5214C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27858A0">
            <w:pPr>
              <w:rPr>
                <w:rFonts w:ascii="Arial"/>
                <w:color w:val="auto"/>
                <w:sz w:val="21"/>
                <w:highlight w:val="none"/>
              </w:rPr>
            </w:pPr>
          </w:p>
        </w:tc>
        <w:tc>
          <w:tcPr>
            <w:tcW w:w="1842" w:type="dxa"/>
            <w:vAlign w:val="top"/>
          </w:tcPr>
          <w:p w14:paraId="7E979E63">
            <w:pPr>
              <w:rPr>
                <w:rFonts w:ascii="Arial"/>
                <w:color w:val="auto"/>
                <w:sz w:val="21"/>
                <w:highlight w:val="none"/>
              </w:rPr>
            </w:pPr>
          </w:p>
        </w:tc>
        <w:tc>
          <w:tcPr>
            <w:tcW w:w="1397" w:type="dxa"/>
            <w:vAlign w:val="top"/>
          </w:tcPr>
          <w:p w14:paraId="3E5D78F0">
            <w:pPr>
              <w:rPr>
                <w:rFonts w:ascii="Arial"/>
                <w:color w:val="auto"/>
                <w:sz w:val="21"/>
                <w:highlight w:val="none"/>
              </w:rPr>
            </w:pPr>
          </w:p>
        </w:tc>
        <w:tc>
          <w:tcPr>
            <w:tcW w:w="1080" w:type="dxa"/>
            <w:vAlign w:val="top"/>
          </w:tcPr>
          <w:p w14:paraId="62D20A9F">
            <w:pPr>
              <w:rPr>
                <w:rFonts w:ascii="Arial"/>
                <w:color w:val="auto"/>
                <w:sz w:val="21"/>
                <w:highlight w:val="none"/>
              </w:rPr>
            </w:pPr>
          </w:p>
        </w:tc>
        <w:tc>
          <w:tcPr>
            <w:tcW w:w="1108" w:type="dxa"/>
            <w:vAlign w:val="top"/>
          </w:tcPr>
          <w:p w14:paraId="36D75AC7">
            <w:pPr>
              <w:rPr>
                <w:rFonts w:ascii="Arial"/>
                <w:color w:val="auto"/>
                <w:sz w:val="21"/>
                <w:highlight w:val="none"/>
              </w:rPr>
            </w:pPr>
          </w:p>
        </w:tc>
        <w:tc>
          <w:tcPr>
            <w:tcW w:w="1781" w:type="dxa"/>
            <w:vAlign w:val="top"/>
          </w:tcPr>
          <w:p w14:paraId="6C31F6BF">
            <w:pPr>
              <w:rPr>
                <w:rFonts w:ascii="Arial"/>
                <w:color w:val="auto"/>
                <w:sz w:val="21"/>
                <w:highlight w:val="none"/>
              </w:rPr>
            </w:pPr>
          </w:p>
        </w:tc>
        <w:tc>
          <w:tcPr>
            <w:tcW w:w="1084" w:type="dxa"/>
            <w:vAlign w:val="top"/>
          </w:tcPr>
          <w:p w14:paraId="6B25F57F">
            <w:pPr>
              <w:rPr>
                <w:rFonts w:ascii="Arial"/>
                <w:color w:val="auto"/>
                <w:sz w:val="21"/>
                <w:highlight w:val="none"/>
              </w:rPr>
            </w:pPr>
          </w:p>
        </w:tc>
      </w:tr>
      <w:tr w14:paraId="52F20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14:paraId="0837AE8E">
            <w:pPr>
              <w:rPr>
                <w:rFonts w:ascii="Arial"/>
                <w:color w:val="auto"/>
                <w:sz w:val="21"/>
                <w:highlight w:val="none"/>
              </w:rPr>
            </w:pPr>
          </w:p>
        </w:tc>
        <w:tc>
          <w:tcPr>
            <w:tcW w:w="1842" w:type="dxa"/>
            <w:vAlign w:val="top"/>
          </w:tcPr>
          <w:p w14:paraId="21F417D3">
            <w:pPr>
              <w:rPr>
                <w:rFonts w:ascii="Arial"/>
                <w:color w:val="auto"/>
                <w:sz w:val="21"/>
                <w:highlight w:val="none"/>
              </w:rPr>
            </w:pPr>
          </w:p>
        </w:tc>
        <w:tc>
          <w:tcPr>
            <w:tcW w:w="1397" w:type="dxa"/>
            <w:vAlign w:val="top"/>
          </w:tcPr>
          <w:p w14:paraId="5F9DA967">
            <w:pPr>
              <w:rPr>
                <w:rFonts w:ascii="Arial"/>
                <w:color w:val="auto"/>
                <w:sz w:val="21"/>
                <w:highlight w:val="none"/>
              </w:rPr>
            </w:pPr>
          </w:p>
        </w:tc>
        <w:tc>
          <w:tcPr>
            <w:tcW w:w="1080" w:type="dxa"/>
            <w:vAlign w:val="top"/>
          </w:tcPr>
          <w:p w14:paraId="5D6579DC">
            <w:pPr>
              <w:rPr>
                <w:rFonts w:ascii="Arial"/>
                <w:color w:val="auto"/>
                <w:sz w:val="21"/>
                <w:highlight w:val="none"/>
              </w:rPr>
            </w:pPr>
          </w:p>
        </w:tc>
        <w:tc>
          <w:tcPr>
            <w:tcW w:w="1108" w:type="dxa"/>
            <w:vAlign w:val="top"/>
          </w:tcPr>
          <w:p w14:paraId="6C90B8D1">
            <w:pPr>
              <w:rPr>
                <w:rFonts w:ascii="Arial"/>
                <w:color w:val="auto"/>
                <w:sz w:val="21"/>
                <w:highlight w:val="none"/>
              </w:rPr>
            </w:pPr>
          </w:p>
        </w:tc>
        <w:tc>
          <w:tcPr>
            <w:tcW w:w="1781" w:type="dxa"/>
            <w:vAlign w:val="top"/>
          </w:tcPr>
          <w:p w14:paraId="70F36766">
            <w:pPr>
              <w:rPr>
                <w:rFonts w:ascii="Arial"/>
                <w:color w:val="auto"/>
                <w:sz w:val="21"/>
                <w:highlight w:val="none"/>
              </w:rPr>
            </w:pPr>
          </w:p>
        </w:tc>
        <w:tc>
          <w:tcPr>
            <w:tcW w:w="1084" w:type="dxa"/>
            <w:vAlign w:val="top"/>
          </w:tcPr>
          <w:p w14:paraId="0C102D0D">
            <w:pPr>
              <w:rPr>
                <w:rFonts w:ascii="Arial"/>
                <w:color w:val="auto"/>
                <w:sz w:val="21"/>
                <w:highlight w:val="none"/>
              </w:rPr>
            </w:pPr>
          </w:p>
        </w:tc>
      </w:tr>
      <w:tr w14:paraId="26C55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84D0F7D">
            <w:pPr>
              <w:rPr>
                <w:rFonts w:ascii="Arial"/>
                <w:color w:val="auto"/>
                <w:sz w:val="21"/>
                <w:highlight w:val="none"/>
              </w:rPr>
            </w:pPr>
          </w:p>
        </w:tc>
        <w:tc>
          <w:tcPr>
            <w:tcW w:w="1842" w:type="dxa"/>
            <w:vAlign w:val="top"/>
          </w:tcPr>
          <w:p w14:paraId="48E362B1">
            <w:pPr>
              <w:rPr>
                <w:rFonts w:ascii="Arial"/>
                <w:color w:val="auto"/>
                <w:sz w:val="21"/>
                <w:highlight w:val="none"/>
              </w:rPr>
            </w:pPr>
          </w:p>
        </w:tc>
        <w:tc>
          <w:tcPr>
            <w:tcW w:w="1397" w:type="dxa"/>
            <w:vAlign w:val="top"/>
          </w:tcPr>
          <w:p w14:paraId="45B4E09D">
            <w:pPr>
              <w:rPr>
                <w:rFonts w:ascii="Arial"/>
                <w:color w:val="auto"/>
                <w:sz w:val="21"/>
                <w:highlight w:val="none"/>
              </w:rPr>
            </w:pPr>
          </w:p>
        </w:tc>
        <w:tc>
          <w:tcPr>
            <w:tcW w:w="1080" w:type="dxa"/>
            <w:vAlign w:val="top"/>
          </w:tcPr>
          <w:p w14:paraId="29B12F86">
            <w:pPr>
              <w:rPr>
                <w:rFonts w:ascii="Arial"/>
                <w:color w:val="auto"/>
                <w:sz w:val="21"/>
                <w:highlight w:val="none"/>
              </w:rPr>
            </w:pPr>
          </w:p>
        </w:tc>
        <w:tc>
          <w:tcPr>
            <w:tcW w:w="1108" w:type="dxa"/>
            <w:vAlign w:val="top"/>
          </w:tcPr>
          <w:p w14:paraId="77A119D1">
            <w:pPr>
              <w:rPr>
                <w:rFonts w:ascii="Arial"/>
                <w:color w:val="auto"/>
                <w:sz w:val="21"/>
                <w:highlight w:val="none"/>
              </w:rPr>
            </w:pPr>
          </w:p>
        </w:tc>
        <w:tc>
          <w:tcPr>
            <w:tcW w:w="1781" w:type="dxa"/>
            <w:vAlign w:val="top"/>
          </w:tcPr>
          <w:p w14:paraId="151AFD86">
            <w:pPr>
              <w:rPr>
                <w:rFonts w:ascii="Arial"/>
                <w:color w:val="auto"/>
                <w:sz w:val="21"/>
                <w:highlight w:val="none"/>
              </w:rPr>
            </w:pPr>
          </w:p>
        </w:tc>
        <w:tc>
          <w:tcPr>
            <w:tcW w:w="1084" w:type="dxa"/>
            <w:vAlign w:val="top"/>
          </w:tcPr>
          <w:p w14:paraId="439C3312">
            <w:pPr>
              <w:rPr>
                <w:rFonts w:ascii="Arial"/>
                <w:color w:val="auto"/>
                <w:sz w:val="21"/>
                <w:highlight w:val="none"/>
              </w:rPr>
            </w:pPr>
          </w:p>
        </w:tc>
      </w:tr>
      <w:tr w14:paraId="3FDF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79E87BB">
            <w:pPr>
              <w:rPr>
                <w:rFonts w:ascii="Arial"/>
                <w:color w:val="auto"/>
                <w:sz w:val="21"/>
                <w:highlight w:val="none"/>
              </w:rPr>
            </w:pPr>
          </w:p>
        </w:tc>
        <w:tc>
          <w:tcPr>
            <w:tcW w:w="1842" w:type="dxa"/>
            <w:vAlign w:val="top"/>
          </w:tcPr>
          <w:p w14:paraId="29DEB507">
            <w:pPr>
              <w:rPr>
                <w:rFonts w:ascii="Arial"/>
                <w:color w:val="auto"/>
                <w:sz w:val="21"/>
                <w:highlight w:val="none"/>
              </w:rPr>
            </w:pPr>
          </w:p>
        </w:tc>
        <w:tc>
          <w:tcPr>
            <w:tcW w:w="1397" w:type="dxa"/>
            <w:vAlign w:val="top"/>
          </w:tcPr>
          <w:p w14:paraId="44CF419C">
            <w:pPr>
              <w:rPr>
                <w:rFonts w:ascii="Arial"/>
                <w:color w:val="auto"/>
                <w:sz w:val="21"/>
                <w:highlight w:val="none"/>
              </w:rPr>
            </w:pPr>
          </w:p>
        </w:tc>
        <w:tc>
          <w:tcPr>
            <w:tcW w:w="1080" w:type="dxa"/>
            <w:vAlign w:val="top"/>
          </w:tcPr>
          <w:p w14:paraId="3BFA22DA">
            <w:pPr>
              <w:rPr>
                <w:rFonts w:ascii="Arial"/>
                <w:color w:val="auto"/>
                <w:sz w:val="21"/>
                <w:highlight w:val="none"/>
              </w:rPr>
            </w:pPr>
          </w:p>
        </w:tc>
        <w:tc>
          <w:tcPr>
            <w:tcW w:w="1108" w:type="dxa"/>
            <w:vAlign w:val="top"/>
          </w:tcPr>
          <w:p w14:paraId="60C398B6">
            <w:pPr>
              <w:rPr>
                <w:rFonts w:ascii="Arial"/>
                <w:color w:val="auto"/>
                <w:sz w:val="21"/>
                <w:highlight w:val="none"/>
              </w:rPr>
            </w:pPr>
          </w:p>
        </w:tc>
        <w:tc>
          <w:tcPr>
            <w:tcW w:w="1781" w:type="dxa"/>
            <w:vAlign w:val="top"/>
          </w:tcPr>
          <w:p w14:paraId="7C036940">
            <w:pPr>
              <w:rPr>
                <w:rFonts w:ascii="Arial"/>
                <w:color w:val="auto"/>
                <w:sz w:val="21"/>
                <w:highlight w:val="none"/>
              </w:rPr>
            </w:pPr>
          </w:p>
        </w:tc>
        <w:tc>
          <w:tcPr>
            <w:tcW w:w="1084" w:type="dxa"/>
            <w:vAlign w:val="top"/>
          </w:tcPr>
          <w:p w14:paraId="4A0C6B21">
            <w:pPr>
              <w:rPr>
                <w:rFonts w:ascii="Arial"/>
                <w:color w:val="auto"/>
                <w:sz w:val="21"/>
                <w:highlight w:val="none"/>
              </w:rPr>
            </w:pPr>
          </w:p>
        </w:tc>
      </w:tr>
      <w:tr w14:paraId="1174B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42B79D9">
            <w:pPr>
              <w:rPr>
                <w:rFonts w:ascii="Arial"/>
                <w:color w:val="auto"/>
                <w:sz w:val="21"/>
                <w:highlight w:val="none"/>
              </w:rPr>
            </w:pPr>
          </w:p>
        </w:tc>
        <w:tc>
          <w:tcPr>
            <w:tcW w:w="1842" w:type="dxa"/>
            <w:vAlign w:val="top"/>
          </w:tcPr>
          <w:p w14:paraId="5391FB2A">
            <w:pPr>
              <w:rPr>
                <w:rFonts w:ascii="Arial"/>
                <w:color w:val="auto"/>
                <w:sz w:val="21"/>
                <w:highlight w:val="none"/>
              </w:rPr>
            </w:pPr>
          </w:p>
        </w:tc>
        <w:tc>
          <w:tcPr>
            <w:tcW w:w="1397" w:type="dxa"/>
            <w:vAlign w:val="top"/>
          </w:tcPr>
          <w:p w14:paraId="3F649733">
            <w:pPr>
              <w:rPr>
                <w:rFonts w:ascii="Arial"/>
                <w:color w:val="auto"/>
                <w:sz w:val="21"/>
                <w:highlight w:val="none"/>
              </w:rPr>
            </w:pPr>
          </w:p>
        </w:tc>
        <w:tc>
          <w:tcPr>
            <w:tcW w:w="1080" w:type="dxa"/>
            <w:vAlign w:val="top"/>
          </w:tcPr>
          <w:p w14:paraId="3DF67E39">
            <w:pPr>
              <w:rPr>
                <w:rFonts w:ascii="Arial"/>
                <w:color w:val="auto"/>
                <w:sz w:val="21"/>
                <w:highlight w:val="none"/>
              </w:rPr>
            </w:pPr>
          </w:p>
        </w:tc>
        <w:tc>
          <w:tcPr>
            <w:tcW w:w="1108" w:type="dxa"/>
            <w:vAlign w:val="top"/>
          </w:tcPr>
          <w:p w14:paraId="6B654383">
            <w:pPr>
              <w:rPr>
                <w:rFonts w:ascii="Arial"/>
                <w:color w:val="auto"/>
                <w:sz w:val="21"/>
                <w:highlight w:val="none"/>
              </w:rPr>
            </w:pPr>
          </w:p>
        </w:tc>
        <w:tc>
          <w:tcPr>
            <w:tcW w:w="1781" w:type="dxa"/>
            <w:vAlign w:val="top"/>
          </w:tcPr>
          <w:p w14:paraId="5B43D0B5">
            <w:pPr>
              <w:rPr>
                <w:rFonts w:ascii="Arial"/>
                <w:color w:val="auto"/>
                <w:sz w:val="21"/>
                <w:highlight w:val="none"/>
              </w:rPr>
            </w:pPr>
          </w:p>
        </w:tc>
        <w:tc>
          <w:tcPr>
            <w:tcW w:w="1084" w:type="dxa"/>
            <w:vAlign w:val="top"/>
          </w:tcPr>
          <w:p w14:paraId="646E005C">
            <w:pPr>
              <w:rPr>
                <w:rFonts w:ascii="Arial"/>
                <w:color w:val="auto"/>
                <w:sz w:val="21"/>
                <w:highlight w:val="none"/>
              </w:rPr>
            </w:pPr>
          </w:p>
        </w:tc>
      </w:tr>
      <w:tr w14:paraId="7D2BC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4D9C258">
            <w:pPr>
              <w:rPr>
                <w:rFonts w:ascii="Arial"/>
                <w:color w:val="auto"/>
                <w:sz w:val="21"/>
                <w:highlight w:val="none"/>
              </w:rPr>
            </w:pPr>
          </w:p>
        </w:tc>
        <w:tc>
          <w:tcPr>
            <w:tcW w:w="1842" w:type="dxa"/>
            <w:vAlign w:val="top"/>
          </w:tcPr>
          <w:p w14:paraId="4F0F4C31">
            <w:pPr>
              <w:rPr>
                <w:rFonts w:ascii="Arial"/>
                <w:color w:val="auto"/>
                <w:sz w:val="21"/>
                <w:highlight w:val="none"/>
              </w:rPr>
            </w:pPr>
          </w:p>
        </w:tc>
        <w:tc>
          <w:tcPr>
            <w:tcW w:w="1397" w:type="dxa"/>
            <w:vAlign w:val="top"/>
          </w:tcPr>
          <w:p w14:paraId="17212233">
            <w:pPr>
              <w:rPr>
                <w:rFonts w:ascii="Arial"/>
                <w:color w:val="auto"/>
                <w:sz w:val="21"/>
                <w:highlight w:val="none"/>
              </w:rPr>
            </w:pPr>
          </w:p>
        </w:tc>
        <w:tc>
          <w:tcPr>
            <w:tcW w:w="1080" w:type="dxa"/>
            <w:vAlign w:val="top"/>
          </w:tcPr>
          <w:p w14:paraId="0BEEF043">
            <w:pPr>
              <w:rPr>
                <w:rFonts w:ascii="Arial"/>
                <w:color w:val="auto"/>
                <w:sz w:val="21"/>
                <w:highlight w:val="none"/>
              </w:rPr>
            </w:pPr>
          </w:p>
        </w:tc>
        <w:tc>
          <w:tcPr>
            <w:tcW w:w="1108" w:type="dxa"/>
            <w:vAlign w:val="top"/>
          </w:tcPr>
          <w:p w14:paraId="3E314B14">
            <w:pPr>
              <w:rPr>
                <w:rFonts w:ascii="Arial"/>
                <w:color w:val="auto"/>
                <w:sz w:val="21"/>
                <w:highlight w:val="none"/>
              </w:rPr>
            </w:pPr>
          </w:p>
        </w:tc>
        <w:tc>
          <w:tcPr>
            <w:tcW w:w="1781" w:type="dxa"/>
            <w:vAlign w:val="top"/>
          </w:tcPr>
          <w:p w14:paraId="28148507">
            <w:pPr>
              <w:rPr>
                <w:rFonts w:ascii="Arial"/>
                <w:color w:val="auto"/>
                <w:sz w:val="21"/>
                <w:highlight w:val="none"/>
              </w:rPr>
            </w:pPr>
          </w:p>
        </w:tc>
        <w:tc>
          <w:tcPr>
            <w:tcW w:w="1084" w:type="dxa"/>
            <w:vAlign w:val="top"/>
          </w:tcPr>
          <w:p w14:paraId="2358C523">
            <w:pPr>
              <w:rPr>
                <w:rFonts w:ascii="Arial"/>
                <w:color w:val="auto"/>
                <w:sz w:val="21"/>
                <w:highlight w:val="none"/>
              </w:rPr>
            </w:pPr>
          </w:p>
        </w:tc>
      </w:tr>
      <w:tr w14:paraId="2D5FD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000C811">
            <w:pPr>
              <w:rPr>
                <w:rFonts w:ascii="Arial"/>
                <w:color w:val="auto"/>
                <w:sz w:val="21"/>
                <w:highlight w:val="none"/>
              </w:rPr>
            </w:pPr>
          </w:p>
        </w:tc>
        <w:tc>
          <w:tcPr>
            <w:tcW w:w="1842" w:type="dxa"/>
            <w:vAlign w:val="top"/>
          </w:tcPr>
          <w:p w14:paraId="11B9418F">
            <w:pPr>
              <w:rPr>
                <w:rFonts w:ascii="Arial"/>
                <w:color w:val="auto"/>
                <w:sz w:val="21"/>
                <w:highlight w:val="none"/>
              </w:rPr>
            </w:pPr>
          </w:p>
        </w:tc>
        <w:tc>
          <w:tcPr>
            <w:tcW w:w="1397" w:type="dxa"/>
            <w:vAlign w:val="top"/>
          </w:tcPr>
          <w:p w14:paraId="11FC1C87">
            <w:pPr>
              <w:rPr>
                <w:rFonts w:ascii="Arial"/>
                <w:color w:val="auto"/>
                <w:sz w:val="21"/>
                <w:highlight w:val="none"/>
              </w:rPr>
            </w:pPr>
          </w:p>
        </w:tc>
        <w:tc>
          <w:tcPr>
            <w:tcW w:w="1080" w:type="dxa"/>
            <w:vAlign w:val="top"/>
          </w:tcPr>
          <w:p w14:paraId="438C46A7">
            <w:pPr>
              <w:rPr>
                <w:rFonts w:ascii="Arial"/>
                <w:color w:val="auto"/>
                <w:sz w:val="21"/>
                <w:highlight w:val="none"/>
              </w:rPr>
            </w:pPr>
          </w:p>
        </w:tc>
        <w:tc>
          <w:tcPr>
            <w:tcW w:w="1108" w:type="dxa"/>
            <w:vAlign w:val="top"/>
          </w:tcPr>
          <w:p w14:paraId="0A730B08">
            <w:pPr>
              <w:rPr>
                <w:rFonts w:ascii="Arial"/>
                <w:color w:val="auto"/>
                <w:sz w:val="21"/>
                <w:highlight w:val="none"/>
              </w:rPr>
            </w:pPr>
          </w:p>
        </w:tc>
        <w:tc>
          <w:tcPr>
            <w:tcW w:w="1781" w:type="dxa"/>
            <w:vAlign w:val="top"/>
          </w:tcPr>
          <w:p w14:paraId="33FCB1AD">
            <w:pPr>
              <w:rPr>
                <w:rFonts w:ascii="Arial"/>
                <w:color w:val="auto"/>
                <w:sz w:val="21"/>
                <w:highlight w:val="none"/>
              </w:rPr>
            </w:pPr>
          </w:p>
        </w:tc>
        <w:tc>
          <w:tcPr>
            <w:tcW w:w="1084" w:type="dxa"/>
            <w:vAlign w:val="top"/>
          </w:tcPr>
          <w:p w14:paraId="7A08D747">
            <w:pPr>
              <w:rPr>
                <w:rFonts w:ascii="Arial"/>
                <w:color w:val="auto"/>
                <w:sz w:val="21"/>
                <w:highlight w:val="none"/>
              </w:rPr>
            </w:pPr>
          </w:p>
        </w:tc>
      </w:tr>
      <w:tr w14:paraId="30FE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260947B">
            <w:pPr>
              <w:rPr>
                <w:rFonts w:ascii="Arial"/>
                <w:color w:val="auto"/>
                <w:sz w:val="21"/>
                <w:highlight w:val="none"/>
              </w:rPr>
            </w:pPr>
          </w:p>
        </w:tc>
        <w:tc>
          <w:tcPr>
            <w:tcW w:w="1842" w:type="dxa"/>
            <w:vAlign w:val="top"/>
          </w:tcPr>
          <w:p w14:paraId="2DB76EA4">
            <w:pPr>
              <w:rPr>
                <w:rFonts w:ascii="Arial"/>
                <w:color w:val="auto"/>
                <w:sz w:val="21"/>
                <w:highlight w:val="none"/>
              </w:rPr>
            </w:pPr>
          </w:p>
        </w:tc>
        <w:tc>
          <w:tcPr>
            <w:tcW w:w="1397" w:type="dxa"/>
            <w:vAlign w:val="top"/>
          </w:tcPr>
          <w:p w14:paraId="22A5C9E6">
            <w:pPr>
              <w:rPr>
                <w:rFonts w:ascii="Arial"/>
                <w:color w:val="auto"/>
                <w:sz w:val="21"/>
                <w:highlight w:val="none"/>
              </w:rPr>
            </w:pPr>
          </w:p>
        </w:tc>
        <w:tc>
          <w:tcPr>
            <w:tcW w:w="1080" w:type="dxa"/>
            <w:vAlign w:val="top"/>
          </w:tcPr>
          <w:p w14:paraId="76F5C167">
            <w:pPr>
              <w:rPr>
                <w:rFonts w:ascii="Arial"/>
                <w:color w:val="auto"/>
                <w:sz w:val="21"/>
                <w:highlight w:val="none"/>
              </w:rPr>
            </w:pPr>
          </w:p>
        </w:tc>
        <w:tc>
          <w:tcPr>
            <w:tcW w:w="1108" w:type="dxa"/>
            <w:vAlign w:val="top"/>
          </w:tcPr>
          <w:p w14:paraId="6065FB98">
            <w:pPr>
              <w:rPr>
                <w:rFonts w:ascii="Arial"/>
                <w:color w:val="auto"/>
                <w:sz w:val="21"/>
                <w:highlight w:val="none"/>
              </w:rPr>
            </w:pPr>
          </w:p>
        </w:tc>
        <w:tc>
          <w:tcPr>
            <w:tcW w:w="1781" w:type="dxa"/>
            <w:vAlign w:val="top"/>
          </w:tcPr>
          <w:p w14:paraId="703803DA">
            <w:pPr>
              <w:rPr>
                <w:rFonts w:ascii="Arial"/>
                <w:color w:val="auto"/>
                <w:sz w:val="21"/>
                <w:highlight w:val="none"/>
              </w:rPr>
            </w:pPr>
          </w:p>
        </w:tc>
        <w:tc>
          <w:tcPr>
            <w:tcW w:w="1084" w:type="dxa"/>
            <w:vAlign w:val="top"/>
          </w:tcPr>
          <w:p w14:paraId="072545EC">
            <w:pPr>
              <w:rPr>
                <w:rFonts w:ascii="Arial"/>
                <w:color w:val="auto"/>
                <w:sz w:val="21"/>
                <w:highlight w:val="none"/>
              </w:rPr>
            </w:pPr>
          </w:p>
        </w:tc>
      </w:tr>
      <w:tr w14:paraId="216C1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8B83770">
            <w:pPr>
              <w:rPr>
                <w:rFonts w:ascii="Arial"/>
                <w:color w:val="auto"/>
                <w:sz w:val="21"/>
                <w:highlight w:val="none"/>
              </w:rPr>
            </w:pPr>
          </w:p>
        </w:tc>
        <w:tc>
          <w:tcPr>
            <w:tcW w:w="1842" w:type="dxa"/>
            <w:vAlign w:val="top"/>
          </w:tcPr>
          <w:p w14:paraId="5942FEFA">
            <w:pPr>
              <w:rPr>
                <w:rFonts w:ascii="Arial"/>
                <w:color w:val="auto"/>
                <w:sz w:val="21"/>
                <w:highlight w:val="none"/>
              </w:rPr>
            </w:pPr>
          </w:p>
        </w:tc>
        <w:tc>
          <w:tcPr>
            <w:tcW w:w="1397" w:type="dxa"/>
            <w:vAlign w:val="top"/>
          </w:tcPr>
          <w:p w14:paraId="136AE24B">
            <w:pPr>
              <w:rPr>
                <w:rFonts w:ascii="Arial"/>
                <w:color w:val="auto"/>
                <w:sz w:val="21"/>
                <w:highlight w:val="none"/>
              </w:rPr>
            </w:pPr>
          </w:p>
        </w:tc>
        <w:tc>
          <w:tcPr>
            <w:tcW w:w="1080" w:type="dxa"/>
            <w:vAlign w:val="top"/>
          </w:tcPr>
          <w:p w14:paraId="4471C713">
            <w:pPr>
              <w:rPr>
                <w:rFonts w:ascii="Arial"/>
                <w:color w:val="auto"/>
                <w:sz w:val="21"/>
                <w:highlight w:val="none"/>
              </w:rPr>
            </w:pPr>
          </w:p>
        </w:tc>
        <w:tc>
          <w:tcPr>
            <w:tcW w:w="1108" w:type="dxa"/>
            <w:vAlign w:val="top"/>
          </w:tcPr>
          <w:p w14:paraId="655D2971">
            <w:pPr>
              <w:rPr>
                <w:rFonts w:ascii="Arial"/>
                <w:color w:val="auto"/>
                <w:sz w:val="21"/>
                <w:highlight w:val="none"/>
              </w:rPr>
            </w:pPr>
          </w:p>
        </w:tc>
        <w:tc>
          <w:tcPr>
            <w:tcW w:w="1781" w:type="dxa"/>
            <w:vAlign w:val="top"/>
          </w:tcPr>
          <w:p w14:paraId="7DF7BFB3">
            <w:pPr>
              <w:rPr>
                <w:rFonts w:ascii="Arial"/>
                <w:color w:val="auto"/>
                <w:sz w:val="21"/>
                <w:highlight w:val="none"/>
              </w:rPr>
            </w:pPr>
          </w:p>
        </w:tc>
        <w:tc>
          <w:tcPr>
            <w:tcW w:w="1084" w:type="dxa"/>
            <w:vAlign w:val="top"/>
          </w:tcPr>
          <w:p w14:paraId="09408987">
            <w:pPr>
              <w:rPr>
                <w:rFonts w:ascii="Arial"/>
                <w:color w:val="auto"/>
                <w:sz w:val="21"/>
                <w:highlight w:val="none"/>
              </w:rPr>
            </w:pPr>
          </w:p>
        </w:tc>
      </w:tr>
      <w:tr w14:paraId="3518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C99B8C5">
            <w:pPr>
              <w:rPr>
                <w:rFonts w:ascii="Arial"/>
                <w:color w:val="auto"/>
                <w:sz w:val="21"/>
                <w:highlight w:val="none"/>
              </w:rPr>
            </w:pPr>
          </w:p>
        </w:tc>
        <w:tc>
          <w:tcPr>
            <w:tcW w:w="1842" w:type="dxa"/>
            <w:vAlign w:val="top"/>
          </w:tcPr>
          <w:p w14:paraId="2CD9091D">
            <w:pPr>
              <w:rPr>
                <w:rFonts w:ascii="Arial"/>
                <w:color w:val="auto"/>
                <w:sz w:val="21"/>
                <w:highlight w:val="none"/>
              </w:rPr>
            </w:pPr>
          </w:p>
        </w:tc>
        <w:tc>
          <w:tcPr>
            <w:tcW w:w="1397" w:type="dxa"/>
            <w:vAlign w:val="top"/>
          </w:tcPr>
          <w:p w14:paraId="4917F1BB">
            <w:pPr>
              <w:rPr>
                <w:rFonts w:ascii="Arial"/>
                <w:color w:val="auto"/>
                <w:sz w:val="21"/>
                <w:highlight w:val="none"/>
              </w:rPr>
            </w:pPr>
          </w:p>
        </w:tc>
        <w:tc>
          <w:tcPr>
            <w:tcW w:w="1080" w:type="dxa"/>
            <w:vAlign w:val="top"/>
          </w:tcPr>
          <w:p w14:paraId="7AD22FEF">
            <w:pPr>
              <w:rPr>
                <w:rFonts w:ascii="Arial"/>
                <w:color w:val="auto"/>
                <w:sz w:val="21"/>
                <w:highlight w:val="none"/>
              </w:rPr>
            </w:pPr>
          </w:p>
        </w:tc>
        <w:tc>
          <w:tcPr>
            <w:tcW w:w="1108" w:type="dxa"/>
            <w:vAlign w:val="top"/>
          </w:tcPr>
          <w:p w14:paraId="327912A9">
            <w:pPr>
              <w:rPr>
                <w:rFonts w:ascii="Arial"/>
                <w:color w:val="auto"/>
                <w:sz w:val="21"/>
                <w:highlight w:val="none"/>
              </w:rPr>
            </w:pPr>
          </w:p>
        </w:tc>
        <w:tc>
          <w:tcPr>
            <w:tcW w:w="1781" w:type="dxa"/>
            <w:vAlign w:val="top"/>
          </w:tcPr>
          <w:p w14:paraId="7F6B0170">
            <w:pPr>
              <w:rPr>
                <w:rFonts w:ascii="Arial"/>
                <w:color w:val="auto"/>
                <w:sz w:val="21"/>
                <w:highlight w:val="none"/>
              </w:rPr>
            </w:pPr>
          </w:p>
        </w:tc>
        <w:tc>
          <w:tcPr>
            <w:tcW w:w="1084" w:type="dxa"/>
            <w:vAlign w:val="top"/>
          </w:tcPr>
          <w:p w14:paraId="31867E7E">
            <w:pPr>
              <w:rPr>
                <w:rFonts w:ascii="Arial"/>
                <w:color w:val="auto"/>
                <w:sz w:val="21"/>
                <w:highlight w:val="none"/>
              </w:rPr>
            </w:pPr>
          </w:p>
        </w:tc>
      </w:tr>
      <w:tr w14:paraId="297EA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29113340">
            <w:pPr>
              <w:rPr>
                <w:rFonts w:ascii="Arial"/>
                <w:color w:val="auto"/>
                <w:sz w:val="21"/>
                <w:highlight w:val="none"/>
              </w:rPr>
            </w:pPr>
          </w:p>
        </w:tc>
        <w:tc>
          <w:tcPr>
            <w:tcW w:w="1842" w:type="dxa"/>
            <w:vAlign w:val="top"/>
          </w:tcPr>
          <w:p w14:paraId="7B3FBFBA">
            <w:pPr>
              <w:rPr>
                <w:rFonts w:ascii="Arial"/>
                <w:color w:val="auto"/>
                <w:sz w:val="21"/>
                <w:highlight w:val="none"/>
              </w:rPr>
            </w:pPr>
          </w:p>
        </w:tc>
        <w:tc>
          <w:tcPr>
            <w:tcW w:w="1397" w:type="dxa"/>
            <w:vAlign w:val="top"/>
          </w:tcPr>
          <w:p w14:paraId="28FFD400">
            <w:pPr>
              <w:rPr>
                <w:rFonts w:ascii="Arial"/>
                <w:color w:val="auto"/>
                <w:sz w:val="21"/>
                <w:highlight w:val="none"/>
              </w:rPr>
            </w:pPr>
          </w:p>
        </w:tc>
        <w:tc>
          <w:tcPr>
            <w:tcW w:w="1080" w:type="dxa"/>
            <w:vAlign w:val="top"/>
          </w:tcPr>
          <w:p w14:paraId="754D2E62">
            <w:pPr>
              <w:rPr>
                <w:rFonts w:ascii="Arial"/>
                <w:color w:val="auto"/>
                <w:sz w:val="21"/>
                <w:highlight w:val="none"/>
              </w:rPr>
            </w:pPr>
          </w:p>
        </w:tc>
        <w:tc>
          <w:tcPr>
            <w:tcW w:w="1108" w:type="dxa"/>
            <w:vAlign w:val="top"/>
          </w:tcPr>
          <w:p w14:paraId="123B16ED">
            <w:pPr>
              <w:rPr>
                <w:rFonts w:ascii="Arial"/>
                <w:color w:val="auto"/>
                <w:sz w:val="21"/>
                <w:highlight w:val="none"/>
              </w:rPr>
            </w:pPr>
          </w:p>
        </w:tc>
        <w:tc>
          <w:tcPr>
            <w:tcW w:w="1781" w:type="dxa"/>
            <w:vAlign w:val="top"/>
          </w:tcPr>
          <w:p w14:paraId="218D1BFC">
            <w:pPr>
              <w:rPr>
                <w:rFonts w:ascii="Arial"/>
                <w:color w:val="auto"/>
                <w:sz w:val="21"/>
                <w:highlight w:val="none"/>
              </w:rPr>
            </w:pPr>
          </w:p>
        </w:tc>
        <w:tc>
          <w:tcPr>
            <w:tcW w:w="1084" w:type="dxa"/>
            <w:vAlign w:val="top"/>
          </w:tcPr>
          <w:p w14:paraId="1A12D22E">
            <w:pPr>
              <w:rPr>
                <w:rFonts w:ascii="Arial"/>
                <w:color w:val="auto"/>
                <w:sz w:val="21"/>
                <w:highlight w:val="none"/>
              </w:rPr>
            </w:pPr>
          </w:p>
        </w:tc>
      </w:tr>
    </w:tbl>
    <w:p w14:paraId="44115C3D">
      <w:pPr>
        <w:pStyle w:val="5"/>
        <w:rPr>
          <w:color w:val="auto"/>
          <w:highlight w:val="none"/>
        </w:rPr>
      </w:pPr>
    </w:p>
    <w:p w14:paraId="26096FF9">
      <w:pPr>
        <w:rPr>
          <w:color w:val="auto"/>
          <w:highlight w:val="none"/>
        </w:rPr>
        <w:sectPr>
          <w:footerReference r:id="rId177" w:type="default"/>
          <w:pgSz w:w="11905" w:h="16839"/>
          <w:pgMar w:top="400" w:right="1527" w:bottom="1004" w:left="1531" w:header="0" w:footer="828" w:gutter="0"/>
          <w:pgNumType w:fmt="decimal"/>
          <w:cols w:space="720" w:num="1"/>
        </w:sectPr>
      </w:pPr>
    </w:p>
    <w:p w14:paraId="4A87E344">
      <w:pPr>
        <w:pStyle w:val="5"/>
        <w:spacing w:line="267" w:lineRule="auto"/>
        <w:rPr>
          <w:color w:val="auto"/>
          <w:highlight w:val="none"/>
        </w:rPr>
      </w:pPr>
    </w:p>
    <w:p w14:paraId="15B2A1AD">
      <w:pPr>
        <w:pStyle w:val="5"/>
        <w:spacing w:line="268" w:lineRule="auto"/>
        <w:rPr>
          <w:color w:val="auto"/>
          <w:highlight w:val="none"/>
        </w:rPr>
      </w:pPr>
    </w:p>
    <w:p w14:paraId="33D2102C">
      <w:pPr>
        <w:pStyle w:val="5"/>
        <w:spacing w:line="268" w:lineRule="auto"/>
        <w:rPr>
          <w:color w:val="auto"/>
          <w:highlight w:val="none"/>
        </w:rPr>
      </w:pPr>
    </w:p>
    <w:p w14:paraId="1063FD66">
      <w:pPr>
        <w:pStyle w:val="5"/>
        <w:spacing w:line="268" w:lineRule="auto"/>
        <w:rPr>
          <w:color w:val="auto"/>
          <w:highlight w:val="none"/>
        </w:rPr>
      </w:pPr>
    </w:p>
    <w:p w14:paraId="4DD1EC58">
      <w:pPr>
        <w:spacing w:before="78" w:line="218" w:lineRule="auto"/>
        <w:ind w:left="2179"/>
        <w:rPr>
          <w:rFonts w:ascii="黑体" w:hAnsi="黑体" w:eastAsia="黑体" w:cs="黑体"/>
          <w:color w:val="auto"/>
          <w:sz w:val="24"/>
          <w:szCs w:val="24"/>
          <w:highlight w:val="none"/>
        </w:rPr>
      </w:pPr>
      <w:bookmarkStart w:id="1768" w:name="bookmark323"/>
      <w:bookmarkEnd w:id="1768"/>
      <w:r>
        <w:rPr>
          <w:rFonts w:ascii="Times New Roman" w:hAnsi="Times New Roman" w:eastAsia="Times New Roman" w:cs="Times New Roman"/>
          <w:color w:val="auto"/>
          <w:spacing w:val="-1"/>
          <w:sz w:val="24"/>
          <w:szCs w:val="24"/>
          <w:highlight w:val="none"/>
        </w:rPr>
        <w:t>4-2</w:t>
      </w:r>
      <w:r>
        <w:rPr>
          <w:rFonts w:ascii="Times New Roman" w:hAnsi="Times New Roman" w:eastAsia="Times New Roman" w:cs="Times New Roman"/>
          <w:color w:val="auto"/>
          <w:spacing w:val="18"/>
          <w:w w:val="101"/>
          <w:sz w:val="24"/>
          <w:szCs w:val="24"/>
          <w:highlight w:val="none"/>
        </w:rPr>
        <w:t xml:space="preserve"> </w:t>
      </w:r>
      <w:r>
        <w:rPr>
          <w:rFonts w:ascii="黑体" w:hAnsi="黑体" w:eastAsia="黑体" w:cs="黑体"/>
          <w:color w:val="auto"/>
          <w:spacing w:val="-1"/>
          <w:sz w:val="24"/>
          <w:szCs w:val="24"/>
          <w:highlight w:val="none"/>
        </w:rPr>
        <w:t>正在施工的和新承接的项目情况表</w:t>
      </w:r>
    </w:p>
    <w:p w14:paraId="6C0F2D16">
      <w:pPr>
        <w:spacing w:before="199"/>
        <w:rPr>
          <w:color w:val="auto"/>
          <w:highlight w:val="none"/>
        </w:rPr>
      </w:pP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7FB66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41A6AF23">
            <w:pPr>
              <w:pStyle w:val="18"/>
              <w:spacing w:before="208" w:line="221" w:lineRule="auto"/>
              <w:ind w:left="775"/>
              <w:rPr>
                <w:color w:val="auto"/>
                <w:highlight w:val="none"/>
              </w:rPr>
            </w:pPr>
            <w:r>
              <w:rPr>
                <w:color w:val="auto"/>
                <w:spacing w:val="-2"/>
                <w:highlight w:val="none"/>
              </w:rPr>
              <w:t>项目名称</w:t>
            </w:r>
          </w:p>
        </w:tc>
        <w:tc>
          <w:tcPr>
            <w:tcW w:w="5941" w:type="dxa"/>
            <w:vAlign w:val="top"/>
          </w:tcPr>
          <w:p w14:paraId="0896F2B8">
            <w:pPr>
              <w:rPr>
                <w:rFonts w:ascii="Arial"/>
                <w:color w:val="auto"/>
                <w:sz w:val="21"/>
                <w:highlight w:val="none"/>
              </w:rPr>
            </w:pPr>
          </w:p>
        </w:tc>
      </w:tr>
      <w:tr w14:paraId="28B81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024CC50">
            <w:pPr>
              <w:pStyle w:val="18"/>
              <w:spacing w:before="207" w:line="221" w:lineRule="auto"/>
              <w:ind w:left="669"/>
              <w:rPr>
                <w:color w:val="auto"/>
                <w:highlight w:val="none"/>
              </w:rPr>
            </w:pPr>
            <w:r>
              <w:rPr>
                <w:color w:val="auto"/>
                <w:spacing w:val="-1"/>
                <w:highlight w:val="none"/>
              </w:rPr>
              <w:t>项目所在地</w:t>
            </w:r>
          </w:p>
        </w:tc>
        <w:tc>
          <w:tcPr>
            <w:tcW w:w="5941" w:type="dxa"/>
            <w:vAlign w:val="top"/>
          </w:tcPr>
          <w:p w14:paraId="335F4A81">
            <w:pPr>
              <w:rPr>
                <w:rFonts w:ascii="Arial"/>
                <w:color w:val="auto"/>
                <w:sz w:val="21"/>
                <w:highlight w:val="none"/>
              </w:rPr>
            </w:pPr>
          </w:p>
        </w:tc>
      </w:tr>
      <w:tr w14:paraId="71A75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F7FAC32">
            <w:pPr>
              <w:pStyle w:val="18"/>
              <w:spacing w:before="208" w:line="221" w:lineRule="auto"/>
              <w:ind w:left="669"/>
              <w:rPr>
                <w:color w:val="auto"/>
                <w:highlight w:val="none"/>
              </w:rPr>
            </w:pPr>
            <w:r>
              <w:rPr>
                <w:color w:val="auto"/>
                <w:spacing w:val="-1"/>
                <w:highlight w:val="none"/>
              </w:rPr>
              <w:t>发包人名称</w:t>
            </w:r>
          </w:p>
        </w:tc>
        <w:tc>
          <w:tcPr>
            <w:tcW w:w="5941" w:type="dxa"/>
            <w:vAlign w:val="top"/>
          </w:tcPr>
          <w:p w14:paraId="0752D945">
            <w:pPr>
              <w:rPr>
                <w:rFonts w:ascii="Arial"/>
                <w:color w:val="auto"/>
                <w:sz w:val="21"/>
                <w:highlight w:val="none"/>
              </w:rPr>
            </w:pPr>
          </w:p>
        </w:tc>
      </w:tr>
      <w:tr w14:paraId="32F1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92358E5">
            <w:pPr>
              <w:pStyle w:val="18"/>
              <w:spacing w:before="209" w:line="221" w:lineRule="auto"/>
              <w:ind w:left="669"/>
              <w:rPr>
                <w:color w:val="auto"/>
                <w:highlight w:val="none"/>
              </w:rPr>
            </w:pPr>
            <w:r>
              <w:rPr>
                <w:color w:val="auto"/>
                <w:spacing w:val="-1"/>
                <w:highlight w:val="none"/>
              </w:rPr>
              <w:t>发包人地址</w:t>
            </w:r>
          </w:p>
        </w:tc>
        <w:tc>
          <w:tcPr>
            <w:tcW w:w="5941" w:type="dxa"/>
            <w:vAlign w:val="top"/>
          </w:tcPr>
          <w:p w14:paraId="47188C60">
            <w:pPr>
              <w:rPr>
                <w:rFonts w:ascii="Arial"/>
                <w:color w:val="auto"/>
                <w:sz w:val="21"/>
                <w:highlight w:val="none"/>
              </w:rPr>
            </w:pPr>
          </w:p>
        </w:tc>
      </w:tr>
      <w:tr w14:paraId="5763B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4006EF5">
            <w:pPr>
              <w:pStyle w:val="18"/>
              <w:spacing w:before="208" w:line="221" w:lineRule="auto"/>
              <w:ind w:left="669"/>
              <w:rPr>
                <w:color w:val="auto"/>
                <w:highlight w:val="none"/>
              </w:rPr>
            </w:pPr>
            <w:r>
              <w:rPr>
                <w:color w:val="auto"/>
                <w:spacing w:val="-1"/>
                <w:highlight w:val="none"/>
              </w:rPr>
              <w:t>发包人电话</w:t>
            </w:r>
          </w:p>
        </w:tc>
        <w:tc>
          <w:tcPr>
            <w:tcW w:w="5941" w:type="dxa"/>
            <w:vAlign w:val="top"/>
          </w:tcPr>
          <w:p w14:paraId="7C962C20">
            <w:pPr>
              <w:rPr>
                <w:rFonts w:ascii="Arial"/>
                <w:color w:val="auto"/>
                <w:sz w:val="21"/>
                <w:highlight w:val="none"/>
              </w:rPr>
            </w:pPr>
          </w:p>
        </w:tc>
      </w:tr>
      <w:tr w14:paraId="058FD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FFA8F1F">
            <w:pPr>
              <w:pStyle w:val="18"/>
              <w:spacing w:before="209" w:line="219" w:lineRule="auto"/>
              <w:ind w:left="354"/>
              <w:rPr>
                <w:color w:val="auto"/>
                <w:highlight w:val="none"/>
              </w:rPr>
            </w:pPr>
            <w:r>
              <w:rPr>
                <w:color w:val="auto"/>
                <w:spacing w:val="-2"/>
                <w:highlight w:val="none"/>
              </w:rPr>
              <w:t>签约合同价（元）</w:t>
            </w:r>
          </w:p>
        </w:tc>
        <w:tc>
          <w:tcPr>
            <w:tcW w:w="5941" w:type="dxa"/>
            <w:vAlign w:val="top"/>
          </w:tcPr>
          <w:p w14:paraId="43CCC45A">
            <w:pPr>
              <w:rPr>
                <w:rFonts w:ascii="Arial"/>
                <w:color w:val="auto"/>
                <w:sz w:val="21"/>
                <w:highlight w:val="none"/>
              </w:rPr>
            </w:pPr>
          </w:p>
        </w:tc>
      </w:tr>
      <w:tr w14:paraId="2F9F2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7652EF2">
            <w:pPr>
              <w:pStyle w:val="18"/>
              <w:spacing w:before="210" w:line="221" w:lineRule="auto"/>
              <w:ind w:left="772"/>
              <w:rPr>
                <w:color w:val="auto"/>
                <w:highlight w:val="none"/>
              </w:rPr>
            </w:pPr>
            <w:r>
              <w:rPr>
                <w:color w:val="auto"/>
                <w:spacing w:val="-1"/>
                <w:highlight w:val="none"/>
              </w:rPr>
              <w:t>开工日期</w:t>
            </w:r>
          </w:p>
        </w:tc>
        <w:tc>
          <w:tcPr>
            <w:tcW w:w="5941" w:type="dxa"/>
            <w:vAlign w:val="top"/>
          </w:tcPr>
          <w:p w14:paraId="6DB0AA35">
            <w:pPr>
              <w:rPr>
                <w:rFonts w:ascii="Arial"/>
                <w:color w:val="auto"/>
                <w:sz w:val="21"/>
                <w:highlight w:val="none"/>
              </w:rPr>
            </w:pPr>
          </w:p>
        </w:tc>
      </w:tr>
      <w:tr w14:paraId="27FA6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3EDD603">
            <w:pPr>
              <w:pStyle w:val="18"/>
              <w:spacing w:before="204" w:line="221" w:lineRule="auto"/>
              <w:ind w:left="565"/>
              <w:rPr>
                <w:color w:val="auto"/>
                <w:highlight w:val="none"/>
              </w:rPr>
            </w:pPr>
            <w:r>
              <w:rPr>
                <w:color w:val="auto"/>
                <w:spacing w:val="-1"/>
                <w:highlight w:val="none"/>
              </w:rPr>
              <w:t>计划竣工日期</w:t>
            </w:r>
          </w:p>
        </w:tc>
        <w:tc>
          <w:tcPr>
            <w:tcW w:w="5941" w:type="dxa"/>
            <w:vAlign w:val="top"/>
          </w:tcPr>
          <w:p w14:paraId="16318866">
            <w:pPr>
              <w:rPr>
                <w:rFonts w:ascii="Arial"/>
                <w:color w:val="auto"/>
                <w:sz w:val="21"/>
                <w:highlight w:val="none"/>
              </w:rPr>
            </w:pPr>
          </w:p>
        </w:tc>
      </w:tr>
      <w:tr w14:paraId="2443B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28A624BC">
            <w:pPr>
              <w:pStyle w:val="18"/>
              <w:spacing w:before="204" w:line="221" w:lineRule="auto"/>
              <w:ind w:left="666"/>
              <w:rPr>
                <w:color w:val="auto"/>
                <w:highlight w:val="none"/>
              </w:rPr>
            </w:pPr>
            <w:r>
              <w:rPr>
                <w:color w:val="auto"/>
                <w:spacing w:val="-1"/>
                <w:highlight w:val="none"/>
              </w:rPr>
              <w:t>承担的工作</w:t>
            </w:r>
          </w:p>
        </w:tc>
        <w:tc>
          <w:tcPr>
            <w:tcW w:w="5941" w:type="dxa"/>
            <w:vAlign w:val="top"/>
          </w:tcPr>
          <w:p w14:paraId="139D6BA4">
            <w:pPr>
              <w:rPr>
                <w:rFonts w:ascii="Arial"/>
                <w:color w:val="auto"/>
                <w:sz w:val="21"/>
                <w:highlight w:val="none"/>
              </w:rPr>
            </w:pPr>
          </w:p>
        </w:tc>
      </w:tr>
      <w:tr w14:paraId="2AA20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7C9667B">
            <w:pPr>
              <w:pStyle w:val="18"/>
              <w:spacing w:before="205" w:line="221" w:lineRule="auto"/>
              <w:ind w:left="774"/>
              <w:rPr>
                <w:color w:val="auto"/>
                <w:highlight w:val="none"/>
              </w:rPr>
            </w:pPr>
            <w:r>
              <w:rPr>
                <w:color w:val="auto"/>
                <w:spacing w:val="-2"/>
                <w:highlight w:val="none"/>
              </w:rPr>
              <w:t>工程质量</w:t>
            </w:r>
          </w:p>
        </w:tc>
        <w:tc>
          <w:tcPr>
            <w:tcW w:w="5941" w:type="dxa"/>
            <w:vAlign w:val="top"/>
          </w:tcPr>
          <w:p w14:paraId="01C6E05A">
            <w:pPr>
              <w:rPr>
                <w:rFonts w:ascii="Arial"/>
                <w:color w:val="auto"/>
                <w:sz w:val="21"/>
                <w:highlight w:val="none"/>
              </w:rPr>
            </w:pPr>
          </w:p>
        </w:tc>
      </w:tr>
      <w:tr w14:paraId="1321D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98AC337">
            <w:pPr>
              <w:pStyle w:val="18"/>
              <w:spacing w:before="206" w:line="221" w:lineRule="auto"/>
              <w:ind w:left="775"/>
              <w:rPr>
                <w:color w:val="auto"/>
                <w:highlight w:val="none"/>
              </w:rPr>
            </w:pPr>
            <w:r>
              <w:rPr>
                <w:color w:val="auto"/>
                <w:spacing w:val="-2"/>
                <w:highlight w:val="none"/>
              </w:rPr>
              <w:t>项目经理</w:t>
            </w:r>
          </w:p>
        </w:tc>
        <w:tc>
          <w:tcPr>
            <w:tcW w:w="5941" w:type="dxa"/>
            <w:vAlign w:val="top"/>
          </w:tcPr>
          <w:p w14:paraId="4348923C">
            <w:pPr>
              <w:rPr>
                <w:rFonts w:ascii="Arial"/>
                <w:color w:val="auto"/>
                <w:sz w:val="21"/>
                <w:highlight w:val="none"/>
              </w:rPr>
            </w:pPr>
          </w:p>
        </w:tc>
      </w:tr>
      <w:tr w14:paraId="24223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4125D69">
            <w:pPr>
              <w:pStyle w:val="18"/>
              <w:spacing w:before="206" w:line="221" w:lineRule="auto"/>
              <w:ind w:left="667"/>
              <w:rPr>
                <w:color w:val="auto"/>
                <w:highlight w:val="none"/>
              </w:rPr>
            </w:pPr>
            <w:r>
              <w:rPr>
                <w:color w:val="auto"/>
                <w:spacing w:val="-1"/>
                <w:highlight w:val="none"/>
              </w:rPr>
              <w:t>技术负责人</w:t>
            </w:r>
          </w:p>
        </w:tc>
        <w:tc>
          <w:tcPr>
            <w:tcW w:w="5941" w:type="dxa"/>
            <w:vAlign w:val="top"/>
          </w:tcPr>
          <w:p w14:paraId="2EC0A329">
            <w:pPr>
              <w:rPr>
                <w:rFonts w:ascii="Arial"/>
                <w:color w:val="auto"/>
                <w:sz w:val="21"/>
                <w:highlight w:val="none"/>
              </w:rPr>
            </w:pPr>
          </w:p>
        </w:tc>
      </w:tr>
      <w:tr w14:paraId="2C20E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F0A49F8">
            <w:pPr>
              <w:pStyle w:val="18"/>
              <w:spacing w:before="206" w:line="221" w:lineRule="auto"/>
              <w:ind w:left="254"/>
              <w:rPr>
                <w:color w:val="auto"/>
                <w:highlight w:val="none"/>
              </w:rPr>
            </w:pPr>
            <w:r>
              <w:rPr>
                <w:color w:val="auto"/>
                <w:spacing w:val="-1"/>
                <w:highlight w:val="none"/>
              </w:rPr>
              <w:t>总监理工程师及电话</w:t>
            </w:r>
          </w:p>
        </w:tc>
        <w:tc>
          <w:tcPr>
            <w:tcW w:w="5941" w:type="dxa"/>
            <w:vAlign w:val="top"/>
          </w:tcPr>
          <w:p w14:paraId="61266B9A">
            <w:pPr>
              <w:rPr>
                <w:rFonts w:ascii="Arial"/>
                <w:color w:val="auto"/>
                <w:sz w:val="21"/>
                <w:highlight w:val="none"/>
              </w:rPr>
            </w:pPr>
          </w:p>
        </w:tc>
      </w:tr>
      <w:tr w14:paraId="7DC69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4D8E9667">
            <w:pPr>
              <w:spacing w:line="274" w:lineRule="auto"/>
              <w:rPr>
                <w:rFonts w:ascii="Arial"/>
                <w:color w:val="auto"/>
                <w:sz w:val="21"/>
                <w:highlight w:val="none"/>
              </w:rPr>
            </w:pPr>
          </w:p>
          <w:p w14:paraId="5DEF2C7B">
            <w:pPr>
              <w:spacing w:line="274" w:lineRule="auto"/>
              <w:rPr>
                <w:rFonts w:ascii="Arial"/>
                <w:color w:val="auto"/>
                <w:sz w:val="21"/>
                <w:highlight w:val="none"/>
              </w:rPr>
            </w:pPr>
          </w:p>
          <w:p w14:paraId="55FCA949">
            <w:pPr>
              <w:spacing w:line="274" w:lineRule="auto"/>
              <w:rPr>
                <w:rFonts w:ascii="Arial"/>
                <w:color w:val="auto"/>
                <w:sz w:val="21"/>
                <w:highlight w:val="none"/>
              </w:rPr>
            </w:pPr>
          </w:p>
          <w:p w14:paraId="1D0C3007">
            <w:pPr>
              <w:spacing w:line="275" w:lineRule="auto"/>
              <w:rPr>
                <w:rFonts w:ascii="Arial"/>
                <w:color w:val="auto"/>
                <w:sz w:val="21"/>
                <w:highlight w:val="none"/>
              </w:rPr>
            </w:pPr>
          </w:p>
          <w:p w14:paraId="2669ECAF">
            <w:pPr>
              <w:pStyle w:val="18"/>
              <w:spacing w:before="69" w:line="221" w:lineRule="auto"/>
              <w:ind w:left="775"/>
              <w:rPr>
                <w:color w:val="auto"/>
                <w:highlight w:val="none"/>
              </w:rPr>
            </w:pPr>
            <w:r>
              <w:rPr>
                <w:color w:val="auto"/>
                <w:spacing w:val="-2"/>
                <w:highlight w:val="none"/>
              </w:rPr>
              <w:t>项目描述</w:t>
            </w:r>
          </w:p>
        </w:tc>
        <w:tc>
          <w:tcPr>
            <w:tcW w:w="5941" w:type="dxa"/>
            <w:vAlign w:val="top"/>
          </w:tcPr>
          <w:p w14:paraId="39BB2667">
            <w:pPr>
              <w:rPr>
                <w:rFonts w:ascii="Arial"/>
                <w:color w:val="auto"/>
                <w:sz w:val="21"/>
                <w:highlight w:val="none"/>
              </w:rPr>
            </w:pPr>
          </w:p>
        </w:tc>
      </w:tr>
      <w:tr w14:paraId="33584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0839BCE">
            <w:pPr>
              <w:pStyle w:val="18"/>
              <w:spacing w:before="208" w:line="222" w:lineRule="auto"/>
              <w:ind w:left="985"/>
              <w:rPr>
                <w:color w:val="auto"/>
                <w:highlight w:val="none"/>
              </w:rPr>
            </w:pPr>
            <w:r>
              <w:rPr>
                <w:color w:val="auto"/>
                <w:spacing w:val="-3"/>
                <w:highlight w:val="none"/>
              </w:rPr>
              <w:t>备注</w:t>
            </w:r>
          </w:p>
        </w:tc>
        <w:tc>
          <w:tcPr>
            <w:tcW w:w="5941" w:type="dxa"/>
            <w:vAlign w:val="top"/>
          </w:tcPr>
          <w:p w14:paraId="0F52EA49">
            <w:pPr>
              <w:rPr>
                <w:rFonts w:ascii="Arial"/>
                <w:color w:val="auto"/>
                <w:sz w:val="21"/>
                <w:highlight w:val="none"/>
              </w:rPr>
            </w:pPr>
          </w:p>
        </w:tc>
      </w:tr>
    </w:tbl>
    <w:p w14:paraId="6C2287BE">
      <w:pPr>
        <w:spacing w:before="29" w:line="220" w:lineRule="auto"/>
        <w:ind w:left="3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备注：类似项目含义和近年具体要求见投标人须</w:t>
      </w:r>
      <w:r>
        <w:rPr>
          <w:rFonts w:ascii="宋体" w:hAnsi="宋体" w:eastAsia="宋体" w:cs="宋体"/>
          <w:color w:val="auto"/>
          <w:spacing w:val="-2"/>
          <w:sz w:val="21"/>
          <w:szCs w:val="21"/>
          <w:highlight w:val="none"/>
        </w:rPr>
        <w:t>知前附表。</w:t>
      </w:r>
    </w:p>
    <w:p w14:paraId="66825306">
      <w:pPr>
        <w:spacing w:line="220" w:lineRule="auto"/>
        <w:rPr>
          <w:rFonts w:ascii="宋体" w:hAnsi="宋体" w:eastAsia="宋体" w:cs="宋体"/>
          <w:color w:val="auto"/>
          <w:sz w:val="21"/>
          <w:szCs w:val="21"/>
          <w:highlight w:val="none"/>
        </w:rPr>
        <w:sectPr>
          <w:footerReference r:id="rId178" w:type="default"/>
          <w:pgSz w:w="11905" w:h="16839"/>
          <w:pgMar w:top="400" w:right="1785" w:bottom="1004" w:left="1785" w:header="0" w:footer="828" w:gutter="0"/>
          <w:pgNumType w:fmt="decimal"/>
          <w:cols w:space="720" w:num="1"/>
        </w:sectPr>
      </w:pPr>
    </w:p>
    <w:p w14:paraId="1AF4B30B">
      <w:pPr>
        <w:pStyle w:val="5"/>
        <w:spacing w:line="267" w:lineRule="auto"/>
        <w:rPr>
          <w:color w:val="auto"/>
          <w:highlight w:val="none"/>
        </w:rPr>
      </w:pPr>
    </w:p>
    <w:p w14:paraId="329CFDD7">
      <w:pPr>
        <w:pStyle w:val="5"/>
        <w:spacing w:line="267" w:lineRule="auto"/>
        <w:rPr>
          <w:color w:val="auto"/>
          <w:highlight w:val="none"/>
        </w:rPr>
      </w:pPr>
    </w:p>
    <w:p w14:paraId="08F99287">
      <w:pPr>
        <w:pStyle w:val="5"/>
        <w:spacing w:line="268" w:lineRule="auto"/>
        <w:rPr>
          <w:color w:val="auto"/>
          <w:highlight w:val="none"/>
        </w:rPr>
      </w:pPr>
    </w:p>
    <w:p w14:paraId="63396189">
      <w:pPr>
        <w:pStyle w:val="5"/>
        <w:spacing w:line="268" w:lineRule="auto"/>
        <w:rPr>
          <w:color w:val="auto"/>
          <w:highlight w:val="none"/>
        </w:rPr>
      </w:pPr>
    </w:p>
    <w:p w14:paraId="248B4436">
      <w:pPr>
        <w:spacing w:before="78" w:line="220" w:lineRule="auto"/>
        <w:ind w:left="3113"/>
        <w:rPr>
          <w:rFonts w:ascii="黑体" w:hAnsi="黑体" w:eastAsia="黑体" w:cs="黑体"/>
          <w:color w:val="auto"/>
          <w:sz w:val="24"/>
          <w:szCs w:val="24"/>
          <w:highlight w:val="none"/>
        </w:rPr>
      </w:pPr>
      <w:bookmarkStart w:id="1769" w:name="bookmark324"/>
      <w:bookmarkEnd w:id="1769"/>
      <w:r>
        <w:rPr>
          <w:rFonts w:ascii="黑体" w:hAnsi="黑体" w:eastAsia="黑体" w:cs="黑体"/>
          <w:color w:val="auto"/>
          <w:spacing w:val="-4"/>
          <w:sz w:val="24"/>
          <w:szCs w:val="24"/>
          <w:highlight w:val="none"/>
        </w:rPr>
        <w:t>（五）企业信誉情况</w:t>
      </w:r>
    </w:p>
    <w:p w14:paraId="1FE2D332">
      <w:pPr>
        <w:pStyle w:val="5"/>
        <w:spacing w:line="344" w:lineRule="auto"/>
        <w:rPr>
          <w:color w:val="auto"/>
          <w:highlight w:val="none"/>
        </w:rPr>
      </w:pPr>
    </w:p>
    <w:p w14:paraId="6625F95E">
      <w:pPr>
        <w:spacing w:before="78" w:line="587" w:lineRule="exact"/>
        <w:ind w:left="3272"/>
        <w:rPr>
          <w:rFonts w:ascii="黑体" w:hAnsi="黑体" w:eastAsia="黑体" w:cs="黑体"/>
          <w:color w:val="auto"/>
          <w:sz w:val="24"/>
          <w:szCs w:val="24"/>
          <w:highlight w:val="none"/>
        </w:rPr>
      </w:pPr>
      <w:r>
        <w:rPr>
          <w:rFonts w:ascii="Times New Roman" w:hAnsi="Times New Roman" w:eastAsia="Times New Roman" w:cs="Times New Roman"/>
          <w:color w:val="auto"/>
          <w:spacing w:val="-6"/>
          <w:position w:val="26"/>
          <w:sz w:val="24"/>
          <w:szCs w:val="24"/>
          <w:highlight w:val="none"/>
        </w:rPr>
        <w:t>5-</w:t>
      </w:r>
      <w:r>
        <w:rPr>
          <w:rFonts w:ascii="Times New Roman" w:hAnsi="Times New Roman" w:eastAsia="Times New Roman" w:cs="Times New Roman"/>
          <w:color w:val="auto"/>
          <w:spacing w:val="-22"/>
          <w:position w:val="26"/>
          <w:sz w:val="24"/>
          <w:szCs w:val="24"/>
          <w:highlight w:val="none"/>
        </w:rPr>
        <w:t xml:space="preserve"> </w:t>
      </w:r>
      <w:r>
        <w:rPr>
          <w:rFonts w:ascii="Times New Roman" w:hAnsi="Times New Roman" w:eastAsia="Times New Roman" w:cs="Times New Roman"/>
          <w:color w:val="auto"/>
          <w:spacing w:val="-6"/>
          <w:position w:val="26"/>
          <w:sz w:val="24"/>
          <w:szCs w:val="24"/>
          <w:highlight w:val="none"/>
        </w:rPr>
        <w:t xml:space="preserve">1 </w:t>
      </w:r>
      <w:r>
        <w:rPr>
          <w:rFonts w:ascii="黑体" w:hAnsi="黑体" w:eastAsia="黑体" w:cs="黑体"/>
          <w:color w:val="auto"/>
          <w:spacing w:val="-6"/>
          <w:position w:val="26"/>
          <w:sz w:val="24"/>
          <w:szCs w:val="24"/>
          <w:highlight w:val="none"/>
        </w:rPr>
        <w:t>企业信誉声明</w:t>
      </w:r>
    </w:p>
    <w:p w14:paraId="281356B6">
      <w:pPr>
        <w:tabs>
          <w:tab w:val="left" w:pos="2218"/>
        </w:tabs>
        <w:spacing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1AD06733">
      <w:pPr>
        <w:pStyle w:val="5"/>
        <w:spacing w:line="364" w:lineRule="auto"/>
        <w:rPr>
          <w:color w:val="auto"/>
          <w:highlight w:val="none"/>
        </w:rPr>
      </w:pPr>
    </w:p>
    <w:p w14:paraId="7CB1E7FC">
      <w:pPr>
        <w:spacing w:before="68" w:line="442" w:lineRule="exact"/>
        <w:ind w:left="442"/>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我方在此声明， 截止本招标项目投标截止时间， 我方处于正常的经营状态， 不存在下</w:t>
      </w:r>
    </w:p>
    <w:p w14:paraId="1E712420">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列任何一种情形。</w:t>
      </w:r>
    </w:p>
    <w:p w14:paraId="6C057904">
      <w:pPr>
        <w:spacing w:before="157"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被依法暂停或取消投标资格；</w:t>
      </w:r>
    </w:p>
    <w:p w14:paraId="45298290">
      <w:pPr>
        <w:spacing w:before="149" w:line="403"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被责令停产停业、暂扣或者吊销许可证、暂扣或者吊销执照；</w:t>
      </w:r>
    </w:p>
    <w:p w14:paraId="5EBE55D8">
      <w:pPr>
        <w:spacing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进入清算程序，或被宣告破产，或其他丧失履约能力的情形；</w:t>
      </w:r>
    </w:p>
    <w:p w14:paraId="6D3ACDB8">
      <w:pPr>
        <w:spacing w:before="14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在最近三年内有骗取中标或严重违约或重大工程质量问题的；</w:t>
      </w:r>
    </w:p>
    <w:p w14:paraId="46867AF9">
      <w:pPr>
        <w:spacing w:before="148" w:line="213"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在“国家企业信用信息公示系统”（</w:t>
      </w:r>
      <w:r>
        <w:rPr>
          <w:rFonts w:ascii="Times New Roman" w:hAnsi="Times New Roman" w:eastAsia="Times New Roman" w:cs="Times New Roman"/>
          <w:color w:val="auto"/>
          <w:spacing w:val="-2"/>
          <w:sz w:val="21"/>
          <w:szCs w:val="21"/>
          <w:highlight w:val="none"/>
        </w:rPr>
        <w:t>www.gsxt.gov.cn</w:t>
      </w:r>
      <w:r>
        <w:rPr>
          <w:rFonts w:ascii="宋体" w:hAnsi="宋体" w:eastAsia="宋体" w:cs="宋体"/>
          <w:color w:val="auto"/>
          <w:spacing w:val="-2"/>
          <w:sz w:val="21"/>
          <w:szCs w:val="21"/>
          <w:highlight w:val="none"/>
        </w:rPr>
        <w:t>）被列入严重违法失信</w:t>
      </w:r>
      <w:r>
        <w:rPr>
          <w:rFonts w:ascii="宋体" w:hAnsi="宋体" w:eastAsia="宋体" w:cs="宋体"/>
          <w:color w:val="auto"/>
          <w:spacing w:val="-3"/>
          <w:sz w:val="21"/>
          <w:szCs w:val="21"/>
          <w:highlight w:val="none"/>
        </w:rPr>
        <w:t>企业名单；</w:t>
      </w:r>
    </w:p>
    <w:p w14:paraId="3B64688A">
      <w:pPr>
        <w:spacing w:before="17" w:line="345" w:lineRule="auto"/>
        <w:ind w:left="24" w:right="52" w:firstLine="41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在</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59"/>
          <w:sz w:val="21"/>
          <w:szCs w:val="21"/>
          <w:highlight w:val="none"/>
        </w:rPr>
        <w:t xml:space="preserve"> </w:t>
      </w:r>
      <w:r>
        <w:rPr>
          <w:rFonts w:ascii="宋体" w:hAnsi="宋体" w:eastAsia="宋体" w:cs="宋体"/>
          <w:color w:val="auto"/>
          <w:spacing w:val="-4"/>
          <w:sz w:val="21"/>
          <w:szCs w:val="21"/>
          <w:highlight w:val="none"/>
        </w:rPr>
        <w:t>信</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rPr>
        <w:t>用</w:t>
      </w:r>
      <w:r>
        <w:rPr>
          <w:rFonts w:ascii="宋体" w:hAnsi="宋体" w:eastAsia="宋体" w:cs="宋体"/>
          <w:color w:val="auto"/>
          <w:spacing w:val="-33"/>
          <w:sz w:val="21"/>
          <w:szCs w:val="21"/>
          <w:highlight w:val="none"/>
        </w:rPr>
        <w:t xml:space="preserve"> </w:t>
      </w:r>
      <w:r>
        <w:rPr>
          <w:rFonts w:ascii="宋体" w:hAnsi="宋体" w:eastAsia="宋体" w:cs="宋体"/>
          <w:color w:val="auto"/>
          <w:spacing w:val="-4"/>
          <w:sz w:val="21"/>
          <w:szCs w:val="21"/>
          <w:highlight w:val="none"/>
        </w:rPr>
        <w:t>中</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国</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69"/>
          <w:sz w:val="21"/>
          <w:szCs w:val="21"/>
          <w:highlight w:val="none"/>
        </w:rPr>
        <w:t xml:space="preserve"> </w:t>
      </w:r>
      <w:r>
        <w:rPr>
          <w:rFonts w:ascii="宋体" w:hAnsi="宋体" w:eastAsia="宋体" w:cs="宋体"/>
          <w:color w:val="auto"/>
          <w:spacing w:val="-4"/>
          <w:sz w:val="21"/>
          <w:szCs w:val="21"/>
          <w:highlight w:val="none"/>
        </w:rPr>
        <w:t>网</w:t>
      </w:r>
      <w:r>
        <w:rPr>
          <w:rFonts w:ascii="宋体" w:hAnsi="宋体" w:eastAsia="宋体" w:cs="宋体"/>
          <w:color w:val="auto"/>
          <w:spacing w:val="-58"/>
          <w:sz w:val="21"/>
          <w:szCs w:val="21"/>
          <w:highlight w:val="none"/>
        </w:rPr>
        <w:t xml:space="preserve"> </w:t>
      </w:r>
      <w:r>
        <w:rPr>
          <w:rFonts w:ascii="宋体" w:hAnsi="宋体" w:eastAsia="宋体" w:cs="宋体"/>
          <w:color w:val="auto"/>
          <w:spacing w:val="-4"/>
          <w:sz w:val="21"/>
          <w:szCs w:val="21"/>
          <w:highlight w:val="none"/>
        </w:rPr>
        <w:t>站</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www.creditchi</w:t>
      </w:r>
      <w:r>
        <w:rPr>
          <w:rFonts w:ascii="Times New Roman" w:hAnsi="Times New Roman" w:eastAsia="Times New Roman" w:cs="Times New Roman"/>
          <w:color w:val="auto"/>
          <w:spacing w:val="-5"/>
          <w:sz w:val="21"/>
          <w:szCs w:val="21"/>
          <w:highlight w:val="none"/>
        </w:rPr>
        <w:t>na.gov.cn</w:t>
      </w:r>
      <w:r>
        <w:rPr>
          <w:rFonts w:ascii="宋体" w:hAnsi="宋体" w:eastAsia="宋体" w:cs="宋体"/>
          <w:color w:val="auto"/>
          <w:spacing w:val="-5"/>
          <w:sz w:val="21"/>
          <w:szCs w:val="21"/>
          <w:highlight w:val="none"/>
        </w:rPr>
        <w:t>）</w:t>
      </w:r>
      <w:r>
        <w:rPr>
          <w:rFonts w:ascii="宋体" w:hAnsi="宋体" w:eastAsia="宋体" w:cs="宋体"/>
          <w:color w:val="auto"/>
          <w:spacing w:val="-5"/>
          <w:sz w:val="21"/>
          <w:szCs w:val="21"/>
          <w:highlight w:val="none"/>
        </w:rPr>
        <w:fldChar w:fldCharType="end"/>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或</w:t>
      </w:r>
      <w:r>
        <w:rPr>
          <w:rFonts w:ascii="宋体" w:hAnsi="宋体" w:eastAsia="宋体" w:cs="宋体"/>
          <w:color w:val="auto"/>
          <w:spacing w:val="-65"/>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34"/>
          <w:sz w:val="21"/>
          <w:szCs w:val="21"/>
          <w:highlight w:val="none"/>
        </w:rPr>
        <w:t xml:space="preserve"> </w:t>
      </w:r>
      <w:r>
        <w:rPr>
          <w:rFonts w:ascii="宋体" w:hAnsi="宋体" w:eastAsia="宋体" w:cs="宋体"/>
          <w:color w:val="auto"/>
          <w:spacing w:val="-5"/>
          <w:sz w:val="21"/>
          <w:szCs w:val="21"/>
          <w:highlight w:val="none"/>
        </w:rPr>
        <w:t>中</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国</w:t>
      </w:r>
      <w:r>
        <w:rPr>
          <w:rFonts w:ascii="宋体" w:hAnsi="宋体" w:eastAsia="宋体" w:cs="宋体"/>
          <w:color w:val="auto"/>
          <w:spacing w:val="-58"/>
          <w:sz w:val="21"/>
          <w:szCs w:val="21"/>
          <w:highlight w:val="none"/>
        </w:rPr>
        <w:t xml:space="preserve"> </w:t>
      </w:r>
      <w:r>
        <w:rPr>
          <w:rFonts w:ascii="宋体" w:hAnsi="宋体" w:eastAsia="宋体" w:cs="宋体"/>
          <w:color w:val="auto"/>
          <w:spacing w:val="-5"/>
          <w:sz w:val="21"/>
          <w:szCs w:val="21"/>
          <w:highlight w:val="none"/>
        </w:rPr>
        <w:t>执</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行</w:t>
      </w:r>
      <w:r>
        <w:rPr>
          <w:rFonts w:ascii="宋体" w:hAnsi="宋体" w:eastAsia="宋体" w:cs="宋体"/>
          <w:color w:val="auto"/>
          <w:spacing w:val="-58"/>
          <w:sz w:val="21"/>
          <w:szCs w:val="21"/>
          <w:highlight w:val="none"/>
        </w:rPr>
        <w:t xml:space="preserve"> </w:t>
      </w:r>
      <w:r>
        <w:rPr>
          <w:rFonts w:ascii="宋体" w:hAnsi="宋体" w:eastAsia="宋体" w:cs="宋体"/>
          <w:color w:val="auto"/>
          <w:spacing w:val="-5"/>
          <w:sz w:val="21"/>
          <w:szCs w:val="21"/>
          <w:highlight w:val="none"/>
        </w:rPr>
        <w:t>信</w:t>
      </w:r>
      <w:r>
        <w:rPr>
          <w:rFonts w:ascii="宋体" w:hAnsi="宋体" w:eastAsia="宋体" w:cs="宋体"/>
          <w:color w:val="auto"/>
          <w:spacing w:val="-45"/>
          <w:sz w:val="21"/>
          <w:szCs w:val="21"/>
          <w:highlight w:val="none"/>
        </w:rPr>
        <w:t xml:space="preserve"> </w:t>
      </w:r>
      <w:r>
        <w:rPr>
          <w:rFonts w:ascii="宋体" w:hAnsi="宋体" w:eastAsia="宋体" w:cs="宋体"/>
          <w:color w:val="auto"/>
          <w:spacing w:val="-5"/>
          <w:sz w:val="21"/>
          <w:szCs w:val="21"/>
          <w:highlight w:val="none"/>
        </w:rPr>
        <w:t>息</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公</w:t>
      </w:r>
      <w:r>
        <w:rPr>
          <w:rFonts w:ascii="宋体" w:hAnsi="宋体" w:eastAsia="宋体" w:cs="宋体"/>
          <w:color w:val="auto"/>
          <w:spacing w:val="-57"/>
          <w:sz w:val="21"/>
          <w:szCs w:val="21"/>
          <w:highlight w:val="none"/>
        </w:rPr>
        <w:t xml:space="preserve"> </w:t>
      </w:r>
      <w:r>
        <w:rPr>
          <w:rFonts w:ascii="宋体" w:hAnsi="宋体" w:eastAsia="宋体" w:cs="宋体"/>
          <w:color w:val="auto"/>
          <w:spacing w:val="-5"/>
          <w:sz w:val="21"/>
          <w:szCs w:val="21"/>
          <w:highlight w:val="none"/>
        </w:rPr>
        <w:t>开</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网</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）被列入失信被执行人名单；</w:t>
      </w:r>
    </w:p>
    <w:p w14:paraId="4183C78C">
      <w:pPr>
        <w:spacing w:before="156" w:line="403" w:lineRule="exact"/>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7.</w:t>
      </w:r>
      <w:r>
        <w:rPr>
          <w:rFonts w:ascii="宋体" w:hAnsi="宋体" w:eastAsia="宋体" w:cs="宋体"/>
          <w:color w:val="auto"/>
          <w:spacing w:val="3"/>
          <w:position w:val="14"/>
          <w:sz w:val="21"/>
          <w:szCs w:val="21"/>
          <w:highlight w:val="none"/>
        </w:rPr>
        <w:t>在辽宁省建设工程招投标监督平台</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辽宁建</w:t>
      </w:r>
      <w:r>
        <w:rPr>
          <w:rFonts w:ascii="宋体" w:hAnsi="宋体" w:eastAsia="宋体" w:cs="宋体"/>
          <w:color w:val="auto"/>
          <w:spacing w:val="2"/>
          <w:position w:val="14"/>
          <w:sz w:val="21"/>
          <w:szCs w:val="21"/>
          <w:highlight w:val="none"/>
        </w:rPr>
        <w:t>设工程信息网上被列入不良行为记录且在</w:t>
      </w:r>
    </w:p>
    <w:p w14:paraId="069262F0">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公布期内的；</w:t>
      </w:r>
    </w:p>
    <w:p w14:paraId="4C33000B">
      <w:pPr>
        <w:spacing w:before="148"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投标人须知前附表第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17</w:t>
      </w:r>
      <w:r>
        <w:rPr>
          <w:rFonts w:ascii="宋体" w:hAnsi="宋体" w:eastAsia="宋体" w:cs="宋体"/>
          <w:color w:val="auto"/>
          <w:spacing w:val="-1"/>
          <w:sz w:val="21"/>
          <w:szCs w:val="21"/>
          <w:highlight w:val="none"/>
        </w:rPr>
        <w:t>）目规</w:t>
      </w:r>
      <w:r>
        <w:rPr>
          <w:rFonts w:ascii="宋体" w:hAnsi="宋体" w:eastAsia="宋体" w:cs="宋体"/>
          <w:color w:val="auto"/>
          <w:spacing w:val="-2"/>
          <w:sz w:val="21"/>
          <w:szCs w:val="21"/>
          <w:highlight w:val="none"/>
        </w:rPr>
        <w:t>定的其他情形。</w:t>
      </w:r>
    </w:p>
    <w:p w14:paraId="0125F8E0">
      <w:pPr>
        <w:spacing w:before="182" w:line="442" w:lineRule="exact"/>
        <w:ind w:left="442"/>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我方对上述声明的真实性和准确性负责，并承担相应的</w:t>
      </w:r>
      <w:r>
        <w:rPr>
          <w:rFonts w:ascii="宋体" w:hAnsi="宋体" w:eastAsia="宋体" w:cs="宋体"/>
          <w:color w:val="auto"/>
          <w:spacing w:val="-1"/>
          <w:position w:val="17"/>
          <w:sz w:val="21"/>
          <w:szCs w:val="21"/>
          <w:highlight w:val="none"/>
        </w:rPr>
        <w:t>法律责任。</w:t>
      </w:r>
    </w:p>
    <w:p w14:paraId="4B04DC1F">
      <w:pPr>
        <w:spacing w:before="1" w:line="219"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后附：上述条款</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5、6、7</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网站查询结果截图。</w:t>
      </w:r>
    </w:p>
    <w:p w14:paraId="2E9F509B">
      <w:pPr>
        <w:pStyle w:val="5"/>
        <w:spacing w:line="278" w:lineRule="auto"/>
        <w:rPr>
          <w:color w:val="auto"/>
          <w:highlight w:val="none"/>
        </w:rPr>
      </w:pPr>
    </w:p>
    <w:p w14:paraId="542F1EF2">
      <w:pPr>
        <w:pStyle w:val="5"/>
        <w:spacing w:line="279" w:lineRule="auto"/>
        <w:rPr>
          <w:color w:val="auto"/>
          <w:highlight w:val="none"/>
        </w:rPr>
      </w:pPr>
    </w:p>
    <w:p w14:paraId="11B7D37B">
      <w:pPr>
        <w:spacing w:before="68" w:line="388" w:lineRule="auto"/>
        <w:ind w:left="4011"/>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pacing w:val="4"/>
          <w:sz w:val="21"/>
          <w:szCs w:val="21"/>
          <w:highlight w:val="none"/>
        </w:rPr>
        <w:t>：</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8"/>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23"/>
          <w:w w:val="98"/>
          <w:sz w:val="21"/>
          <w:szCs w:val="21"/>
          <w:highlight w:val="none"/>
        </w:rPr>
        <w:t>盖单位章）</w:t>
      </w:r>
    </w:p>
    <w:p w14:paraId="350B0B2B">
      <w:pPr>
        <w:spacing w:before="1" w:line="219" w:lineRule="auto"/>
        <w:ind w:left="275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3"/>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7"/>
          <w:sz w:val="21"/>
          <w:szCs w:val="21"/>
          <w:highlight w:val="none"/>
        </w:rPr>
        <w:t>签章）</w:t>
      </w:r>
    </w:p>
    <w:p w14:paraId="1F984979">
      <w:pPr>
        <w:pStyle w:val="5"/>
        <w:spacing w:line="278" w:lineRule="auto"/>
        <w:rPr>
          <w:color w:val="auto"/>
          <w:highlight w:val="none"/>
        </w:rPr>
      </w:pPr>
    </w:p>
    <w:p w14:paraId="5A4F2FD3">
      <w:pPr>
        <w:pStyle w:val="5"/>
        <w:spacing w:line="278" w:lineRule="auto"/>
        <w:rPr>
          <w:color w:val="auto"/>
          <w:highlight w:val="none"/>
        </w:rPr>
      </w:pPr>
    </w:p>
    <w:p w14:paraId="41AD6240">
      <w:pPr>
        <w:tabs>
          <w:tab w:val="left" w:pos="6107"/>
        </w:tabs>
        <w:spacing w:before="69" w:line="221" w:lineRule="auto"/>
        <w:ind w:left="526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 xml:space="preserve">年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 xml:space="preserve">月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日</w:t>
      </w:r>
    </w:p>
    <w:p w14:paraId="3461252C">
      <w:pPr>
        <w:pStyle w:val="5"/>
        <w:spacing w:line="284" w:lineRule="auto"/>
        <w:rPr>
          <w:color w:val="auto"/>
          <w:highlight w:val="none"/>
        </w:rPr>
      </w:pPr>
    </w:p>
    <w:p w14:paraId="643E1BA9">
      <w:pPr>
        <w:pStyle w:val="5"/>
        <w:spacing w:line="284" w:lineRule="auto"/>
        <w:rPr>
          <w:color w:val="auto"/>
          <w:highlight w:val="none"/>
        </w:rPr>
      </w:pPr>
    </w:p>
    <w:p w14:paraId="59F8D07F">
      <w:pPr>
        <w:pStyle w:val="5"/>
        <w:spacing w:line="284" w:lineRule="auto"/>
        <w:rPr>
          <w:color w:val="auto"/>
          <w:highlight w:val="none"/>
        </w:rPr>
      </w:pPr>
    </w:p>
    <w:p w14:paraId="1CF61191">
      <w:pPr>
        <w:spacing w:before="69" w:line="230" w:lineRule="auto"/>
        <w:ind w:left="857" w:right="160" w:hanging="83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1.投标人应针对第二章“投标人须知”第 1.4.1 项和第 1.4.3 项的要求</w:t>
      </w:r>
      <w:r>
        <w:rPr>
          <w:rFonts w:ascii="宋体" w:hAnsi="宋体" w:eastAsia="宋体" w:cs="宋体"/>
          <w:color w:val="auto"/>
          <w:spacing w:val="-5"/>
          <w:sz w:val="21"/>
          <w:szCs w:val="21"/>
          <w:highlight w:val="none"/>
        </w:rPr>
        <w:t>，在此对其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信誉情况做出说明。如上格式文件所示。</w:t>
      </w:r>
    </w:p>
    <w:p w14:paraId="193C34BC">
      <w:pPr>
        <w:spacing w:before="23" w:line="221" w:lineRule="auto"/>
        <w:ind w:left="6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2.联合体投标的，联合体各成员单位均应按要求做出说明。</w:t>
      </w:r>
    </w:p>
    <w:p w14:paraId="27C7F223">
      <w:pPr>
        <w:spacing w:line="221" w:lineRule="auto"/>
        <w:rPr>
          <w:rFonts w:ascii="宋体" w:hAnsi="宋体" w:eastAsia="宋体" w:cs="宋体"/>
          <w:color w:val="auto"/>
          <w:sz w:val="21"/>
          <w:szCs w:val="21"/>
          <w:highlight w:val="none"/>
        </w:rPr>
        <w:sectPr>
          <w:footerReference r:id="rId179" w:type="default"/>
          <w:pgSz w:w="11905" w:h="16839"/>
          <w:pgMar w:top="400" w:right="1631" w:bottom="1004" w:left="1785" w:header="0" w:footer="828" w:gutter="0"/>
          <w:pgNumType w:fmt="decimal"/>
          <w:cols w:space="720" w:num="1"/>
        </w:sectPr>
      </w:pPr>
    </w:p>
    <w:p w14:paraId="6E166D0F">
      <w:pPr>
        <w:pStyle w:val="5"/>
        <w:spacing w:line="267" w:lineRule="auto"/>
        <w:rPr>
          <w:color w:val="auto"/>
          <w:highlight w:val="none"/>
        </w:rPr>
      </w:pPr>
    </w:p>
    <w:p w14:paraId="204C49EA">
      <w:pPr>
        <w:pStyle w:val="5"/>
        <w:spacing w:line="268" w:lineRule="auto"/>
        <w:rPr>
          <w:color w:val="auto"/>
          <w:highlight w:val="none"/>
        </w:rPr>
      </w:pPr>
    </w:p>
    <w:p w14:paraId="3BAB3D35">
      <w:pPr>
        <w:pStyle w:val="5"/>
        <w:spacing w:line="268" w:lineRule="auto"/>
        <w:rPr>
          <w:color w:val="auto"/>
          <w:highlight w:val="none"/>
        </w:rPr>
      </w:pPr>
    </w:p>
    <w:p w14:paraId="664B209B">
      <w:pPr>
        <w:pStyle w:val="5"/>
        <w:spacing w:line="268" w:lineRule="auto"/>
        <w:rPr>
          <w:color w:val="auto"/>
          <w:highlight w:val="none"/>
        </w:rPr>
      </w:pPr>
    </w:p>
    <w:p w14:paraId="6121DF31">
      <w:pPr>
        <w:spacing w:before="78" w:line="217" w:lineRule="auto"/>
        <w:ind w:left="2547"/>
        <w:rPr>
          <w:rFonts w:ascii="黑体" w:hAnsi="黑体" w:eastAsia="黑体" w:cs="黑体"/>
          <w:color w:val="auto"/>
          <w:sz w:val="24"/>
          <w:szCs w:val="24"/>
          <w:highlight w:val="none"/>
        </w:rPr>
      </w:pPr>
      <w:bookmarkStart w:id="1770" w:name="bookmark325"/>
      <w:bookmarkEnd w:id="1770"/>
      <w:r>
        <w:rPr>
          <w:rFonts w:ascii="Times New Roman" w:hAnsi="Times New Roman" w:eastAsia="Times New Roman" w:cs="Times New Roman"/>
          <w:color w:val="auto"/>
          <w:spacing w:val="-1"/>
          <w:sz w:val="24"/>
          <w:szCs w:val="24"/>
          <w:highlight w:val="none"/>
        </w:rPr>
        <w:t xml:space="preserve">5-2 </w:t>
      </w:r>
      <w:r>
        <w:rPr>
          <w:rFonts w:ascii="黑体" w:hAnsi="黑体" w:eastAsia="黑体" w:cs="黑体"/>
          <w:color w:val="auto"/>
          <w:spacing w:val="-1"/>
          <w:sz w:val="24"/>
          <w:szCs w:val="24"/>
          <w:highlight w:val="none"/>
        </w:rPr>
        <w:t>近年发生的诉讼和仲裁情况</w:t>
      </w:r>
    </w:p>
    <w:tbl>
      <w:tblPr>
        <w:tblStyle w:val="17"/>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12CE5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1FFA8AFC">
            <w:pPr>
              <w:pStyle w:val="18"/>
              <w:spacing w:before="230" w:line="221" w:lineRule="auto"/>
              <w:ind w:left="252"/>
              <w:rPr>
                <w:color w:val="auto"/>
                <w:highlight w:val="none"/>
              </w:rPr>
            </w:pPr>
            <w:r>
              <w:rPr>
                <w:color w:val="auto"/>
                <w:spacing w:val="-2"/>
                <w:highlight w:val="none"/>
              </w:rPr>
              <w:t>类别</w:t>
            </w:r>
          </w:p>
        </w:tc>
        <w:tc>
          <w:tcPr>
            <w:tcW w:w="915" w:type="dxa"/>
            <w:tcBorders>
              <w:top w:val="single" w:color="000000" w:sz="6" w:space="0"/>
            </w:tcBorders>
            <w:vAlign w:val="top"/>
          </w:tcPr>
          <w:p w14:paraId="41D8C872">
            <w:pPr>
              <w:pStyle w:val="18"/>
              <w:spacing w:before="230" w:line="222" w:lineRule="auto"/>
              <w:ind w:left="248"/>
              <w:rPr>
                <w:color w:val="auto"/>
                <w:highlight w:val="none"/>
              </w:rPr>
            </w:pPr>
            <w:r>
              <w:rPr>
                <w:color w:val="auto"/>
                <w:spacing w:val="-2"/>
                <w:highlight w:val="none"/>
              </w:rPr>
              <w:t>序号</w:t>
            </w:r>
          </w:p>
        </w:tc>
        <w:tc>
          <w:tcPr>
            <w:tcW w:w="1203" w:type="dxa"/>
            <w:tcBorders>
              <w:top w:val="single" w:color="000000" w:sz="6" w:space="0"/>
            </w:tcBorders>
            <w:vAlign w:val="top"/>
          </w:tcPr>
          <w:p w14:paraId="2564CB36">
            <w:pPr>
              <w:pStyle w:val="18"/>
              <w:spacing w:before="231" w:line="221" w:lineRule="auto"/>
              <w:ind w:left="188"/>
              <w:rPr>
                <w:color w:val="auto"/>
                <w:highlight w:val="none"/>
              </w:rPr>
            </w:pPr>
            <w:r>
              <w:rPr>
                <w:color w:val="auto"/>
                <w:spacing w:val="-2"/>
                <w:highlight w:val="none"/>
              </w:rPr>
              <w:t>发生时间</w:t>
            </w:r>
          </w:p>
        </w:tc>
        <w:tc>
          <w:tcPr>
            <w:tcW w:w="3384" w:type="dxa"/>
            <w:tcBorders>
              <w:top w:val="single" w:color="000000" w:sz="6" w:space="0"/>
            </w:tcBorders>
            <w:vAlign w:val="top"/>
          </w:tcPr>
          <w:p w14:paraId="0D0D5AD1">
            <w:pPr>
              <w:pStyle w:val="18"/>
              <w:spacing w:before="230" w:line="220" w:lineRule="auto"/>
              <w:ind w:left="1282"/>
              <w:rPr>
                <w:color w:val="auto"/>
                <w:highlight w:val="none"/>
              </w:rPr>
            </w:pPr>
            <w:r>
              <w:rPr>
                <w:color w:val="auto"/>
                <w:spacing w:val="-1"/>
                <w:highlight w:val="none"/>
              </w:rPr>
              <w:t>情况简介</w:t>
            </w:r>
          </w:p>
        </w:tc>
        <w:tc>
          <w:tcPr>
            <w:tcW w:w="1855" w:type="dxa"/>
            <w:tcBorders>
              <w:top w:val="single" w:color="000000" w:sz="6" w:space="0"/>
              <w:right w:val="single" w:color="000000" w:sz="6" w:space="0"/>
            </w:tcBorders>
            <w:vAlign w:val="top"/>
          </w:tcPr>
          <w:p w14:paraId="24BBCDB4">
            <w:pPr>
              <w:pStyle w:val="18"/>
              <w:spacing w:before="230" w:line="220" w:lineRule="auto"/>
              <w:ind w:left="308"/>
              <w:rPr>
                <w:color w:val="auto"/>
                <w:highlight w:val="none"/>
              </w:rPr>
            </w:pPr>
            <w:r>
              <w:rPr>
                <w:color w:val="auto"/>
                <w:spacing w:val="-1"/>
                <w:highlight w:val="none"/>
              </w:rPr>
              <w:t>证明材料索引</w:t>
            </w:r>
          </w:p>
        </w:tc>
      </w:tr>
      <w:tr w14:paraId="053E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556EAB3C">
            <w:pPr>
              <w:spacing w:line="275" w:lineRule="auto"/>
              <w:rPr>
                <w:rFonts w:ascii="Arial"/>
                <w:color w:val="auto"/>
                <w:sz w:val="21"/>
                <w:highlight w:val="none"/>
              </w:rPr>
            </w:pPr>
          </w:p>
          <w:p w14:paraId="3A648C23">
            <w:pPr>
              <w:pStyle w:val="18"/>
              <w:spacing w:before="70" w:line="210" w:lineRule="auto"/>
              <w:ind w:left="1529"/>
              <w:rPr>
                <w:color w:val="auto"/>
                <w:highlight w:val="none"/>
              </w:rPr>
            </w:pPr>
            <w:r>
              <w:rPr>
                <w:color w:val="auto"/>
                <w:spacing w:val="22"/>
                <w:highlight w:val="none"/>
              </w:rPr>
              <w:t>诉讼情况</w:t>
            </w:r>
          </w:p>
        </w:tc>
        <w:tc>
          <w:tcPr>
            <w:tcW w:w="915" w:type="dxa"/>
            <w:vAlign w:val="top"/>
          </w:tcPr>
          <w:p w14:paraId="74E6DCB0">
            <w:pPr>
              <w:rPr>
                <w:rFonts w:ascii="Arial"/>
                <w:color w:val="auto"/>
                <w:sz w:val="21"/>
                <w:highlight w:val="none"/>
              </w:rPr>
            </w:pPr>
          </w:p>
        </w:tc>
        <w:tc>
          <w:tcPr>
            <w:tcW w:w="1203" w:type="dxa"/>
            <w:vAlign w:val="top"/>
          </w:tcPr>
          <w:p w14:paraId="63DF2CBA">
            <w:pPr>
              <w:rPr>
                <w:rFonts w:ascii="Arial"/>
                <w:color w:val="auto"/>
                <w:sz w:val="21"/>
                <w:highlight w:val="none"/>
              </w:rPr>
            </w:pPr>
          </w:p>
        </w:tc>
        <w:tc>
          <w:tcPr>
            <w:tcW w:w="3384" w:type="dxa"/>
            <w:vAlign w:val="top"/>
          </w:tcPr>
          <w:p w14:paraId="44281720">
            <w:pPr>
              <w:rPr>
                <w:rFonts w:ascii="Arial"/>
                <w:color w:val="auto"/>
                <w:sz w:val="21"/>
                <w:highlight w:val="none"/>
              </w:rPr>
            </w:pPr>
          </w:p>
        </w:tc>
        <w:tc>
          <w:tcPr>
            <w:tcW w:w="1855" w:type="dxa"/>
            <w:tcBorders>
              <w:right w:val="single" w:color="000000" w:sz="6" w:space="0"/>
            </w:tcBorders>
            <w:vAlign w:val="top"/>
          </w:tcPr>
          <w:p w14:paraId="5F565EE3">
            <w:pPr>
              <w:rPr>
                <w:rFonts w:ascii="Arial"/>
                <w:color w:val="auto"/>
                <w:sz w:val="21"/>
                <w:highlight w:val="none"/>
              </w:rPr>
            </w:pPr>
          </w:p>
        </w:tc>
      </w:tr>
      <w:tr w14:paraId="69236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73BBB215">
            <w:pPr>
              <w:rPr>
                <w:rFonts w:ascii="Arial"/>
                <w:color w:val="auto"/>
                <w:sz w:val="21"/>
                <w:highlight w:val="none"/>
              </w:rPr>
            </w:pPr>
          </w:p>
        </w:tc>
        <w:tc>
          <w:tcPr>
            <w:tcW w:w="915" w:type="dxa"/>
            <w:vAlign w:val="top"/>
          </w:tcPr>
          <w:p w14:paraId="32B20F31">
            <w:pPr>
              <w:rPr>
                <w:rFonts w:ascii="Arial"/>
                <w:color w:val="auto"/>
                <w:sz w:val="21"/>
                <w:highlight w:val="none"/>
              </w:rPr>
            </w:pPr>
          </w:p>
        </w:tc>
        <w:tc>
          <w:tcPr>
            <w:tcW w:w="1203" w:type="dxa"/>
            <w:vAlign w:val="top"/>
          </w:tcPr>
          <w:p w14:paraId="4400D2CF">
            <w:pPr>
              <w:rPr>
                <w:rFonts w:ascii="Arial"/>
                <w:color w:val="auto"/>
                <w:sz w:val="21"/>
                <w:highlight w:val="none"/>
              </w:rPr>
            </w:pPr>
          </w:p>
        </w:tc>
        <w:tc>
          <w:tcPr>
            <w:tcW w:w="3384" w:type="dxa"/>
            <w:vAlign w:val="top"/>
          </w:tcPr>
          <w:p w14:paraId="4B364754">
            <w:pPr>
              <w:rPr>
                <w:rFonts w:ascii="Arial"/>
                <w:color w:val="auto"/>
                <w:sz w:val="21"/>
                <w:highlight w:val="none"/>
              </w:rPr>
            </w:pPr>
          </w:p>
        </w:tc>
        <w:tc>
          <w:tcPr>
            <w:tcW w:w="1855" w:type="dxa"/>
            <w:tcBorders>
              <w:right w:val="single" w:color="000000" w:sz="6" w:space="0"/>
            </w:tcBorders>
            <w:vAlign w:val="top"/>
          </w:tcPr>
          <w:p w14:paraId="107142C3">
            <w:pPr>
              <w:rPr>
                <w:rFonts w:ascii="Arial"/>
                <w:color w:val="auto"/>
                <w:sz w:val="21"/>
                <w:highlight w:val="none"/>
              </w:rPr>
            </w:pPr>
          </w:p>
        </w:tc>
      </w:tr>
      <w:tr w14:paraId="2F6B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38CA6D8D">
            <w:pPr>
              <w:rPr>
                <w:rFonts w:ascii="Arial"/>
                <w:color w:val="auto"/>
                <w:sz w:val="21"/>
                <w:highlight w:val="none"/>
              </w:rPr>
            </w:pPr>
          </w:p>
        </w:tc>
        <w:tc>
          <w:tcPr>
            <w:tcW w:w="915" w:type="dxa"/>
            <w:vAlign w:val="top"/>
          </w:tcPr>
          <w:p w14:paraId="452511CB">
            <w:pPr>
              <w:rPr>
                <w:rFonts w:ascii="Arial"/>
                <w:color w:val="auto"/>
                <w:sz w:val="21"/>
                <w:highlight w:val="none"/>
              </w:rPr>
            </w:pPr>
          </w:p>
        </w:tc>
        <w:tc>
          <w:tcPr>
            <w:tcW w:w="1203" w:type="dxa"/>
            <w:vAlign w:val="top"/>
          </w:tcPr>
          <w:p w14:paraId="7958C9A5">
            <w:pPr>
              <w:rPr>
                <w:rFonts w:ascii="Arial"/>
                <w:color w:val="auto"/>
                <w:sz w:val="21"/>
                <w:highlight w:val="none"/>
              </w:rPr>
            </w:pPr>
          </w:p>
        </w:tc>
        <w:tc>
          <w:tcPr>
            <w:tcW w:w="3384" w:type="dxa"/>
            <w:vAlign w:val="top"/>
          </w:tcPr>
          <w:p w14:paraId="3A70CC19">
            <w:pPr>
              <w:rPr>
                <w:rFonts w:ascii="Arial"/>
                <w:color w:val="auto"/>
                <w:sz w:val="21"/>
                <w:highlight w:val="none"/>
              </w:rPr>
            </w:pPr>
          </w:p>
        </w:tc>
        <w:tc>
          <w:tcPr>
            <w:tcW w:w="1855" w:type="dxa"/>
            <w:tcBorders>
              <w:right w:val="single" w:color="000000" w:sz="6" w:space="0"/>
            </w:tcBorders>
            <w:vAlign w:val="top"/>
          </w:tcPr>
          <w:p w14:paraId="17D6BF20">
            <w:pPr>
              <w:rPr>
                <w:rFonts w:ascii="Arial"/>
                <w:color w:val="auto"/>
                <w:sz w:val="21"/>
                <w:highlight w:val="none"/>
              </w:rPr>
            </w:pPr>
          </w:p>
        </w:tc>
      </w:tr>
      <w:tr w14:paraId="23183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6A1F4FD6">
            <w:pPr>
              <w:spacing w:line="274" w:lineRule="auto"/>
              <w:rPr>
                <w:rFonts w:ascii="Arial"/>
                <w:color w:val="auto"/>
                <w:sz w:val="21"/>
                <w:highlight w:val="none"/>
              </w:rPr>
            </w:pPr>
          </w:p>
          <w:p w14:paraId="774C297E">
            <w:pPr>
              <w:pStyle w:val="18"/>
              <w:spacing w:before="70" w:line="210" w:lineRule="auto"/>
              <w:ind w:left="1535"/>
              <w:rPr>
                <w:color w:val="auto"/>
                <w:highlight w:val="none"/>
              </w:rPr>
            </w:pPr>
            <w:r>
              <w:rPr>
                <w:color w:val="auto"/>
                <w:spacing w:val="22"/>
                <w:highlight w:val="none"/>
              </w:rPr>
              <w:t>仲裁情况</w:t>
            </w:r>
          </w:p>
        </w:tc>
        <w:tc>
          <w:tcPr>
            <w:tcW w:w="915" w:type="dxa"/>
            <w:vAlign w:val="top"/>
          </w:tcPr>
          <w:p w14:paraId="3ED9308D">
            <w:pPr>
              <w:rPr>
                <w:rFonts w:ascii="Arial"/>
                <w:color w:val="auto"/>
                <w:sz w:val="21"/>
                <w:highlight w:val="none"/>
              </w:rPr>
            </w:pPr>
          </w:p>
        </w:tc>
        <w:tc>
          <w:tcPr>
            <w:tcW w:w="1203" w:type="dxa"/>
            <w:vAlign w:val="top"/>
          </w:tcPr>
          <w:p w14:paraId="1052E4AF">
            <w:pPr>
              <w:rPr>
                <w:rFonts w:ascii="Arial"/>
                <w:color w:val="auto"/>
                <w:sz w:val="21"/>
                <w:highlight w:val="none"/>
              </w:rPr>
            </w:pPr>
          </w:p>
        </w:tc>
        <w:tc>
          <w:tcPr>
            <w:tcW w:w="3384" w:type="dxa"/>
            <w:vAlign w:val="top"/>
          </w:tcPr>
          <w:p w14:paraId="6CD1544A">
            <w:pPr>
              <w:rPr>
                <w:rFonts w:ascii="Arial"/>
                <w:color w:val="auto"/>
                <w:sz w:val="21"/>
                <w:highlight w:val="none"/>
              </w:rPr>
            </w:pPr>
          </w:p>
        </w:tc>
        <w:tc>
          <w:tcPr>
            <w:tcW w:w="1855" w:type="dxa"/>
            <w:tcBorders>
              <w:right w:val="single" w:color="000000" w:sz="6" w:space="0"/>
            </w:tcBorders>
            <w:vAlign w:val="top"/>
          </w:tcPr>
          <w:p w14:paraId="7231EC23">
            <w:pPr>
              <w:rPr>
                <w:rFonts w:ascii="Arial"/>
                <w:color w:val="auto"/>
                <w:sz w:val="21"/>
                <w:highlight w:val="none"/>
              </w:rPr>
            </w:pPr>
          </w:p>
        </w:tc>
      </w:tr>
      <w:tr w14:paraId="150A9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73043137">
            <w:pPr>
              <w:rPr>
                <w:rFonts w:ascii="Arial"/>
                <w:color w:val="auto"/>
                <w:sz w:val="21"/>
                <w:highlight w:val="none"/>
              </w:rPr>
            </w:pPr>
          </w:p>
        </w:tc>
        <w:tc>
          <w:tcPr>
            <w:tcW w:w="915" w:type="dxa"/>
            <w:vAlign w:val="top"/>
          </w:tcPr>
          <w:p w14:paraId="3F4E53D8">
            <w:pPr>
              <w:rPr>
                <w:rFonts w:ascii="Arial"/>
                <w:color w:val="auto"/>
                <w:sz w:val="21"/>
                <w:highlight w:val="none"/>
              </w:rPr>
            </w:pPr>
          </w:p>
        </w:tc>
        <w:tc>
          <w:tcPr>
            <w:tcW w:w="1203" w:type="dxa"/>
            <w:vAlign w:val="top"/>
          </w:tcPr>
          <w:p w14:paraId="285FE732">
            <w:pPr>
              <w:rPr>
                <w:rFonts w:ascii="Arial"/>
                <w:color w:val="auto"/>
                <w:sz w:val="21"/>
                <w:highlight w:val="none"/>
              </w:rPr>
            </w:pPr>
          </w:p>
        </w:tc>
        <w:tc>
          <w:tcPr>
            <w:tcW w:w="3384" w:type="dxa"/>
            <w:vAlign w:val="top"/>
          </w:tcPr>
          <w:p w14:paraId="0CD9E74F">
            <w:pPr>
              <w:rPr>
                <w:rFonts w:ascii="Arial"/>
                <w:color w:val="auto"/>
                <w:sz w:val="21"/>
                <w:highlight w:val="none"/>
              </w:rPr>
            </w:pPr>
          </w:p>
        </w:tc>
        <w:tc>
          <w:tcPr>
            <w:tcW w:w="1855" w:type="dxa"/>
            <w:tcBorders>
              <w:right w:val="single" w:color="000000" w:sz="6" w:space="0"/>
            </w:tcBorders>
            <w:vAlign w:val="top"/>
          </w:tcPr>
          <w:p w14:paraId="1A863E6F">
            <w:pPr>
              <w:rPr>
                <w:rFonts w:ascii="Arial"/>
                <w:color w:val="auto"/>
                <w:sz w:val="21"/>
                <w:highlight w:val="none"/>
              </w:rPr>
            </w:pPr>
          </w:p>
        </w:tc>
      </w:tr>
      <w:tr w14:paraId="0328B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128D7512">
            <w:pPr>
              <w:rPr>
                <w:rFonts w:ascii="Arial"/>
                <w:color w:val="auto"/>
                <w:sz w:val="21"/>
                <w:highlight w:val="none"/>
              </w:rPr>
            </w:pPr>
          </w:p>
        </w:tc>
        <w:tc>
          <w:tcPr>
            <w:tcW w:w="915" w:type="dxa"/>
            <w:tcBorders>
              <w:bottom w:val="single" w:color="000000" w:sz="6" w:space="0"/>
            </w:tcBorders>
            <w:vAlign w:val="top"/>
          </w:tcPr>
          <w:p w14:paraId="01E83F6F">
            <w:pPr>
              <w:rPr>
                <w:rFonts w:ascii="Arial"/>
                <w:color w:val="auto"/>
                <w:sz w:val="21"/>
                <w:highlight w:val="none"/>
              </w:rPr>
            </w:pPr>
          </w:p>
        </w:tc>
        <w:tc>
          <w:tcPr>
            <w:tcW w:w="1203" w:type="dxa"/>
            <w:tcBorders>
              <w:bottom w:val="single" w:color="000000" w:sz="6" w:space="0"/>
            </w:tcBorders>
            <w:vAlign w:val="top"/>
          </w:tcPr>
          <w:p w14:paraId="311024DE">
            <w:pPr>
              <w:rPr>
                <w:rFonts w:ascii="Arial"/>
                <w:color w:val="auto"/>
                <w:sz w:val="21"/>
                <w:highlight w:val="none"/>
              </w:rPr>
            </w:pPr>
          </w:p>
        </w:tc>
        <w:tc>
          <w:tcPr>
            <w:tcW w:w="3384" w:type="dxa"/>
            <w:tcBorders>
              <w:bottom w:val="single" w:color="000000" w:sz="6" w:space="0"/>
            </w:tcBorders>
            <w:vAlign w:val="top"/>
          </w:tcPr>
          <w:p w14:paraId="138F68C3">
            <w:pPr>
              <w:rPr>
                <w:rFonts w:ascii="Arial"/>
                <w:color w:val="auto"/>
                <w:sz w:val="21"/>
                <w:highlight w:val="none"/>
              </w:rPr>
            </w:pPr>
          </w:p>
        </w:tc>
        <w:tc>
          <w:tcPr>
            <w:tcW w:w="1855" w:type="dxa"/>
            <w:tcBorders>
              <w:bottom w:val="single" w:color="000000" w:sz="6" w:space="0"/>
              <w:right w:val="single" w:color="000000" w:sz="6" w:space="0"/>
            </w:tcBorders>
            <w:vAlign w:val="top"/>
          </w:tcPr>
          <w:p w14:paraId="2461305E">
            <w:pPr>
              <w:rPr>
                <w:rFonts w:ascii="Arial"/>
                <w:color w:val="auto"/>
                <w:sz w:val="21"/>
                <w:highlight w:val="none"/>
              </w:rPr>
            </w:pPr>
          </w:p>
        </w:tc>
      </w:tr>
    </w:tbl>
    <w:p w14:paraId="6CF63866">
      <w:pPr>
        <w:spacing w:before="140" w:line="398" w:lineRule="exact"/>
        <w:ind w:left="2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 xml:space="preserve">备注： </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招标文件将近年发生的诉讼和仲裁</w:t>
      </w:r>
      <w:r>
        <w:rPr>
          <w:rFonts w:ascii="宋体" w:hAnsi="宋体" w:eastAsia="宋体" w:cs="宋体"/>
          <w:color w:val="auto"/>
          <w:spacing w:val="1"/>
          <w:position w:val="14"/>
          <w:sz w:val="21"/>
          <w:szCs w:val="21"/>
          <w:highlight w:val="none"/>
        </w:rPr>
        <w:t>情况作为资格条件或评分项的，投标人应当如</w:t>
      </w:r>
    </w:p>
    <w:p w14:paraId="04F8988D">
      <w:pPr>
        <w:spacing w:line="220" w:lineRule="auto"/>
        <w:ind w:left="86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实填报相关情况。 没有可不填。</w:t>
      </w:r>
    </w:p>
    <w:p w14:paraId="610B8E47">
      <w:pPr>
        <w:spacing w:before="153" w:line="350" w:lineRule="auto"/>
        <w:ind w:left="857" w:right="11" w:hanging="214"/>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近年发生的诉讼和仲裁情况仅限于申请</w:t>
      </w:r>
      <w:r>
        <w:rPr>
          <w:rFonts w:ascii="宋体" w:hAnsi="宋体" w:eastAsia="宋体" w:cs="宋体"/>
          <w:color w:val="auto"/>
          <w:spacing w:val="4"/>
          <w:sz w:val="21"/>
          <w:szCs w:val="21"/>
          <w:highlight w:val="none"/>
        </w:rPr>
        <w:t>人败诉的，且与签订或履行合同有关的案</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件，不包括调解结案以及未终审判决的诉讼或未裁决的仲裁。附法院或仲裁机构</w:t>
      </w:r>
    </w:p>
    <w:p w14:paraId="57990A5D">
      <w:pPr>
        <w:spacing w:before="1" w:line="219" w:lineRule="auto"/>
        <w:ind w:left="859"/>
        <w:rPr>
          <w:rFonts w:ascii="宋体" w:hAnsi="宋体" w:eastAsia="宋体" w:cs="宋体"/>
          <w:color w:val="auto"/>
          <w:sz w:val="21"/>
          <w:szCs w:val="21"/>
          <w:highlight w:val="none"/>
        </w:rPr>
      </w:pPr>
      <w:r>
        <w:rPr>
          <w:rFonts w:ascii="宋体" w:hAnsi="宋体" w:eastAsia="宋体" w:cs="宋体"/>
          <w:color w:val="auto"/>
          <w:sz w:val="21"/>
          <w:szCs w:val="21"/>
          <w:highlight w:val="none"/>
        </w:rPr>
        <w:t>作出的判决或裁决等有关法律文书。以仲裁裁决或判决书的制发时间</w:t>
      </w:r>
      <w:r>
        <w:rPr>
          <w:rFonts w:ascii="宋体" w:hAnsi="宋体" w:eastAsia="宋体" w:cs="宋体"/>
          <w:color w:val="auto"/>
          <w:spacing w:val="-1"/>
          <w:sz w:val="21"/>
          <w:szCs w:val="21"/>
          <w:highlight w:val="none"/>
        </w:rPr>
        <w:t>为准。</w:t>
      </w:r>
    </w:p>
    <w:p w14:paraId="3CABBEED">
      <w:pPr>
        <w:spacing w:before="153" w:line="352" w:lineRule="auto"/>
        <w:ind w:left="857" w:right="11" w:hanging="206"/>
        <w:rPr>
          <w:rFonts w:ascii="宋体" w:hAnsi="宋体" w:eastAsia="宋体" w:cs="宋体"/>
          <w:color w:val="auto"/>
          <w:sz w:val="21"/>
          <w:szCs w:val="21"/>
          <w:highlight w:val="none"/>
        </w:rPr>
      </w:pPr>
      <w:r>
        <w:rPr>
          <w:rFonts w:ascii="宋体" w:hAnsi="宋体" w:eastAsia="宋体" w:cs="宋体"/>
          <w:color w:val="auto"/>
          <w:sz w:val="21"/>
          <w:szCs w:val="21"/>
          <w:highlight w:val="none"/>
        </w:rPr>
        <w:t>3.投标人应如实填写近年发生的诉讼及仲裁情况， 否则视为不响应招标文件实质性</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要求， 其投标文件将被否决。如投标人因故意隐瞒且查证属实存在影响履约的诉</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讼及仲裁情况， 将视为弄虚作假或以不正当手段骗取中标的行为，将依法依规予</w:t>
      </w:r>
    </w:p>
    <w:p w14:paraId="4A0559E9">
      <w:pPr>
        <w:spacing w:line="223" w:lineRule="auto"/>
        <w:ind w:left="88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以处理。</w:t>
      </w:r>
    </w:p>
    <w:p w14:paraId="2DE2E69C">
      <w:pPr>
        <w:spacing w:line="223" w:lineRule="auto"/>
        <w:rPr>
          <w:rFonts w:ascii="宋体" w:hAnsi="宋体" w:eastAsia="宋体" w:cs="宋体"/>
          <w:color w:val="auto"/>
          <w:sz w:val="21"/>
          <w:szCs w:val="21"/>
          <w:highlight w:val="none"/>
        </w:rPr>
        <w:sectPr>
          <w:footerReference r:id="rId180" w:type="default"/>
          <w:pgSz w:w="11905" w:h="16839"/>
          <w:pgMar w:top="400" w:right="1785" w:bottom="1004" w:left="1785" w:header="0" w:footer="828" w:gutter="0"/>
          <w:pgNumType w:fmt="decimal"/>
          <w:cols w:space="720" w:num="1"/>
        </w:sectPr>
      </w:pPr>
    </w:p>
    <w:p w14:paraId="2464753A">
      <w:pPr>
        <w:pStyle w:val="5"/>
        <w:spacing w:line="267" w:lineRule="auto"/>
        <w:rPr>
          <w:color w:val="auto"/>
          <w:highlight w:val="none"/>
        </w:rPr>
      </w:pPr>
    </w:p>
    <w:p w14:paraId="57D23C69">
      <w:pPr>
        <w:pStyle w:val="5"/>
        <w:spacing w:line="267" w:lineRule="auto"/>
        <w:rPr>
          <w:color w:val="auto"/>
          <w:highlight w:val="none"/>
        </w:rPr>
      </w:pPr>
    </w:p>
    <w:p w14:paraId="6F867068">
      <w:pPr>
        <w:pStyle w:val="5"/>
        <w:spacing w:line="268" w:lineRule="auto"/>
        <w:rPr>
          <w:color w:val="auto"/>
          <w:highlight w:val="none"/>
        </w:rPr>
      </w:pPr>
    </w:p>
    <w:p w14:paraId="7BA5A847">
      <w:pPr>
        <w:pStyle w:val="5"/>
        <w:spacing w:line="268" w:lineRule="auto"/>
        <w:rPr>
          <w:color w:val="auto"/>
          <w:highlight w:val="none"/>
        </w:rPr>
      </w:pPr>
    </w:p>
    <w:p w14:paraId="12DE6CB1">
      <w:pPr>
        <w:spacing w:before="78" w:line="219" w:lineRule="auto"/>
        <w:ind w:left="2547"/>
        <w:rPr>
          <w:rFonts w:ascii="黑体" w:hAnsi="黑体" w:eastAsia="黑体" w:cs="黑体"/>
          <w:color w:val="auto"/>
          <w:sz w:val="24"/>
          <w:szCs w:val="24"/>
          <w:highlight w:val="none"/>
        </w:rPr>
      </w:pPr>
      <w:bookmarkStart w:id="1771" w:name="bookmark326"/>
      <w:bookmarkEnd w:id="1771"/>
      <w:r>
        <w:rPr>
          <w:rFonts w:ascii="Times New Roman" w:hAnsi="Times New Roman" w:eastAsia="Times New Roman" w:cs="Times New Roman"/>
          <w:color w:val="auto"/>
          <w:spacing w:val="-1"/>
          <w:sz w:val="24"/>
          <w:szCs w:val="24"/>
          <w:highlight w:val="none"/>
        </w:rPr>
        <w:t xml:space="preserve">5-3 </w:t>
      </w:r>
      <w:r>
        <w:rPr>
          <w:rFonts w:ascii="黑体" w:hAnsi="黑体" w:eastAsia="黑体" w:cs="黑体"/>
          <w:color w:val="auto"/>
          <w:spacing w:val="-1"/>
          <w:sz w:val="24"/>
          <w:szCs w:val="24"/>
          <w:highlight w:val="none"/>
        </w:rPr>
        <w:t>近年投标人工程获奖情况表</w:t>
      </w:r>
    </w:p>
    <w:p w14:paraId="4505956E">
      <w:pPr>
        <w:spacing w:before="160"/>
        <w:rPr>
          <w:color w:val="auto"/>
          <w:highlight w:val="none"/>
        </w:rPr>
      </w:pPr>
    </w:p>
    <w:tbl>
      <w:tblPr>
        <w:tblStyle w:val="17"/>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13E46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58C682CE">
            <w:pPr>
              <w:pStyle w:val="18"/>
              <w:spacing w:before="159" w:line="222" w:lineRule="auto"/>
              <w:ind w:left="185"/>
              <w:rPr>
                <w:color w:val="auto"/>
                <w:highlight w:val="none"/>
              </w:rPr>
            </w:pPr>
            <w:r>
              <w:rPr>
                <w:color w:val="auto"/>
                <w:spacing w:val="-2"/>
                <w:highlight w:val="none"/>
              </w:rPr>
              <w:t>序号</w:t>
            </w:r>
          </w:p>
        </w:tc>
        <w:tc>
          <w:tcPr>
            <w:tcW w:w="2399" w:type="dxa"/>
            <w:vAlign w:val="top"/>
          </w:tcPr>
          <w:p w14:paraId="0F4E8B0D">
            <w:pPr>
              <w:pStyle w:val="18"/>
              <w:spacing w:before="159" w:line="221" w:lineRule="auto"/>
              <w:ind w:left="789"/>
              <w:rPr>
                <w:color w:val="auto"/>
                <w:highlight w:val="none"/>
              </w:rPr>
            </w:pPr>
            <w:r>
              <w:rPr>
                <w:color w:val="auto"/>
                <w:spacing w:val="-2"/>
                <w:highlight w:val="none"/>
              </w:rPr>
              <w:t>项目名称</w:t>
            </w:r>
          </w:p>
        </w:tc>
        <w:tc>
          <w:tcPr>
            <w:tcW w:w="1799" w:type="dxa"/>
            <w:vAlign w:val="top"/>
          </w:tcPr>
          <w:p w14:paraId="74318034">
            <w:pPr>
              <w:pStyle w:val="18"/>
              <w:spacing w:before="158" w:line="221" w:lineRule="auto"/>
              <w:ind w:left="488"/>
              <w:rPr>
                <w:color w:val="auto"/>
                <w:highlight w:val="none"/>
              </w:rPr>
            </w:pPr>
            <w:r>
              <w:rPr>
                <w:color w:val="auto"/>
                <w:spacing w:val="-2"/>
                <w:highlight w:val="none"/>
              </w:rPr>
              <w:t>获奖名称</w:t>
            </w:r>
          </w:p>
        </w:tc>
        <w:tc>
          <w:tcPr>
            <w:tcW w:w="1440" w:type="dxa"/>
            <w:vAlign w:val="top"/>
          </w:tcPr>
          <w:p w14:paraId="50A4FFB0">
            <w:pPr>
              <w:pStyle w:val="18"/>
              <w:spacing w:before="158" w:line="221" w:lineRule="auto"/>
              <w:ind w:left="313"/>
              <w:rPr>
                <w:color w:val="auto"/>
                <w:highlight w:val="none"/>
              </w:rPr>
            </w:pPr>
            <w:r>
              <w:rPr>
                <w:color w:val="auto"/>
                <w:spacing w:val="-2"/>
                <w:highlight w:val="none"/>
              </w:rPr>
              <w:t>获奖日期</w:t>
            </w:r>
          </w:p>
        </w:tc>
        <w:tc>
          <w:tcPr>
            <w:tcW w:w="2164" w:type="dxa"/>
            <w:vAlign w:val="top"/>
          </w:tcPr>
          <w:p w14:paraId="437E68DD">
            <w:pPr>
              <w:pStyle w:val="18"/>
              <w:spacing w:before="159" w:line="221" w:lineRule="auto"/>
              <w:ind w:left="670"/>
              <w:rPr>
                <w:color w:val="auto"/>
                <w:highlight w:val="none"/>
              </w:rPr>
            </w:pPr>
            <w:r>
              <w:rPr>
                <w:color w:val="auto"/>
                <w:spacing w:val="-1"/>
                <w:highlight w:val="none"/>
              </w:rPr>
              <w:t>颁奖单位</w:t>
            </w:r>
          </w:p>
        </w:tc>
      </w:tr>
      <w:tr w14:paraId="4A1CA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C617519">
            <w:pPr>
              <w:rPr>
                <w:rFonts w:ascii="Arial"/>
                <w:color w:val="auto"/>
                <w:sz w:val="21"/>
                <w:highlight w:val="none"/>
              </w:rPr>
            </w:pPr>
          </w:p>
        </w:tc>
        <w:tc>
          <w:tcPr>
            <w:tcW w:w="2399" w:type="dxa"/>
            <w:vAlign w:val="top"/>
          </w:tcPr>
          <w:p w14:paraId="5DD52AE2">
            <w:pPr>
              <w:rPr>
                <w:rFonts w:ascii="Arial"/>
                <w:color w:val="auto"/>
                <w:sz w:val="21"/>
                <w:highlight w:val="none"/>
              </w:rPr>
            </w:pPr>
          </w:p>
        </w:tc>
        <w:tc>
          <w:tcPr>
            <w:tcW w:w="1799" w:type="dxa"/>
            <w:vAlign w:val="top"/>
          </w:tcPr>
          <w:p w14:paraId="38A62E61">
            <w:pPr>
              <w:rPr>
                <w:rFonts w:ascii="Arial"/>
                <w:color w:val="auto"/>
                <w:sz w:val="21"/>
                <w:highlight w:val="none"/>
              </w:rPr>
            </w:pPr>
          </w:p>
        </w:tc>
        <w:tc>
          <w:tcPr>
            <w:tcW w:w="1440" w:type="dxa"/>
            <w:vAlign w:val="top"/>
          </w:tcPr>
          <w:p w14:paraId="4B32B230">
            <w:pPr>
              <w:rPr>
                <w:rFonts w:ascii="Arial"/>
                <w:color w:val="auto"/>
                <w:sz w:val="21"/>
                <w:highlight w:val="none"/>
              </w:rPr>
            </w:pPr>
          </w:p>
        </w:tc>
        <w:tc>
          <w:tcPr>
            <w:tcW w:w="2164" w:type="dxa"/>
            <w:vAlign w:val="top"/>
          </w:tcPr>
          <w:p w14:paraId="743ACE55">
            <w:pPr>
              <w:rPr>
                <w:rFonts w:ascii="Arial"/>
                <w:color w:val="auto"/>
                <w:sz w:val="21"/>
                <w:highlight w:val="none"/>
              </w:rPr>
            </w:pPr>
          </w:p>
        </w:tc>
      </w:tr>
      <w:tr w14:paraId="1D0EB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E090B4C">
            <w:pPr>
              <w:rPr>
                <w:rFonts w:ascii="Arial"/>
                <w:color w:val="auto"/>
                <w:sz w:val="21"/>
                <w:highlight w:val="none"/>
              </w:rPr>
            </w:pPr>
          </w:p>
        </w:tc>
        <w:tc>
          <w:tcPr>
            <w:tcW w:w="2399" w:type="dxa"/>
            <w:vAlign w:val="top"/>
          </w:tcPr>
          <w:p w14:paraId="017E67B4">
            <w:pPr>
              <w:rPr>
                <w:rFonts w:ascii="Arial"/>
                <w:color w:val="auto"/>
                <w:sz w:val="21"/>
                <w:highlight w:val="none"/>
              </w:rPr>
            </w:pPr>
          </w:p>
        </w:tc>
        <w:tc>
          <w:tcPr>
            <w:tcW w:w="1799" w:type="dxa"/>
            <w:vAlign w:val="top"/>
          </w:tcPr>
          <w:p w14:paraId="63AB6B6D">
            <w:pPr>
              <w:rPr>
                <w:rFonts w:ascii="Arial"/>
                <w:color w:val="auto"/>
                <w:sz w:val="21"/>
                <w:highlight w:val="none"/>
              </w:rPr>
            </w:pPr>
          </w:p>
        </w:tc>
        <w:tc>
          <w:tcPr>
            <w:tcW w:w="1440" w:type="dxa"/>
            <w:vAlign w:val="top"/>
          </w:tcPr>
          <w:p w14:paraId="22556822">
            <w:pPr>
              <w:rPr>
                <w:rFonts w:ascii="Arial"/>
                <w:color w:val="auto"/>
                <w:sz w:val="21"/>
                <w:highlight w:val="none"/>
              </w:rPr>
            </w:pPr>
          </w:p>
        </w:tc>
        <w:tc>
          <w:tcPr>
            <w:tcW w:w="2164" w:type="dxa"/>
            <w:vAlign w:val="top"/>
          </w:tcPr>
          <w:p w14:paraId="6CEDB9A5">
            <w:pPr>
              <w:rPr>
                <w:rFonts w:ascii="Arial"/>
                <w:color w:val="auto"/>
                <w:sz w:val="21"/>
                <w:highlight w:val="none"/>
              </w:rPr>
            </w:pPr>
          </w:p>
        </w:tc>
      </w:tr>
      <w:tr w14:paraId="401C1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EB17ACC">
            <w:pPr>
              <w:rPr>
                <w:rFonts w:ascii="Arial"/>
                <w:color w:val="auto"/>
                <w:sz w:val="21"/>
                <w:highlight w:val="none"/>
              </w:rPr>
            </w:pPr>
          </w:p>
        </w:tc>
        <w:tc>
          <w:tcPr>
            <w:tcW w:w="2399" w:type="dxa"/>
            <w:vAlign w:val="top"/>
          </w:tcPr>
          <w:p w14:paraId="4B2C4846">
            <w:pPr>
              <w:rPr>
                <w:rFonts w:ascii="Arial"/>
                <w:color w:val="auto"/>
                <w:sz w:val="21"/>
                <w:highlight w:val="none"/>
              </w:rPr>
            </w:pPr>
          </w:p>
        </w:tc>
        <w:tc>
          <w:tcPr>
            <w:tcW w:w="1799" w:type="dxa"/>
            <w:vAlign w:val="top"/>
          </w:tcPr>
          <w:p w14:paraId="1A1C3997">
            <w:pPr>
              <w:rPr>
                <w:rFonts w:ascii="Arial"/>
                <w:color w:val="auto"/>
                <w:sz w:val="21"/>
                <w:highlight w:val="none"/>
              </w:rPr>
            </w:pPr>
          </w:p>
        </w:tc>
        <w:tc>
          <w:tcPr>
            <w:tcW w:w="1440" w:type="dxa"/>
            <w:vAlign w:val="top"/>
          </w:tcPr>
          <w:p w14:paraId="166705D1">
            <w:pPr>
              <w:rPr>
                <w:rFonts w:ascii="Arial"/>
                <w:color w:val="auto"/>
                <w:sz w:val="21"/>
                <w:highlight w:val="none"/>
              </w:rPr>
            </w:pPr>
          </w:p>
        </w:tc>
        <w:tc>
          <w:tcPr>
            <w:tcW w:w="2164" w:type="dxa"/>
            <w:vAlign w:val="top"/>
          </w:tcPr>
          <w:p w14:paraId="5D5D3848">
            <w:pPr>
              <w:rPr>
                <w:rFonts w:ascii="Arial"/>
                <w:color w:val="auto"/>
                <w:sz w:val="21"/>
                <w:highlight w:val="none"/>
              </w:rPr>
            </w:pPr>
          </w:p>
        </w:tc>
      </w:tr>
      <w:tr w14:paraId="6BF27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97D8050">
            <w:pPr>
              <w:rPr>
                <w:rFonts w:ascii="Arial"/>
                <w:color w:val="auto"/>
                <w:sz w:val="21"/>
                <w:highlight w:val="none"/>
              </w:rPr>
            </w:pPr>
          </w:p>
        </w:tc>
        <w:tc>
          <w:tcPr>
            <w:tcW w:w="2399" w:type="dxa"/>
            <w:vAlign w:val="top"/>
          </w:tcPr>
          <w:p w14:paraId="1FB40CA0">
            <w:pPr>
              <w:rPr>
                <w:rFonts w:ascii="Arial"/>
                <w:color w:val="auto"/>
                <w:sz w:val="21"/>
                <w:highlight w:val="none"/>
              </w:rPr>
            </w:pPr>
          </w:p>
        </w:tc>
        <w:tc>
          <w:tcPr>
            <w:tcW w:w="1799" w:type="dxa"/>
            <w:vAlign w:val="top"/>
          </w:tcPr>
          <w:p w14:paraId="13B7D057">
            <w:pPr>
              <w:rPr>
                <w:rFonts w:ascii="Arial"/>
                <w:color w:val="auto"/>
                <w:sz w:val="21"/>
                <w:highlight w:val="none"/>
              </w:rPr>
            </w:pPr>
          </w:p>
        </w:tc>
        <w:tc>
          <w:tcPr>
            <w:tcW w:w="1440" w:type="dxa"/>
            <w:vAlign w:val="top"/>
          </w:tcPr>
          <w:p w14:paraId="61C9D689">
            <w:pPr>
              <w:rPr>
                <w:rFonts w:ascii="Arial"/>
                <w:color w:val="auto"/>
                <w:sz w:val="21"/>
                <w:highlight w:val="none"/>
              </w:rPr>
            </w:pPr>
          </w:p>
        </w:tc>
        <w:tc>
          <w:tcPr>
            <w:tcW w:w="2164" w:type="dxa"/>
            <w:vAlign w:val="top"/>
          </w:tcPr>
          <w:p w14:paraId="0F75A5C3">
            <w:pPr>
              <w:rPr>
                <w:rFonts w:ascii="Arial"/>
                <w:color w:val="auto"/>
                <w:sz w:val="21"/>
                <w:highlight w:val="none"/>
              </w:rPr>
            </w:pPr>
          </w:p>
        </w:tc>
      </w:tr>
      <w:tr w14:paraId="1A44A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702FB1E">
            <w:pPr>
              <w:rPr>
                <w:rFonts w:ascii="Arial"/>
                <w:color w:val="auto"/>
                <w:sz w:val="21"/>
                <w:highlight w:val="none"/>
              </w:rPr>
            </w:pPr>
          </w:p>
        </w:tc>
        <w:tc>
          <w:tcPr>
            <w:tcW w:w="2399" w:type="dxa"/>
            <w:vAlign w:val="top"/>
          </w:tcPr>
          <w:p w14:paraId="4FB2ED85">
            <w:pPr>
              <w:rPr>
                <w:rFonts w:ascii="Arial"/>
                <w:color w:val="auto"/>
                <w:sz w:val="21"/>
                <w:highlight w:val="none"/>
              </w:rPr>
            </w:pPr>
          </w:p>
        </w:tc>
        <w:tc>
          <w:tcPr>
            <w:tcW w:w="1799" w:type="dxa"/>
            <w:vAlign w:val="top"/>
          </w:tcPr>
          <w:p w14:paraId="0BB59718">
            <w:pPr>
              <w:rPr>
                <w:rFonts w:ascii="Arial"/>
                <w:color w:val="auto"/>
                <w:sz w:val="21"/>
                <w:highlight w:val="none"/>
              </w:rPr>
            </w:pPr>
          </w:p>
        </w:tc>
        <w:tc>
          <w:tcPr>
            <w:tcW w:w="1440" w:type="dxa"/>
            <w:vAlign w:val="top"/>
          </w:tcPr>
          <w:p w14:paraId="2B393642">
            <w:pPr>
              <w:rPr>
                <w:rFonts w:ascii="Arial"/>
                <w:color w:val="auto"/>
                <w:sz w:val="21"/>
                <w:highlight w:val="none"/>
              </w:rPr>
            </w:pPr>
          </w:p>
        </w:tc>
        <w:tc>
          <w:tcPr>
            <w:tcW w:w="2164" w:type="dxa"/>
            <w:vAlign w:val="top"/>
          </w:tcPr>
          <w:p w14:paraId="0A66ADBF">
            <w:pPr>
              <w:rPr>
                <w:rFonts w:ascii="Arial"/>
                <w:color w:val="auto"/>
                <w:sz w:val="21"/>
                <w:highlight w:val="none"/>
              </w:rPr>
            </w:pPr>
          </w:p>
        </w:tc>
      </w:tr>
      <w:tr w14:paraId="3D5D5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7BBC3ED">
            <w:pPr>
              <w:rPr>
                <w:rFonts w:ascii="Arial"/>
                <w:color w:val="auto"/>
                <w:sz w:val="21"/>
                <w:highlight w:val="none"/>
              </w:rPr>
            </w:pPr>
          </w:p>
        </w:tc>
        <w:tc>
          <w:tcPr>
            <w:tcW w:w="2399" w:type="dxa"/>
            <w:vAlign w:val="top"/>
          </w:tcPr>
          <w:p w14:paraId="1A21E2A5">
            <w:pPr>
              <w:rPr>
                <w:rFonts w:ascii="Arial"/>
                <w:color w:val="auto"/>
                <w:sz w:val="21"/>
                <w:highlight w:val="none"/>
              </w:rPr>
            </w:pPr>
          </w:p>
        </w:tc>
        <w:tc>
          <w:tcPr>
            <w:tcW w:w="1799" w:type="dxa"/>
            <w:vAlign w:val="top"/>
          </w:tcPr>
          <w:p w14:paraId="3E6B12D2">
            <w:pPr>
              <w:rPr>
                <w:rFonts w:ascii="Arial"/>
                <w:color w:val="auto"/>
                <w:sz w:val="21"/>
                <w:highlight w:val="none"/>
              </w:rPr>
            </w:pPr>
          </w:p>
        </w:tc>
        <w:tc>
          <w:tcPr>
            <w:tcW w:w="1440" w:type="dxa"/>
            <w:vAlign w:val="top"/>
          </w:tcPr>
          <w:p w14:paraId="736C838E">
            <w:pPr>
              <w:rPr>
                <w:rFonts w:ascii="Arial"/>
                <w:color w:val="auto"/>
                <w:sz w:val="21"/>
                <w:highlight w:val="none"/>
              </w:rPr>
            </w:pPr>
          </w:p>
        </w:tc>
        <w:tc>
          <w:tcPr>
            <w:tcW w:w="2164" w:type="dxa"/>
            <w:vAlign w:val="top"/>
          </w:tcPr>
          <w:p w14:paraId="52428247">
            <w:pPr>
              <w:rPr>
                <w:rFonts w:ascii="Arial"/>
                <w:color w:val="auto"/>
                <w:sz w:val="21"/>
                <w:highlight w:val="none"/>
              </w:rPr>
            </w:pPr>
          </w:p>
        </w:tc>
      </w:tr>
      <w:tr w14:paraId="2399C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F0E60DB">
            <w:pPr>
              <w:rPr>
                <w:rFonts w:ascii="Arial"/>
                <w:color w:val="auto"/>
                <w:sz w:val="21"/>
                <w:highlight w:val="none"/>
              </w:rPr>
            </w:pPr>
          </w:p>
        </w:tc>
        <w:tc>
          <w:tcPr>
            <w:tcW w:w="2399" w:type="dxa"/>
            <w:vAlign w:val="top"/>
          </w:tcPr>
          <w:p w14:paraId="62D30D3D">
            <w:pPr>
              <w:rPr>
                <w:rFonts w:ascii="Arial"/>
                <w:color w:val="auto"/>
                <w:sz w:val="21"/>
                <w:highlight w:val="none"/>
              </w:rPr>
            </w:pPr>
          </w:p>
        </w:tc>
        <w:tc>
          <w:tcPr>
            <w:tcW w:w="1799" w:type="dxa"/>
            <w:vAlign w:val="top"/>
          </w:tcPr>
          <w:p w14:paraId="73201DCB">
            <w:pPr>
              <w:rPr>
                <w:rFonts w:ascii="Arial"/>
                <w:color w:val="auto"/>
                <w:sz w:val="21"/>
                <w:highlight w:val="none"/>
              </w:rPr>
            </w:pPr>
          </w:p>
        </w:tc>
        <w:tc>
          <w:tcPr>
            <w:tcW w:w="1440" w:type="dxa"/>
            <w:vAlign w:val="top"/>
          </w:tcPr>
          <w:p w14:paraId="5409D799">
            <w:pPr>
              <w:rPr>
                <w:rFonts w:ascii="Arial"/>
                <w:color w:val="auto"/>
                <w:sz w:val="21"/>
                <w:highlight w:val="none"/>
              </w:rPr>
            </w:pPr>
          </w:p>
        </w:tc>
        <w:tc>
          <w:tcPr>
            <w:tcW w:w="2164" w:type="dxa"/>
            <w:vAlign w:val="top"/>
          </w:tcPr>
          <w:p w14:paraId="710365BC">
            <w:pPr>
              <w:rPr>
                <w:rFonts w:ascii="Arial"/>
                <w:color w:val="auto"/>
                <w:sz w:val="21"/>
                <w:highlight w:val="none"/>
              </w:rPr>
            </w:pPr>
          </w:p>
        </w:tc>
      </w:tr>
      <w:tr w14:paraId="6202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5146C38">
            <w:pPr>
              <w:rPr>
                <w:rFonts w:ascii="Arial"/>
                <w:color w:val="auto"/>
                <w:sz w:val="21"/>
                <w:highlight w:val="none"/>
              </w:rPr>
            </w:pPr>
          </w:p>
        </w:tc>
        <w:tc>
          <w:tcPr>
            <w:tcW w:w="2399" w:type="dxa"/>
            <w:vAlign w:val="top"/>
          </w:tcPr>
          <w:p w14:paraId="4B0C5F5E">
            <w:pPr>
              <w:rPr>
                <w:rFonts w:ascii="Arial"/>
                <w:color w:val="auto"/>
                <w:sz w:val="21"/>
                <w:highlight w:val="none"/>
              </w:rPr>
            </w:pPr>
          </w:p>
        </w:tc>
        <w:tc>
          <w:tcPr>
            <w:tcW w:w="1799" w:type="dxa"/>
            <w:vAlign w:val="top"/>
          </w:tcPr>
          <w:p w14:paraId="303B48FA">
            <w:pPr>
              <w:rPr>
                <w:rFonts w:ascii="Arial"/>
                <w:color w:val="auto"/>
                <w:sz w:val="21"/>
                <w:highlight w:val="none"/>
              </w:rPr>
            </w:pPr>
          </w:p>
        </w:tc>
        <w:tc>
          <w:tcPr>
            <w:tcW w:w="1440" w:type="dxa"/>
            <w:vAlign w:val="top"/>
          </w:tcPr>
          <w:p w14:paraId="310DED27">
            <w:pPr>
              <w:rPr>
                <w:rFonts w:ascii="Arial"/>
                <w:color w:val="auto"/>
                <w:sz w:val="21"/>
                <w:highlight w:val="none"/>
              </w:rPr>
            </w:pPr>
          </w:p>
        </w:tc>
        <w:tc>
          <w:tcPr>
            <w:tcW w:w="2164" w:type="dxa"/>
            <w:vAlign w:val="top"/>
          </w:tcPr>
          <w:p w14:paraId="53892E67">
            <w:pPr>
              <w:rPr>
                <w:rFonts w:ascii="Arial"/>
                <w:color w:val="auto"/>
                <w:sz w:val="21"/>
                <w:highlight w:val="none"/>
              </w:rPr>
            </w:pPr>
          </w:p>
        </w:tc>
      </w:tr>
      <w:tr w14:paraId="39029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F5D83C">
            <w:pPr>
              <w:rPr>
                <w:rFonts w:ascii="Arial"/>
                <w:color w:val="auto"/>
                <w:sz w:val="21"/>
                <w:highlight w:val="none"/>
              </w:rPr>
            </w:pPr>
          </w:p>
        </w:tc>
        <w:tc>
          <w:tcPr>
            <w:tcW w:w="2399" w:type="dxa"/>
            <w:vAlign w:val="top"/>
          </w:tcPr>
          <w:p w14:paraId="11760E8C">
            <w:pPr>
              <w:rPr>
                <w:rFonts w:ascii="Arial"/>
                <w:color w:val="auto"/>
                <w:sz w:val="21"/>
                <w:highlight w:val="none"/>
              </w:rPr>
            </w:pPr>
          </w:p>
        </w:tc>
        <w:tc>
          <w:tcPr>
            <w:tcW w:w="1799" w:type="dxa"/>
            <w:vAlign w:val="top"/>
          </w:tcPr>
          <w:p w14:paraId="2DE24AED">
            <w:pPr>
              <w:rPr>
                <w:rFonts w:ascii="Arial"/>
                <w:color w:val="auto"/>
                <w:sz w:val="21"/>
                <w:highlight w:val="none"/>
              </w:rPr>
            </w:pPr>
          </w:p>
        </w:tc>
        <w:tc>
          <w:tcPr>
            <w:tcW w:w="1440" w:type="dxa"/>
            <w:vAlign w:val="top"/>
          </w:tcPr>
          <w:p w14:paraId="475D14F8">
            <w:pPr>
              <w:rPr>
                <w:rFonts w:ascii="Arial"/>
                <w:color w:val="auto"/>
                <w:sz w:val="21"/>
                <w:highlight w:val="none"/>
              </w:rPr>
            </w:pPr>
          </w:p>
        </w:tc>
        <w:tc>
          <w:tcPr>
            <w:tcW w:w="2164" w:type="dxa"/>
            <w:vAlign w:val="top"/>
          </w:tcPr>
          <w:p w14:paraId="436B117F">
            <w:pPr>
              <w:rPr>
                <w:rFonts w:ascii="Arial"/>
                <w:color w:val="auto"/>
                <w:sz w:val="21"/>
                <w:highlight w:val="none"/>
              </w:rPr>
            </w:pPr>
          </w:p>
        </w:tc>
      </w:tr>
      <w:tr w14:paraId="5DD4E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39A6DFE">
            <w:pPr>
              <w:rPr>
                <w:rFonts w:ascii="Arial"/>
                <w:color w:val="auto"/>
                <w:sz w:val="21"/>
                <w:highlight w:val="none"/>
              </w:rPr>
            </w:pPr>
          </w:p>
        </w:tc>
        <w:tc>
          <w:tcPr>
            <w:tcW w:w="2399" w:type="dxa"/>
            <w:vAlign w:val="top"/>
          </w:tcPr>
          <w:p w14:paraId="66D752F4">
            <w:pPr>
              <w:rPr>
                <w:rFonts w:ascii="Arial"/>
                <w:color w:val="auto"/>
                <w:sz w:val="21"/>
                <w:highlight w:val="none"/>
              </w:rPr>
            </w:pPr>
          </w:p>
        </w:tc>
        <w:tc>
          <w:tcPr>
            <w:tcW w:w="1799" w:type="dxa"/>
            <w:vAlign w:val="top"/>
          </w:tcPr>
          <w:p w14:paraId="176F1981">
            <w:pPr>
              <w:rPr>
                <w:rFonts w:ascii="Arial"/>
                <w:color w:val="auto"/>
                <w:sz w:val="21"/>
                <w:highlight w:val="none"/>
              </w:rPr>
            </w:pPr>
          </w:p>
        </w:tc>
        <w:tc>
          <w:tcPr>
            <w:tcW w:w="1440" w:type="dxa"/>
            <w:vAlign w:val="top"/>
          </w:tcPr>
          <w:p w14:paraId="525FD74B">
            <w:pPr>
              <w:rPr>
                <w:rFonts w:ascii="Arial"/>
                <w:color w:val="auto"/>
                <w:sz w:val="21"/>
                <w:highlight w:val="none"/>
              </w:rPr>
            </w:pPr>
          </w:p>
        </w:tc>
        <w:tc>
          <w:tcPr>
            <w:tcW w:w="2164" w:type="dxa"/>
            <w:vAlign w:val="top"/>
          </w:tcPr>
          <w:p w14:paraId="798C8888">
            <w:pPr>
              <w:rPr>
                <w:rFonts w:ascii="Arial"/>
                <w:color w:val="auto"/>
                <w:sz w:val="21"/>
                <w:highlight w:val="none"/>
              </w:rPr>
            </w:pPr>
          </w:p>
        </w:tc>
      </w:tr>
      <w:tr w14:paraId="6A817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1B7BC3F">
            <w:pPr>
              <w:rPr>
                <w:rFonts w:ascii="Arial"/>
                <w:color w:val="auto"/>
                <w:sz w:val="21"/>
                <w:highlight w:val="none"/>
              </w:rPr>
            </w:pPr>
          </w:p>
        </w:tc>
        <w:tc>
          <w:tcPr>
            <w:tcW w:w="2399" w:type="dxa"/>
            <w:vAlign w:val="top"/>
          </w:tcPr>
          <w:p w14:paraId="49F0BE2F">
            <w:pPr>
              <w:rPr>
                <w:rFonts w:ascii="Arial"/>
                <w:color w:val="auto"/>
                <w:sz w:val="21"/>
                <w:highlight w:val="none"/>
              </w:rPr>
            </w:pPr>
          </w:p>
        </w:tc>
        <w:tc>
          <w:tcPr>
            <w:tcW w:w="1799" w:type="dxa"/>
            <w:vAlign w:val="top"/>
          </w:tcPr>
          <w:p w14:paraId="412B945D">
            <w:pPr>
              <w:rPr>
                <w:rFonts w:ascii="Arial"/>
                <w:color w:val="auto"/>
                <w:sz w:val="21"/>
                <w:highlight w:val="none"/>
              </w:rPr>
            </w:pPr>
          </w:p>
        </w:tc>
        <w:tc>
          <w:tcPr>
            <w:tcW w:w="1440" w:type="dxa"/>
            <w:vAlign w:val="top"/>
          </w:tcPr>
          <w:p w14:paraId="41470FD2">
            <w:pPr>
              <w:rPr>
                <w:rFonts w:ascii="Arial"/>
                <w:color w:val="auto"/>
                <w:sz w:val="21"/>
                <w:highlight w:val="none"/>
              </w:rPr>
            </w:pPr>
          </w:p>
        </w:tc>
        <w:tc>
          <w:tcPr>
            <w:tcW w:w="2164" w:type="dxa"/>
            <w:vAlign w:val="top"/>
          </w:tcPr>
          <w:p w14:paraId="73F95986">
            <w:pPr>
              <w:rPr>
                <w:rFonts w:ascii="Arial"/>
                <w:color w:val="auto"/>
                <w:sz w:val="21"/>
                <w:highlight w:val="none"/>
              </w:rPr>
            </w:pPr>
          </w:p>
        </w:tc>
      </w:tr>
      <w:tr w14:paraId="3F449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7D58C43">
            <w:pPr>
              <w:rPr>
                <w:rFonts w:ascii="Arial"/>
                <w:color w:val="auto"/>
                <w:sz w:val="21"/>
                <w:highlight w:val="none"/>
              </w:rPr>
            </w:pPr>
          </w:p>
        </w:tc>
        <w:tc>
          <w:tcPr>
            <w:tcW w:w="2399" w:type="dxa"/>
            <w:vAlign w:val="top"/>
          </w:tcPr>
          <w:p w14:paraId="54050152">
            <w:pPr>
              <w:rPr>
                <w:rFonts w:ascii="Arial"/>
                <w:color w:val="auto"/>
                <w:sz w:val="21"/>
                <w:highlight w:val="none"/>
              </w:rPr>
            </w:pPr>
          </w:p>
        </w:tc>
        <w:tc>
          <w:tcPr>
            <w:tcW w:w="1799" w:type="dxa"/>
            <w:vAlign w:val="top"/>
          </w:tcPr>
          <w:p w14:paraId="59CACDF0">
            <w:pPr>
              <w:rPr>
                <w:rFonts w:ascii="Arial"/>
                <w:color w:val="auto"/>
                <w:sz w:val="21"/>
                <w:highlight w:val="none"/>
              </w:rPr>
            </w:pPr>
          </w:p>
        </w:tc>
        <w:tc>
          <w:tcPr>
            <w:tcW w:w="1440" w:type="dxa"/>
            <w:vAlign w:val="top"/>
          </w:tcPr>
          <w:p w14:paraId="3A244EE1">
            <w:pPr>
              <w:rPr>
                <w:rFonts w:ascii="Arial"/>
                <w:color w:val="auto"/>
                <w:sz w:val="21"/>
                <w:highlight w:val="none"/>
              </w:rPr>
            </w:pPr>
          </w:p>
        </w:tc>
        <w:tc>
          <w:tcPr>
            <w:tcW w:w="2164" w:type="dxa"/>
            <w:vAlign w:val="top"/>
          </w:tcPr>
          <w:p w14:paraId="308667B8">
            <w:pPr>
              <w:rPr>
                <w:rFonts w:ascii="Arial"/>
                <w:color w:val="auto"/>
                <w:sz w:val="21"/>
                <w:highlight w:val="none"/>
              </w:rPr>
            </w:pPr>
          </w:p>
        </w:tc>
      </w:tr>
      <w:tr w14:paraId="16D74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57007218">
            <w:pPr>
              <w:rPr>
                <w:rFonts w:ascii="Arial"/>
                <w:color w:val="auto"/>
                <w:sz w:val="21"/>
                <w:highlight w:val="none"/>
              </w:rPr>
            </w:pPr>
          </w:p>
        </w:tc>
        <w:tc>
          <w:tcPr>
            <w:tcW w:w="2399" w:type="dxa"/>
            <w:vAlign w:val="top"/>
          </w:tcPr>
          <w:p w14:paraId="4BDDD0F2">
            <w:pPr>
              <w:rPr>
                <w:rFonts w:ascii="Arial"/>
                <w:color w:val="auto"/>
                <w:sz w:val="21"/>
                <w:highlight w:val="none"/>
              </w:rPr>
            </w:pPr>
          </w:p>
        </w:tc>
        <w:tc>
          <w:tcPr>
            <w:tcW w:w="1799" w:type="dxa"/>
            <w:vAlign w:val="top"/>
          </w:tcPr>
          <w:p w14:paraId="1FB538B1">
            <w:pPr>
              <w:rPr>
                <w:rFonts w:ascii="Arial"/>
                <w:color w:val="auto"/>
                <w:sz w:val="21"/>
                <w:highlight w:val="none"/>
              </w:rPr>
            </w:pPr>
          </w:p>
        </w:tc>
        <w:tc>
          <w:tcPr>
            <w:tcW w:w="1440" w:type="dxa"/>
            <w:vAlign w:val="top"/>
          </w:tcPr>
          <w:p w14:paraId="75746E13">
            <w:pPr>
              <w:rPr>
                <w:rFonts w:ascii="Arial"/>
                <w:color w:val="auto"/>
                <w:sz w:val="21"/>
                <w:highlight w:val="none"/>
              </w:rPr>
            </w:pPr>
          </w:p>
        </w:tc>
        <w:tc>
          <w:tcPr>
            <w:tcW w:w="2164" w:type="dxa"/>
            <w:vAlign w:val="top"/>
          </w:tcPr>
          <w:p w14:paraId="27D59931">
            <w:pPr>
              <w:rPr>
                <w:rFonts w:ascii="Arial"/>
                <w:color w:val="auto"/>
                <w:sz w:val="21"/>
                <w:highlight w:val="none"/>
              </w:rPr>
            </w:pPr>
          </w:p>
        </w:tc>
      </w:tr>
    </w:tbl>
    <w:p w14:paraId="724514CA">
      <w:pPr>
        <w:spacing w:before="154" w:line="399" w:lineRule="exact"/>
        <w:ind w:left="2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 xml:space="preserve">备注： </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本表后应附表彰文件、获奖证书及其他证明材料等。以表彰文件、获奖证书的颁</w:t>
      </w:r>
    </w:p>
    <w:p w14:paraId="5AA0FC8E">
      <w:pPr>
        <w:spacing w:line="221" w:lineRule="auto"/>
        <w:ind w:left="86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发时间为准。</w:t>
      </w:r>
    </w:p>
    <w:p w14:paraId="37042521">
      <w:pPr>
        <w:spacing w:before="151"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2F7635B5">
      <w:pPr>
        <w:spacing w:line="220" w:lineRule="auto"/>
        <w:rPr>
          <w:rFonts w:ascii="宋体" w:hAnsi="宋体" w:eastAsia="宋体" w:cs="宋体"/>
          <w:color w:val="auto"/>
          <w:sz w:val="21"/>
          <w:szCs w:val="21"/>
          <w:highlight w:val="none"/>
        </w:rPr>
        <w:sectPr>
          <w:footerReference r:id="rId181" w:type="default"/>
          <w:pgSz w:w="11905" w:h="16839"/>
          <w:pgMar w:top="400" w:right="1527" w:bottom="1004" w:left="1785" w:header="0" w:footer="828" w:gutter="0"/>
          <w:pgNumType w:fmt="decimal"/>
          <w:cols w:space="720" w:num="1"/>
        </w:sectPr>
      </w:pPr>
    </w:p>
    <w:p w14:paraId="4C4F90BC">
      <w:pPr>
        <w:pStyle w:val="5"/>
        <w:spacing w:line="267" w:lineRule="auto"/>
        <w:rPr>
          <w:color w:val="auto"/>
          <w:highlight w:val="none"/>
        </w:rPr>
      </w:pPr>
    </w:p>
    <w:p w14:paraId="6A49FA78">
      <w:pPr>
        <w:pStyle w:val="5"/>
        <w:spacing w:line="267" w:lineRule="auto"/>
        <w:rPr>
          <w:color w:val="auto"/>
          <w:highlight w:val="none"/>
        </w:rPr>
      </w:pPr>
    </w:p>
    <w:p w14:paraId="201582EA">
      <w:pPr>
        <w:pStyle w:val="5"/>
        <w:spacing w:line="268" w:lineRule="auto"/>
        <w:rPr>
          <w:color w:val="auto"/>
          <w:highlight w:val="none"/>
        </w:rPr>
      </w:pPr>
    </w:p>
    <w:p w14:paraId="05322A3C">
      <w:pPr>
        <w:pStyle w:val="5"/>
        <w:spacing w:line="268" w:lineRule="auto"/>
        <w:rPr>
          <w:color w:val="auto"/>
          <w:highlight w:val="none"/>
        </w:rPr>
      </w:pPr>
    </w:p>
    <w:p w14:paraId="3950CA49">
      <w:pPr>
        <w:spacing w:before="78" w:line="219" w:lineRule="auto"/>
        <w:ind w:left="2427"/>
        <w:rPr>
          <w:rFonts w:ascii="黑体" w:hAnsi="黑体" w:eastAsia="黑体" w:cs="黑体"/>
          <w:color w:val="auto"/>
          <w:sz w:val="24"/>
          <w:szCs w:val="24"/>
          <w:highlight w:val="none"/>
        </w:rPr>
      </w:pPr>
      <w:bookmarkStart w:id="1772" w:name="bookmark327"/>
      <w:bookmarkEnd w:id="1772"/>
      <w:r>
        <w:rPr>
          <w:rFonts w:ascii="Times New Roman" w:hAnsi="Times New Roman" w:eastAsia="Times New Roman" w:cs="Times New Roman"/>
          <w:color w:val="auto"/>
          <w:spacing w:val="-1"/>
          <w:sz w:val="24"/>
          <w:szCs w:val="24"/>
          <w:highlight w:val="none"/>
        </w:rPr>
        <w:t xml:space="preserve">5-4 </w:t>
      </w:r>
      <w:r>
        <w:rPr>
          <w:rFonts w:ascii="黑体" w:hAnsi="黑体" w:eastAsia="黑体" w:cs="黑体"/>
          <w:color w:val="auto"/>
          <w:spacing w:val="-1"/>
          <w:sz w:val="24"/>
          <w:szCs w:val="24"/>
          <w:highlight w:val="none"/>
        </w:rPr>
        <w:t>近年项目经理工程获奖情况表</w:t>
      </w:r>
    </w:p>
    <w:p w14:paraId="7BAAF834">
      <w:pPr>
        <w:spacing w:before="160"/>
        <w:rPr>
          <w:color w:val="auto"/>
          <w:highlight w:val="none"/>
        </w:rPr>
      </w:pPr>
    </w:p>
    <w:tbl>
      <w:tblPr>
        <w:tblStyle w:val="17"/>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61681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599211D4">
            <w:pPr>
              <w:pStyle w:val="18"/>
              <w:spacing w:before="159" w:line="222" w:lineRule="auto"/>
              <w:ind w:left="185"/>
              <w:rPr>
                <w:color w:val="auto"/>
                <w:highlight w:val="none"/>
              </w:rPr>
            </w:pPr>
            <w:r>
              <w:rPr>
                <w:color w:val="auto"/>
                <w:spacing w:val="-2"/>
                <w:highlight w:val="none"/>
              </w:rPr>
              <w:t>序号</w:t>
            </w:r>
          </w:p>
        </w:tc>
        <w:tc>
          <w:tcPr>
            <w:tcW w:w="2399" w:type="dxa"/>
            <w:vAlign w:val="top"/>
          </w:tcPr>
          <w:p w14:paraId="4F4056B5">
            <w:pPr>
              <w:pStyle w:val="18"/>
              <w:spacing w:before="159" w:line="221" w:lineRule="auto"/>
              <w:ind w:left="789"/>
              <w:rPr>
                <w:color w:val="auto"/>
                <w:highlight w:val="none"/>
              </w:rPr>
            </w:pPr>
            <w:r>
              <w:rPr>
                <w:color w:val="auto"/>
                <w:spacing w:val="-2"/>
                <w:highlight w:val="none"/>
              </w:rPr>
              <w:t>项目名称</w:t>
            </w:r>
          </w:p>
        </w:tc>
        <w:tc>
          <w:tcPr>
            <w:tcW w:w="1799" w:type="dxa"/>
            <w:vAlign w:val="top"/>
          </w:tcPr>
          <w:p w14:paraId="24359E91">
            <w:pPr>
              <w:pStyle w:val="18"/>
              <w:spacing w:before="158" w:line="221" w:lineRule="auto"/>
              <w:ind w:left="488"/>
              <w:rPr>
                <w:color w:val="auto"/>
                <w:highlight w:val="none"/>
              </w:rPr>
            </w:pPr>
            <w:r>
              <w:rPr>
                <w:color w:val="auto"/>
                <w:spacing w:val="-2"/>
                <w:highlight w:val="none"/>
              </w:rPr>
              <w:t>获奖名称</w:t>
            </w:r>
          </w:p>
        </w:tc>
        <w:tc>
          <w:tcPr>
            <w:tcW w:w="1440" w:type="dxa"/>
            <w:vAlign w:val="top"/>
          </w:tcPr>
          <w:p w14:paraId="576F51F4">
            <w:pPr>
              <w:pStyle w:val="18"/>
              <w:spacing w:before="158" w:line="221" w:lineRule="auto"/>
              <w:ind w:left="313"/>
              <w:rPr>
                <w:color w:val="auto"/>
                <w:highlight w:val="none"/>
              </w:rPr>
            </w:pPr>
            <w:r>
              <w:rPr>
                <w:color w:val="auto"/>
                <w:spacing w:val="-2"/>
                <w:highlight w:val="none"/>
              </w:rPr>
              <w:t>获奖日期</w:t>
            </w:r>
          </w:p>
        </w:tc>
        <w:tc>
          <w:tcPr>
            <w:tcW w:w="2164" w:type="dxa"/>
            <w:vAlign w:val="top"/>
          </w:tcPr>
          <w:p w14:paraId="679E1517">
            <w:pPr>
              <w:pStyle w:val="18"/>
              <w:spacing w:before="159" w:line="221" w:lineRule="auto"/>
              <w:ind w:left="670"/>
              <w:rPr>
                <w:color w:val="auto"/>
                <w:highlight w:val="none"/>
              </w:rPr>
            </w:pPr>
            <w:r>
              <w:rPr>
                <w:color w:val="auto"/>
                <w:spacing w:val="-1"/>
                <w:highlight w:val="none"/>
              </w:rPr>
              <w:t>颁奖单位</w:t>
            </w:r>
          </w:p>
        </w:tc>
      </w:tr>
      <w:tr w14:paraId="33456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37F574E">
            <w:pPr>
              <w:rPr>
                <w:rFonts w:ascii="Arial"/>
                <w:color w:val="auto"/>
                <w:sz w:val="21"/>
                <w:highlight w:val="none"/>
              </w:rPr>
            </w:pPr>
          </w:p>
        </w:tc>
        <w:tc>
          <w:tcPr>
            <w:tcW w:w="2399" w:type="dxa"/>
            <w:vAlign w:val="top"/>
          </w:tcPr>
          <w:p w14:paraId="779542F4">
            <w:pPr>
              <w:rPr>
                <w:rFonts w:ascii="Arial"/>
                <w:color w:val="auto"/>
                <w:sz w:val="21"/>
                <w:highlight w:val="none"/>
              </w:rPr>
            </w:pPr>
          </w:p>
        </w:tc>
        <w:tc>
          <w:tcPr>
            <w:tcW w:w="1799" w:type="dxa"/>
            <w:vAlign w:val="top"/>
          </w:tcPr>
          <w:p w14:paraId="04D17F71">
            <w:pPr>
              <w:rPr>
                <w:rFonts w:ascii="Arial"/>
                <w:color w:val="auto"/>
                <w:sz w:val="21"/>
                <w:highlight w:val="none"/>
              </w:rPr>
            </w:pPr>
          </w:p>
        </w:tc>
        <w:tc>
          <w:tcPr>
            <w:tcW w:w="1440" w:type="dxa"/>
            <w:vAlign w:val="top"/>
          </w:tcPr>
          <w:p w14:paraId="1E17B789">
            <w:pPr>
              <w:rPr>
                <w:rFonts w:ascii="Arial"/>
                <w:color w:val="auto"/>
                <w:sz w:val="21"/>
                <w:highlight w:val="none"/>
              </w:rPr>
            </w:pPr>
          </w:p>
        </w:tc>
        <w:tc>
          <w:tcPr>
            <w:tcW w:w="2164" w:type="dxa"/>
            <w:vAlign w:val="top"/>
          </w:tcPr>
          <w:p w14:paraId="1AA91C64">
            <w:pPr>
              <w:rPr>
                <w:rFonts w:ascii="Arial"/>
                <w:color w:val="auto"/>
                <w:sz w:val="21"/>
                <w:highlight w:val="none"/>
              </w:rPr>
            </w:pPr>
          </w:p>
        </w:tc>
      </w:tr>
      <w:tr w14:paraId="301FC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105BF0C">
            <w:pPr>
              <w:rPr>
                <w:rFonts w:ascii="Arial"/>
                <w:color w:val="auto"/>
                <w:sz w:val="21"/>
                <w:highlight w:val="none"/>
              </w:rPr>
            </w:pPr>
          </w:p>
        </w:tc>
        <w:tc>
          <w:tcPr>
            <w:tcW w:w="2399" w:type="dxa"/>
            <w:vAlign w:val="top"/>
          </w:tcPr>
          <w:p w14:paraId="50AC1382">
            <w:pPr>
              <w:rPr>
                <w:rFonts w:ascii="Arial"/>
                <w:color w:val="auto"/>
                <w:sz w:val="21"/>
                <w:highlight w:val="none"/>
              </w:rPr>
            </w:pPr>
          </w:p>
        </w:tc>
        <w:tc>
          <w:tcPr>
            <w:tcW w:w="1799" w:type="dxa"/>
            <w:vAlign w:val="top"/>
          </w:tcPr>
          <w:p w14:paraId="462B87E6">
            <w:pPr>
              <w:rPr>
                <w:rFonts w:ascii="Arial"/>
                <w:color w:val="auto"/>
                <w:sz w:val="21"/>
                <w:highlight w:val="none"/>
              </w:rPr>
            </w:pPr>
          </w:p>
        </w:tc>
        <w:tc>
          <w:tcPr>
            <w:tcW w:w="1440" w:type="dxa"/>
            <w:vAlign w:val="top"/>
          </w:tcPr>
          <w:p w14:paraId="75EC8758">
            <w:pPr>
              <w:rPr>
                <w:rFonts w:ascii="Arial"/>
                <w:color w:val="auto"/>
                <w:sz w:val="21"/>
                <w:highlight w:val="none"/>
              </w:rPr>
            </w:pPr>
          </w:p>
        </w:tc>
        <w:tc>
          <w:tcPr>
            <w:tcW w:w="2164" w:type="dxa"/>
            <w:vAlign w:val="top"/>
          </w:tcPr>
          <w:p w14:paraId="571023BB">
            <w:pPr>
              <w:rPr>
                <w:rFonts w:ascii="Arial"/>
                <w:color w:val="auto"/>
                <w:sz w:val="21"/>
                <w:highlight w:val="none"/>
              </w:rPr>
            </w:pPr>
          </w:p>
        </w:tc>
      </w:tr>
      <w:tr w14:paraId="2CFEB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536D56A">
            <w:pPr>
              <w:rPr>
                <w:rFonts w:ascii="Arial"/>
                <w:color w:val="auto"/>
                <w:sz w:val="21"/>
                <w:highlight w:val="none"/>
              </w:rPr>
            </w:pPr>
          </w:p>
        </w:tc>
        <w:tc>
          <w:tcPr>
            <w:tcW w:w="2399" w:type="dxa"/>
            <w:vAlign w:val="top"/>
          </w:tcPr>
          <w:p w14:paraId="78478F5B">
            <w:pPr>
              <w:rPr>
                <w:rFonts w:ascii="Arial"/>
                <w:color w:val="auto"/>
                <w:sz w:val="21"/>
                <w:highlight w:val="none"/>
              </w:rPr>
            </w:pPr>
          </w:p>
        </w:tc>
        <w:tc>
          <w:tcPr>
            <w:tcW w:w="1799" w:type="dxa"/>
            <w:vAlign w:val="top"/>
          </w:tcPr>
          <w:p w14:paraId="0FFCFF68">
            <w:pPr>
              <w:rPr>
                <w:rFonts w:ascii="Arial"/>
                <w:color w:val="auto"/>
                <w:sz w:val="21"/>
                <w:highlight w:val="none"/>
              </w:rPr>
            </w:pPr>
          </w:p>
        </w:tc>
        <w:tc>
          <w:tcPr>
            <w:tcW w:w="1440" w:type="dxa"/>
            <w:vAlign w:val="top"/>
          </w:tcPr>
          <w:p w14:paraId="641B080F">
            <w:pPr>
              <w:rPr>
                <w:rFonts w:ascii="Arial"/>
                <w:color w:val="auto"/>
                <w:sz w:val="21"/>
                <w:highlight w:val="none"/>
              </w:rPr>
            </w:pPr>
          </w:p>
        </w:tc>
        <w:tc>
          <w:tcPr>
            <w:tcW w:w="2164" w:type="dxa"/>
            <w:vAlign w:val="top"/>
          </w:tcPr>
          <w:p w14:paraId="721CC837">
            <w:pPr>
              <w:rPr>
                <w:rFonts w:ascii="Arial"/>
                <w:color w:val="auto"/>
                <w:sz w:val="21"/>
                <w:highlight w:val="none"/>
              </w:rPr>
            </w:pPr>
          </w:p>
        </w:tc>
      </w:tr>
      <w:tr w14:paraId="6FCFA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9DADC01">
            <w:pPr>
              <w:rPr>
                <w:rFonts w:ascii="Arial"/>
                <w:color w:val="auto"/>
                <w:sz w:val="21"/>
                <w:highlight w:val="none"/>
              </w:rPr>
            </w:pPr>
          </w:p>
        </w:tc>
        <w:tc>
          <w:tcPr>
            <w:tcW w:w="2399" w:type="dxa"/>
            <w:vAlign w:val="top"/>
          </w:tcPr>
          <w:p w14:paraId="252F44FA">
            <w:pPr>
              <w:rPr>
                <w:rFonts w:ascii="Arial"/>
                <w:color w:val="auto"/>
                <w:sz w:val="21"/>
                <w:highlight w:val="none"/>
              </w:rPr>
            </w:pPr>
          </w:p>
        </w:tc>
        <w:tc>
          <w:tcPr>
            <w:tcW w:w="1799" w:type="dxa"/>
            <w:vAlign w:val="top"/>
          </w:tcPr>
          <w:p w14:paraId="10401AAF">
            <w:pPr>
              <w:rPr>
                <w:rFonts w:ascii="Arial"/>
                <w:color w:val="auto"/>
                <w:sz w:val="21"/>
                <w:highlight w:val="none"/>
              </w:rPr>
            </w:pPr>
          </w:p>
        </w:tc>
        <w:tc>
          <w:tcPr>
            <w:tcW w:w="1440" w:type="dxa"/>
            <w:vAlign w:val="top"/>
          </w:tcPr>
          <w:p w14:paraId="74285F2D">
            <w:pPr>
              <w:rPr>
                <w:rFonts w:ascii="Arial"/>
                <w:color w:val="auto"/>
                <w:sz w:val="21"/>
                <w:highlight w:val="none"/>
              </w:rPr>
            </w:pPr>
          </w:p>
        </w:tc>
        <w:tc>
          <w:tcPr>
            <w:tcW w:w="2164" w:type="dxa"/>
            <w:vAlign w:val="top"/>
          </w:tcPr>
          <w:p w14:paraId="38A5BF17">
            <w:pPr>
              <w:rPr>
                <w:rFonts w:ascii="Arial"/>
                <w:color w:val="auto"/>
                <w:sz w:val="21"/>
                <w:highlight w:val="none"/>
              </w:rPr>
            </w:pPr>
          </w:p>
        </w:tc>
      </w:tr>
      <w:tr w14:paraId="514BA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38EFAB7C">
            <w:pPr>
              <w:rPr>
                <w:rFonts w:ascii="Arial"/>
                <w:color w:val="auto"/>
                <w:sz w:val="21"/>
                <w:highlight w:val="none"/>
              </w:rPr>
            </w:pPr>
          </w:p>
        </w:tc>
        <w:tc>
          <w:tcPr>
            <w:tcW w:w="2399" w:type="dxa"/>
            <w:vAlign w:val="top"/>
          </w:tcPr>
          <w:p w14:paraId="246CCC54">
            <w:pPr>
              <w:rPr>
                <w:rFonts w:ascii="Arial"/>
                <w:color w:val="auto"/>
                <w:sz w:val="21"/>
                <w:highlight w:val="none"/>
              </w:rPr>
            </w:pPr>
          </w:p>
        </w:tc>
        <w:tc>
          <w:tcPr>
            <w:tcW w:w="1799" w:type="dxa"/>
            <w:vAlign w:val="top"/>
          </w:tcPr>
          <w:p w14:paraId="4855C2BC">
            <w:pPr>
              <w:rPr>
                <w:rFonts w:ascii="Arial"/>
                <w:color w:val="auto"/>
                <w:sz w:val="21"/>
                <w:highlight w:val="none"/>
              </w:rPr>
            </w:pPr>
          </w:p>
        </w:tc>
        <w:tc>
          <w:tcPr>
            <w:tcW w:w="1440" w:type="dxa"/>
            <w:vAlign w:val="top"/>
          </w:tcPr>
          <w:p w14:paraId="27BC4434">
            <w:pPr>
              <w:rPr>
                <w:rFonts w:ascii="Arial"/>
                <w:color w:val="auto"/>
                <w:sz w:val="21"/>
                <w:highlight w:val="none"/>
              </w:rPr>
            </w:pPr>
          </w:p>
        </w:tc>
        <w:tc>
          <w:tcPr>
            <w:tcW w:w="2164" w:type="dxa"/>
            <w:vAlign w:val="top"/>
          </w:tcPr>
          <w:p w14:paraId="4A372B75">
            <w:pPr>
              <w:rPr>
                <w:rFonts w:ascii="Arial"/>
                <w:color w:val="auto"/>
                <w:sz w:val="21"/>
                <w:highlight w:val="none"/>
              </w:rPr>
            </w:pPr>
          </w:p>
        </w:tc>
      </w:tr>
      <w:tr w14:paraId="6A989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753EA7A2">
            <w:pPr>
              <w:rPr>
                <w:rFonts w:ascii="Arial"/>
                <w:color w:val="auto"/>
                <w:sz w:val="21"/>
                <w:highlight w:val="none"/>
              </w:rPr>
            </w:pPr>
          </w:p>
        </w:tc>
        <w:tc>
          <w:tcPr>
            <w:tcW w:w="2399" w:type="dxa"/>
            <w:vAlign w:val="top"/>
          </w:tcPr>
          <w:p w14:paraId="63B1E48A">
            <w:pPr>
              <w:rPr>
                <w:rFonts w:ascii="Arial"/>
                <w:color w:val="auto"/>
                <w:sz w:val="21"/>
                <w:highlight w:val="none"/>
              </w:rPr>
            </w:pPr>
          </w:p>
        </w:tc>
        <w:tc>
          <w:tcPr>
            <w:tcW w:w="1799" w:type="dxa"/>
            <w:vAlign w:val="top"/>
          </w:tcPr>
          <w:p w14:paraId="2446D8DD">
            <w:pPr>
              <w:rPr>
                <w:rFonts w:ascii="Arial"/>
                <w:color w:val="auto"/>
                <w:sz w:val="21"/>
                <w:highlight w:val="none"/>
              </w:rPr>
            </w:pPr>
          </w:p>
        </w:tc>
        <w:tc>
          <w:tcPr>
            <w:tcW w:w="1440" w:type="dxa"/>
            <w:vAlign w:val="top"/>
          </w:tcPr>
          <w:p w14:paraId="3D07BD07">
            <w:pPr>
              <w:rPr>
                <w:rFonts w:ascii="Arial"/>
                <w:color w:val="auto"/>
                <w:sz w:val="21"/>
                <w:highlight w:val="none"/>
              </w:rPr>
            </w:pPr>
          </w:p>
        </w:tc>
        <w:tc>
          <w:tcPr>
            <w:tcW w:w="2164" w:type="dxa"/>
            <w:vAlign w:val="top"/>
          </w:tcPr>
          <w:p w14:paraId="6FD6B818">
            <w:pPr>
              <w:rPr>
                <w:rFonts w:ascii="Arial"/>
                <w:color w:val="auto"/>
                <w:sz w:val="21"/>
                <w:highlight w:val="none"/>
              </w:rPr>
            </w:pPr>
          </w:p>
        </w:tc>
      </w:tr>
      <w:tr w14:paraId="1818C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F52C54E">
            <w:pPr>
              <w:rPr>
                <w:rFonts w:ascii="Arial"/>
                <w:color w:val="auto"/>
                <w:sz w:val="21"/>
                <w:highlight w:val="none"/>
              </w:rPr>
            </w:pPr>
          </w:p>
        </w:tc>
        <w:tc>
          <w:tcPr>
            <w:tcW w:w="2399" w:type="dxa"/>
            <w:vAlign w:val="top"/>
          </w:tcPr>
          <w:p w14:paraId="02209D44">
            <w:pPr>
              <w:rPr>
                <w:rFonts w:ascii="Arial"/>
                <w:color w:val="auto"/>
                <w:sz w:val="21"/>
                <w:highlight w:val="none"/>
              </w:rPr>
            </w:pPr>
          </w:p>
        </w:tc>
        <w:tc>
          <w:tcPr>
            <w:tcW w:w="1799" w:type="dxa"/>
            <w:vAlign w:val="top"/>
          </w:tcPr>
          <w:p w14:paraId="374D1A2E">
            <w:pPr>
              <w:rPr>
                <w:rFonts w:ascii="Arial"/>
                <w:color w:val="auto"/>
                <w:sz w:val="21"/>
                <w:highlight w:val="none"/>
              </w:rPr>
            </w:pPr>
          </w:p>
        </w:tc>
        <w:tc>
          <w:tcPr>
            <w:tcW w:w="1440" w:type="dxa"/>
            <w:vAlign w:val="top"/>
          </w:tcPr>
          <w:p w14:paraId="79A9DF3B">
            <w:pPr>
              <w:rPr>
                <w:rFonts w:ascii="Arial"/>
                <w:color w:val="auto"/>
                <w:sz w:val="21"/>
                <w:highlight w:val="none"/>
              </w:rPr>
            </w:pPr>
          </w:p>
        </w:tc>
        <w:tc>
          <w:tcPr>
            <w:tcW w:w="2164" w:type="dxa"/>
            <w:vAlign w:val="top"/>
          </w:tcPr>
          <w:p w14:paraId="6151647F">
            <w:pPr>
              <w:rPr>
                <w:rFonts w:ascii="Arial"/>
                <w:color w:val="auto"/>
                <w:sz w:val="21"/>
                <w:highlight w:val="none"/>
              </w:rPr>
            </w:pPr>
          </w:p>
        </w:tc>
      </w:tr>
      <w:tr w14:paraId="05B09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CF730F7">
            <w:pPr>
              <w:rPr>
                <w:rFonts w:ascii="Arial"/>
                <w:color w:val="auto"/>
                <w:sz w:val="21"/>
                <w:highlight w:val="none"/>
              </w:rPr>
            </w:pPr>
          </w:p>
        </w:tc>
        <w:tc>
          <w:tcPr>
            <w:tcW w:w="2399" w:type="dxa"/>
            <w:vAlign w:val="top"/>
          </w:tcPr>
          <w:p w14:paraId="55AB0B46">
            <w:pPr>
              <w:rPr>
                <w:rFonts w:ascii="Arial"/>
                <w:color w:val="auto"/>
                <w:sz w:val="21"/>
                <w:highlight w:val="none"/>
              </w:rPr>
            </w:pPr>
          </w:p>
        </w:tc>
        <w:tc>
          <w:tcPr>
            <w:tcW w:w="1799" w:type="dxa"/>
            <w:vAlign w:val="top"/>
          </w:tcPr>
          <w:p w14:paraId="419C601F">
            <w:pPr>
              <w:rPr>
                <w:rFonts w:ascii="Arial"/>
                <w:color w:val="auto"/>
                <w:sz w:val="21"/>
                <w:highlight w:val="none"/>
              </w:rPr>
            </w:pPr>
          </w:p>
        </w:tc>
        <w:tc>
          <w:tcPr>
            <w:tcW w:w="1440" w:type="dxa"/>
            <w:vAlign w:val="top"/>
          </w:tcPr>
          <w:p w14:paraId="57146BDE">
            <w:pPr>
              <w:rPr>
                <w:rFonts w:ascii="Arial"/>
                <w:color w:val="auto"/>
                <w:sz w:val="21"/>
                <w:highlight w:val="none"/>
              </w:rPr>
            </w:pPr>
          </w:p>
        </w:tc>
        <w:tc>
          <w:tcPr>
            <w:tcW w:w="2164" w:type="dxa"/>
            <w:vAlign w:val="top"/>
          </w:tcPr>
          <w:p w14:paraId="0AADCD9B">
            <w:pPr>
              <w:rPr>
                <w:rFonts w:ascii="Arial"/>
                <w:color w:val="auto"/>
                <w:sz w:val="21"/>
                <w:highlight w:val="none"/>
              </w:rPr>
            </w:pPr>
          </w:p>
        </w:tc>
      </w:tr>
      <w:tr w14:paraId="1D6F5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9466375">
            <w:pPr>
              <w:rPr>
                <w:rFonts w:ascii="Arial"/>
                <w:color w:val="auto"/>
                <w:sz w:val="21"/>
                <w:highlight w:val="none"/>
              </w:rPr>
            </w:pPr>
          </w:p>
        </w:tc>
        <w:tc>
          <w:tcPr>
            <w:tcW w:w="2399" w:type="dxa"/>
            <w:vAlign w:val="top"/>
          </w:tcPr>
          <w:p w14:paraId="3329FC4E">
            <w:pPr>
              <w:rPr>
                <w:rFonts w:ascii="Arial"/>
                <w:color w:val="auto"/>
                <w:sz w:val="21"/>
                <w:highlight w:val="none"/>
              </w:rPr>
            </w:pPr>
          </w:p>
        </w:tc>
        <w:tc>
          <w:tcPr>
            <w:tcW w:w="1799" w:type="dxa"/>
            <w:vAlign w:val="top"/>
          </w:tcPr>
          <w:p w14:paraId="793EA609">
            <w:pPr>
              <w:rPr>
                <w:rFonts w:ascii="Arial"/>
                <w:color w:val="auto"/>
                <w:sz w:val="21"/>
                <w:highlight w:val="none"/>
              </w:rPr>
            </w:pPr>
          </w:p>
        </w:tc>
        <w:tc>
          <w:tcPr>
            <w:tcW w:w="1440" w:type="dxa"/>
            <w:vAlign w:val="top"/>
          </w:tcPr>
          <w:p w14:paraId="4A3F22B3">
            <w:pPr>
              <w:rPr>
                <w:rFonts w:ascii="Arial"/>
                <w:color w:val="auto"/>
                <w:sz w:val="21"/>
                <w:highlight w:val="none"/>
              </w:rPr>
            </w:pPr>
          </w:p>
        </w:tc>
        <w:tc>
          <w:tcPr>
            <w:tcW w:w="2164" w:type="dxa"/>
            <w:vAlign w:val="top"/>
          </w:tcPr>
          <w:p w14:paraId="1B4D49CE">
            <w:pPr>
              <w:rPr>
                <w:rFonts w:ascii="Arial"/>
                <w:color w:val="auto"/>
                <w:sz w:val="21"/>
                <w:highlight w:val="none"/>
              </w:rPr>
            </w:pPr>
          </w:p>
        </w:tc>
      </w:tr>
      <w:tr w14:paraId="4C39B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684DD08">
            <w:pPr>
              <w:rPr>
                <w:rFonts w:ascii="Arial"/>
                <w:color w:val="auto"/>
                <w:sz w:val="21"/>
                <w:highlight w:val="none"/>
              </w:rPr>
            </w:pPr>
          </w:p>
        </w:tc>
        <w:tc>
          <w:tcPr>
            <w:tcW w:w="2399" w:type="dxa"/>
            <w:vAlign w:val="top"/>
          </w:tcPr>
          <w:p w14:paraId="039FC921">
            <w:pPr>
              <w:rPr>
                <w:rFonts w:ascii="Arial"/>
                <w:color w:val="auto"/>
                <w:sz w:val="21"/>
                <w:highlight w:val="none"/>
              </w:rPr>
            </w:pPr>
          </w:p>
        </w:tc>
        <w:tc>
          <w:tcPr>
            <w:tcW w:w="1799" w:type="dxa"/>
            <w:vAlign w:val="top"/>
          </w:tcPr>
          <w:p w14:paraId="36CDACA5">
            <w:pPr>
              <w:rPr>
                <w:rFonts w:ascii="Arial"/>
                <w:color w:val="auto"/>
                <w:sz w:val="21"/>
                <w:highlight w:val="none"/>
              </w:rPr>
            </w:pPr>
          </w:p>
        </w:tc>
        <w:tc>
          <w:tcPr>
            <w:tcW w:w="1440" w:type="dxa"/>
            <w:vAlign w:val="top"/>
          </w:tcPr>
          <w:p w14:paraId="236A3426">
            <w:pPr>
              <w:rPr>
                <w:rFonts w:ascii="Arial"/>
                <w:color w:val="auto"/>
                <w:sz w:val="21"/>
                <w:highlight w:val="none"/>
              </w:rPr>
            </w:pPr>
          </w:p>
        </w:tc>
        <w:tc>
          <w:tcPr>
            <w:tcW w:w="2164" w:type="dxa"/>
            <w:vAlign w:val="top"/>
          </w:tcPr>
          <w:p w14:paraId="06D309C2">
            <w:pPr>
              <w:rPr>
                <w:rFonts w:ascii="Arial"/>
                <w:color w:val="auto"/>
                <w:sz w:val="21"/>
                <w:highlight w:val="none"/>
              </w:rPr>
            </w:pPr>
          </w:p>
        </w:tc>
      </w:tr>
      <w:tr w14:paraId="3BD92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CAAC306">
            <w:pPr>
              <w:rPr>
                <w:rFonts w:ascii="Arial"/>
                <w:color w:val="auto"/>
                <w:sz w:val="21"/>
                <w:highlight w:val="none"/>
              </w:rPr>
            </w:pPr>
          </w:p>
        </w:tc>
        <w:tc>
          <w:tcPr>
            <w:tcW w:w="2399" w:type="dxa"/>
            <w:vAlign w:val="top"/>
          </w:tcPr>
          <w:p w14:paraId="54F22237">
            <w:pPr>
              <w:rPr>
                <w:rFonts w:ascii="Arial"/>
                <w:color w:val="auto"/>
                <w:sz w:val="21"/>
                <w:highlight w:val="none"/>
              </w:rPr>
            </w:pPr>
          </w:p>
        </w:tc>
        <w:tc>
          <w:tcPr>
            <w:tcW w:w="1799" w:type="dxa"/>
            <w:vAlign w:val="top"/>
          </w:tcPr>
          <w:p w14:paraId="2E9B0C33">
            <w:pPr>
              <w:rPr>
                <w:rFonts w:ascii="Arial"/>
                <w:color w:val="auto"/>
                <w:sz w:val="21"/>
                <w:highlight w:val="none"/>
              </w:rPr>
            </w:pPr>
          </w:p>
        </w:tc>
        <w:tc>
          <w:tcPr>
            <w:tcW w:w="1440" w:type="dxa"/>
            <w:vAlign w:val="top"/>
          </w:tcPr>
          <w:p w14:paraId="6D1B19A6">
            <w:pPr>
              <w:rPr>
                <w:rFonts w:ascii="Arial"/>
                <w:color w:val="auto"/>
                <w:sz w:val="21"/>
                <w:highlight w:val="none"/>
              </w:rPr>
            </w:pPr>
          </w:p>
        </w:tc>
        <w:tc>
          <w:tcPr>
            <w:tcW w:w="2164" w:type="dxa"/>
            <w:vAlign w:val="top"/>
          </w:tcPr>
          <w:p w14:paraId="1A9D112F">
            <w:pPr>
              <w:rPr>
                <w:rFonts w:ascii="Arial"/>
                <w:color w:val="auto"/>
                <w:sz w:val="21"/>
                <w:highlight w:val="none"/>
              </w:rPr>
            </w:pPr>
          </w:p>
        </w:tc>
      </w:tr>
      <w:tr w14:paraId="12A7E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FBB6971">
            <w:pPr>
              <w:rPr>
                <w:rFonts w:ascii="Arial"/>
                <w:color w:val="auto"/>
                <w:sz w:val="21"/>
                <w:highlight w:val="none"/>
              </w:rPr>
            </w:pPr>
          </w:p>
        </w:tc>
        <w:tc>
          <w:tcPr>
            <w:tcW w:w="2399" w:type="dxa"/>
            <w:vAlign w:val="top"/>
          </w:tcPr>
          <w:p w14:paraId="75098A2E">
            <w:pPr>
              <w:rPr>
                <w:rFonts w:ascii="Arial"/>
                <w:color w:val="auto"/>
                <w:sz w:val="21"/>
                <w:highlight w:val="none"/>
              </w:rPr>
            </w:pPr>
          </w:p>
        </w:tc>
        <w:tc>
          <w:tcPr>
            <w:tcW w:w="1799" w:type="dxa"/>
            <w:vAlign w:val="top"/>
          </w:tcPr>
          <w:p w14:paraId="46045662">
            <w:pPr>
              <w:rPr>
                <w:rFonts w:ascii="Arial"/>
                <w:color w:val="auto"/>
                <w:sz w:val="21"/>
                <w:highlight w:val="none"/>
              </w:rPr>
            </w:pPr>
          </w:p>
        </w:tc>
        <w:tc>
          <w:tcPr>
            <w:tcW w:w="1440" w:type="dxa"/>
            <w:vAlign w:val="top"/>
          </w:tcPr>
          <w:p w14:paraId="4910AAB9">
            <w:pPr>
              <w:rPr>
                <w:rFonts w:ascii="Arial"/>
                <w:color w:val="auto"/>
                <w:sz w:val="21"/>
                <w:highlight w:val="none"/>
              </w:rPr>
            </w:pPr>
          </w:p>
        </w:tc>
        <w:tc>
          <w:tcPr>
            <w:tcW w:w="2164" w:type="dxa"/>
            <w:vAlign w:val="top"/>
          </w:tcPr>
          <w:p w14:paraId="249D6F68">
            <w:pPr>
              <w:rPr>
                <w:rFonts w:ascii="Arial"/>
                <w:color w:val="auto"/>
                <w:sz w:val="21"/>
                <w:highlight w:val="none"/>
              </w:rPr>
            </w:pPr>
          </w:p>
        </w:tc>
      </w:tr>
      <w:tr w14:paraId="67C6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098155F2">
            <w:pPr>
              <w:rPr>
                <w:rFonts w:ascii="Arial"/>
                <w:color w:val="auto"/>
                <w:sz w:val="21"/>
                <w:highlight w:val="none"/>
              </w:rPr>
            </w:pPr>
          </w:p>
        </w:tc>
        <w:tc>
          <w:tcPr>
            <w:tcW w:w="2399" w:type="dxa"/>
            <w:vAlign w:val="top"/>
          </w:tcPr>
          <w:p w14:paraId="3E8C672C">
            <w:pPr>
              <w:rPr>
                <w:rFonts w:ascii="Arial"/>
                <w:color w:val="auto"/>
                <w:sz w:val="21"/>
                <w:highlight w:val="none"/>
              </w:rPr>
            </w:pPr>
          </w:p>
        </w:tc>
        <w:tc>
          <w:tcPr>
            <w:tcW w:w="1799" w:type="dxa"/>
            <w:vAlign w:val="top"/>
          </w:tcPr>
          <w:p w14:paraId="11070C68">
            <w:pPr>
              <w:rPr>
                <w:rFonts w:ascii="Arial"/>
                <w:color w:val="auto"/>
                <w:sz w:val="21"/>
                <w:highlight w:val="none"/>
              </w:rPr>
            </w:pPr>
          </w:p>
        </w:tc>
        <w:tc>
          <w:tcPr>
            <w:tcW w:w="1440" w:type="dxa"/>
            <w:vAlign w:val="top"/>
          </w:tcPr>
          <w:p w14:paraId="0144D29C">
            <w:pPr>
              <w:rPr>
                <w:rFonts w:ascii="Arial"/>
                <w:color w:val="auto"/>
                <w:sz w:val="21"/>
                <w:highlight w:val="none"/>
              </w:rPr>
            </w:pPr>
          </w:p>
        </w:tc>
        <w:tc>
          <w:tcPr>
            <w:tcW w:w="2164" w:type="dxa"/>
            <w:vAlign w:val="top"/>
          </w:tcPr>
          <w:p w14:paraId="58B204E8">
            <w:pPr>
              <w:rPr>
                <w:rFonts w:ascii="Arial"/>
                <w:color w:val="auto"/>
                <w:sz w:val="21"/>
                <w:highlight w:val="none"/>
              </w:rPr>
            </w:pPr>
          </w:p>
        </w:tc>
      </w:tr>
    </w:tbl>
    <w:p w14:paraId="712E24FE">
      <w:pPr>
        <w:spacing w:before="29" w:line="220"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备注： </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本表后应附表彰文件、获奖证书及其他证明材料等。</w:t>
      </w:r>
    </w:p>
    <w:p w14:paraId="1EF8C577">
      <w:pPr>
        <w:spacing w:before="148"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1A3E65BE">
      <w:pPr>
        <w:spacing w:line="220" w:lineRule="auto"/>
        <w:rPr>
          <w:rFonts w:ascii="宋体" w:hAnsi="宋体" w:eastAsia="宋体" w:cs="宋体"/>
          <w:color w:val="auto"/>
          <w:sz w:val="21"/>
          <w:szCs w:val="21"/>
          <w:highlight w:val="none"/>
        </w:rPr>
        <w:sectPr>
          <w:footerReference r:id="rId182" w:type="default"/>
          <w:pgSz w:w="11905" w:h="16839"/>
          <w:pgMar w:top="400" w:right="1527" w:bottom="1004" w:left="1785" w:header="0" w:footer="828" w:gutter="0"/>
          <w:pgNumType w:fmt="decimal"/>
          <w:cols w:space="720" w:num="1"/>
        </w:sectPr>
      </w:pPr>
    </w:p>
    <w:p w14:paraId="2DE89044">
      <w:pPr>
        <w:pStyle w:val="5"/>
        <w:spacing w:line="267" w:lineRule="auto"/>
        <w:rPr>
          <w:color w:val="auto"/>
          <w:highlight w:val="none"/>
        </w:rPr>
      </w:pPr>
    </w:p>
    <w:p w14:paraId="1E2E4A9E">
      <w:pPr>
        <w:pStyle w:val="5"/>
        <w:spacing w:line="267" w:lineRule="auto"/>
        <w:rPr>
          <w:color w:val="auto"/>
          <w:highlight w:val="none"/>
        </w:rPr>
      </w:pPr>
    </w:p>
    <w:p w14:paraId="10D34272">
      <w:pPr>
        <w:pStyle w:val="5"/>
        <w:spacing w:line="268" w:lineRule="auto"/>
        <w:rPr>
          <w:color w:val="auto"/>
          <w:highlight w:val="none"/>
        </w:rPr>
      </w:pPr>
    </w:p>
    <w:p w14:paraId="5A81517B">
      <w:pPr>
        <w:pStyle w:val="5"/>
        <w:spacing w:line="268" w:lineRule="auto"/>
        <w:rPr>
          <w:color w:val="auto"/>
          <w:highlight w:val="none"/>
        </w:rPr>
      </w:pPr>
    </w:p>
    <w:p w14:paraId="7B16E77D">
      <w:pPr>
        <w:spacing w:before="78" w:line="219" w:lineRule="auto"/>
        <w:ind w:left="2547"/>
        <w:rPr>
          <w:rFonts w:ascii="黑体" w:hAnsi="黑体" w:eastAsia="黑体" w:cs="黑体"/>
          <w:color w:val="auto"/>
          <w:sz w:val="24"/>
          <w:szCs w:val="24"/>
          <w:highlight w:val="none"/>
        </w:rPr>
      </w:pPr>
      <w:bookmarkStart w:id="1773" w:name="bookmark328"/>
      <w:bookmarkEnd w:id="1773"/>
      <w:r>
        <w:rPr>
          <w:rFonts w:ascii="Times New Roman" w:hAnsi="Times New Roman" w:eastAsia="Times New Roman" w:cs="Times New Roman"/>
          <w:color w:val="auto"/>
          <w:spacing w:val="-1"/>
          <w:sz w:val="24"/>
          <w:szCs w:val="24"/>
          <w:highlight w:val="none"/>
        </w:rPr>
        <w:t xml:space="preserve">5-5 </w:t>
      </w:r>
      <w:r>
        <w:rPr>
          <w:rFonts w:ascii="黑体" w:hAnsi="黑体" w:eastAsia="黑体" w:cs="黑体"/>
          <w:color w:val="auto"/>
          <w:spacing w:val="-1"/>
          <w:sz w:val="24"/>
          <w:szCs w:val="24"/>
          <w:highlight w:val="none"/>
        </w:rPr>
        <w:t>近年项目经理获表彰情况表</w:t>
      </w:r>
    </w:p>
    <w:p w14:paraId="3D24A3AD">
      <w:pPr>
        <w:spacing w:before="198"/>
        <w:rPr>
          <w:color w:val="auto"/>
          <w:highlight w:val="none"/>
        </w:rPr>
      </w:pPr>
    </w:p>
    <w:tbl>
      <w:tblPr>
        <w:tblStyle w:val="17"/>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4B043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23FBF2EC">
            <w:pPr>
              <w:pStyle w:val="18"/>
              <w:spacing w:before="159" w:line="222" w:lineRule="auto"/>
              <w:ind w:left="185"/>
              <w:rPr>
                <w:color w:val="auto"/>
                <w:highlight w:val="none"/>
              </w:rPr>
            </w:pPr>
            <w:r>
              <w:rPr>
                <w:color w:val="auto"/>
                <w:spacing w:val="-2"/>
                <w:highlight w:val="none"/>
              </w:rPr>
              <w:t>序号</w:t>
            </w:r>
          </w:p>
        </w:tc>
        <w:tc>
          <w:tcPr>
            <w:tcW w:w="3479" w:type="dxa"/>
            <w:vAlign w:val="top"/>
          </w:tcPr>
          <w:p w14:paraId="378DCA93">
            <w:pPr>
              <w:pStyle w:val="18"/>
              <w:spacing w:before="159" w:line="221" w:lineRule="auto"/>
              <w:ind w:left="1327"/>
              <w:rPr>
                <w:color w:val="auto"/>
                <w:highlight w:val="none"/>
              </w:rPr>
            </w:pPr>
            <w:r>
              <w:rPr>
                <w:color w:val="auto"/>
                <w:spacing w:val="-2"/>
                <w:highlight w:val="none"/>
              </w:rPr>
              <w:t>获奖名称</w:t>
            </w:r>
          </w:p>
        </w:tc>
        <w:tc>
          <w:tcPr>
            <w:tcW w:w="1799" w:type="dxa"/>
            <w:vAlign w:val="top"/>
          </w:tcPr>
          <w:p w14:paraId="7305C776">
            <w:pPr>
              <w:pStyle w:val="18"/>
              <w:spacing w:before="159" w:line="221" w:lineRule="auto"/>
              <w:ind w:left="489"/>
              <w:rPr>
                <w:color w:val="auto"/>
                <w:highlight w:val="none"/>
              </w:rPr>
            </w:pPr>
            <w:r>
              <w:rPr>
                <w:color w:val="auto"/>
                <w:spacing w:val="-2"/>
                <w:highlight w:val="none"/>
              </w:rPr>
              <w:t>获奖日期</w:t>
            </w:r>
          </w:p>
        </w:tc>
        <w:tc>
          <w:tcPr>
            <w:tcW w:w="2524" w:type="dxa"/>
            <w:vAlign w:val="top"/>
          </w:tcPr>
          <w:p w14:paraId="284A2996">
            <w:pPr>
              <w:pStyle w:val="18"/>
              <w:spacing w:before="160" w:line="221" w:lineRule="auto"/>
              <w:ind w:left="847"/>
              <w:rPr>
                <w:color w:val="auto"/>
                <w:highlight w:val="none"/>
              </w:rPr>
            </w:pPr>
            <w:r>
              <w:rPr>
                <w:color w:val="auto"/>
                <w:spacing w:val="-1"/>
                <w:highlight w:val="none"/>
              </w:rPr>
              <w:t>颁奖单位</w:t>
            </w:r>
          </w:p>
        </w:tc>
      </w:tr>
      <w:tr w14:paraId="1677F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8510A00">
            <w:pPr>
              <w:rPr>
                <w:rFonts w:ascii="Arial"/>
                <w:color w:val="auto"/>
                <w:sz w:val="21"/>
                <w:highlight w:val="none"/>
              </w:rPr>
            </w:pPr>
          </w:p>
        </w:tc>
        <w:tc>
          <w:tcPr>
            <w:tcW w:w="3479" w:type="dxa"/>
            <w:vAlign w:val="top"/>
          </w:tcPr>
          <w:p w14:paraId="4BBD2C3B">
            <w:pPr>
              <w:rPr>
                <w:rFonts w:ascii="Arial"/>
                <w:color w:val="auto"/>
                <w:sz w:val="21"/>
                <w:highlight w:val="none"/>
              </w:rPr>
            </w:pPr>
          </w:p>
        </w:tc>
        <w:tc>
          <w:tcPr>
            <w:tcW w:w="1799" w:type="dxa"/>
            <w:vAlign w:val="top"/>
          </w:tcPr>
          <w:p w14:paraId="634C2AAF">
            <w:pPr>
              <w:rPr>
                <w:rFonts w:ascii="Arial"/>
                <w:color w:val="auto"/>
                <w:sz w:val="21"/>
                <w:highlight w:val="none"/>
              </w:rPr>
            </w:pPr>
          </w:p>
        </w:tc>
        <w:tc>
          <w:tcPr>
            <w:tcW w:w="2524" w:type="dxa"/>
            <w:vAlign w:val="top"/>
          </w:tcPr>
          <w:p w14:paraId="44D2D670">
            <w:pPr>
              <w:rPr>
                <w:rFonts w:ascii="Arial"/>
                <w:color w:val="auto"/>
                <w:sz w:val="21"/>
                <w:highlight w:val="none"/>
              </w:rPr>
            </w:pPr>
          </w:p>
        </w:tc>
      </w:tr>
      <w:tr w14:paraId="60711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B619504">
            <w:pPr>
              <w:rPr>
                <w:rFonts w:ascii="Arial"/>
                <w:color w:val="auto"/>
                <w:sz w:val="21"/>
                <w:highlight w:val="none"/>
              </w:rPr>
            </w:pPr>
          </w:p>
        </w:tc>
        <w:tc>
          <w:tcPr>
            <w:tcW w:w="3479" w:type="dxa"/>
            <w:vAlign w:val="top"/>
          </w:tcPr>
          <w:p w14:paraId="3CEDD03D">
            <w:pPr>
              <w:rPr>
                <w:rFonts w:ascii="Arial"/>
                <w:color w:val="auto"/>
                <w:sz w:val="21"/>
                <w:highlight w:val="none"/>
              </w:rPr>
            </w:pPr>
          </w:p>
        </w:tc>
        <w:tc>
          <w:tcPr>
            <w:tcW w:w="1799" w:type="dxa"/>
            <w:vAlign w:val="top"/>
          </w:tcPr>
          <w:p w14:paraId="5D9450E7">
            <w:pPr>
              <w:rPr>
                <w:rFonts w:ascii="Arial"/>
                <w:color w:val="auto"/>
                <w:sz w:val="21"/>
                <w:highlight w:val="none"/>
              </w:rPr>
            </w:pPr>
          </w:p>
        </w:tc>
        <w:tc>
          <w:tcPr>
            <w:tcW w:w="2524" w:type="dxa"/>
            <w:vAlign w:val="top"/>
          </w:tcPr>
          <w:p w14:paraId="062C440E">
            <w:pPr>
              <w:rPr>
                <w:rFonts w:ascii="Arial"/>
                <w:color w:val="auto"/>
                <w:sz w:val="21"/>
                <w:highlight w:val="none"/>
              </w:rPr>
            </w:pPr>
          </w:p>
        </w:tc>
      </w:tr>
      <w:tr w14:paraId="754EC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FE0892">
            <w:pPr>
              <w:rPr>
                <w:rFonts w:ascii="Arial"/>
                <w:color w:val="auto"/>
                <w:sz w:val="21"/>
                <w:highlight w:val="none"/>
              </w:rPr>
            </w:pPr>
          </w:p>
        </w:tc>
        <w:tc>
          <w:tcPr>
            <w:tcW w:w="3479" w:type="dxa"/>
            <w:vAlign w:val="top"/>
          </w:tcPr>
          <w:p w14:paraId="01EAE5BE">
            <w:pPr>
              <w:rPr>
                <w:rFonts w:ascii="Arial"/>
                <w:color w:val="auto"/>
                <w:sz w:val="21"/>
                <w:highlight w:val="none"/>
              </w:rPr>
            </w:pPr>
          </w:p>
        </w:tc>
        <w:tc>
          <w:tcPr>
            <w:tcW w:w="1799" w:type="dxa"/>
            <w:vAlign w:val="top"/>
          </w:tcPr>
          <w:p w14:paraId="44E78A00">
            <w:pPr>
              <w:rPr>
                <w:rFonts w:ascii="Arial"/>
                <w:color w:val="auto"/>
                <w:sz w:val="21"/>
                <w:highlight w:val="none"/>
              </w:rPr>
            </w:pPr>
          </w:p>
        </w:tc>
        <w:tc>
          <w:tcPr>
            <w:tcW w:w="2524" w:type="dxa"/>
            <w:vAlign w:val="top"/>
          </w:tcPr>
          <w:p w14:paraId="3F9035C0">
            <w:pPr>
              <w:rPr>
                <w:rFonts w:ascii="Arial"/>
                <w:color w:val="auto"/>
                <w:sz w:val="21"/>
                <w:highlight w:val="none"/>
              </w:rPr>
            </w:pPr>
          </w:p>
        </w:tc>
      </w:tr>
      <w:tr w14:paraId="7D14E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7E33906">
            <w:pPr>
              <w:rPr>
                <w:rFonts w:ascii="Arial"/>
                <w:color w:val="auto"/>
                <w:sz w:val="21"/>
                <w:highlight w:val="none"/>
              </w:rPr>
            </w:pPr>
          </w:p>
        </w:tc>
        <w:tc>
          <w:tcPr>
            <w:tcW w:w="3479" w:type="dxa"/>
            <w:vAlign w:val="top"/>
          </w:tcPr>
          <w:p w14:paraId="7166E7C6">
            <w:pPr>
              <w:rPr>
                <w:rFonts w:ascii="Arial"/>
                <w:color w:val="auto"/>
                <w:sz w:val="21"/>
                <w:highlight w:val="none"/>
              </w:rPr>
            </w:pPr>
          </w:p>
        </w:tc>
        <w:tc>
          <w:tcPr>
            <w:tcW w:w="1799" w:type="dxa"/>
            <w:vAlign w:val="top"/>
          </w:tcPr>
          <w:p w14:paraId="5ECF3203">
            <w:pPr>
              <w:rPr>
                <w:rFonts w:ascii="Arial"/>
                <w:color w:val="auto"/>
                <w:sz w:val="21"/>
                <w:highlight w:val="none"/>
              </w:rPr>
            </w:pPr>
          </w:p>
        </w:tc>
        <w:tc>
          <w:tcPr>
            <w:tcW w:w="2524" w:type="dxa"/>
            <w:vAlign w:val="top"/>
          </w:tcPr>
          <w:p w14:paraId="6C015E8B">
            <w:pPr>
              <w:rPr>
                <w:rFonts w:ascii="Arial"/>
                <w:color w:val="auto"/>
                <w:sz w:val="21"/>
                <w:highlight w:val="none"/>
              </w:rPr>
            </w:pPr>
          </w:p>
        </w:tc>
      </w:tr>
      <w:tr w14:paraId="790DE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254B51F">
            <w:pPr>
              <w:rPr>
                <w:rFonts w:ascii="Arial"/>
                <w:color w:val="auto"/>
                <w:sz w:val="21"/>
                <w:highlight w:val="none"/>
              </w:rPr>
            </w:pPr>
          </w:p>
        </w:tc>
        <w:tc>
          <w:tcPr>
            <w:tcW w:w="3479" w:type="dxa"/>
            <w:vAlign w:val="top"/>
          </w:tcPr>
          <w:p w14:paraId="383D42FD">
            <w:pPr>
              <w:rPr>
                <w:rFonts w:ascii="Arial"/>
                <w:color w:val="auto"/>
                <w:sz w:val="21"/>
                <w:highlight w:val="none"/>
              </w:rPr>
            </w:pPr>
          </w:p>
        </w:tc>
        <w:tc>
          <w:tcPr>
            <w:tcW w:w="1799" w:type="dxa"/>
            <w:vAlign w:val="top"/>
          </w:tcPr>
          <w:p w14:paraId="615B879B">
            <w:pPr>
              <w:rPr>
                <w:rFonts w:ascii="Arial"/>
                <w:color w:val="auto"/>
                <w:sz w:val="21"/>
                <w:highlight w:val="none"/>
              </w:rPr>
            </w:pPr>
          </w:p>
        </w:tc>
        <w:tc>
          <w:tcPr>
            <w:tcW w:w="2524" w:type="dxa"/>
            <w:vAlign w:val="top"/>
          </w:tcPr>
          <w:p w14:paraId="1DC80497">
            <w:pPr>
              <w:rPr>
                <w:rFonts w:ascii="Arial"/>
                <w:color w:val="auto"/>
                <w:sz w:val="21"/>
                <w:highlight w:val="none"/>
              </w:rPr>
            </w:pPr>
          </w:p>
        </w:tc>
      </w:tr>
      <w:tr w14:paraId="20AB3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552BB4A">
            <w:pPr>
              <w:rPr>
                <w:rFonts w:ascii="Arial"/>
                <w:color w:val="auto"/>
                <w:sz w:val="21"/>
                <w:highlight w:val="none"/>
              </w:rPr>
            </w:pPr>
          </w:p>
        </w:tc>
        <w:tc>
          <w:tcPr>
            <w:tcW w:w="3479" w:type="dxa"/>
            <w:vAlign w:val="top"/>
          </w:tcPr>
          <w:p w14:paraId="28A6E402">
            <w:pPr>
              <w:rPr>
                <w:rFonts w:ascii="Arial"/>
                <w:color w:val="auto"/>
                <w:sz w:val="21"/>
                <w:highlight w:val="none"/>
              </w:rPr>
            </w:pPr>
          </w:p>
        </w:tc>
        <w:tc>
          <w:tcPr>
            <w:tcW w:w="1799" w:type="dxa"/>
            <w:vAlign w:val="top"/>
          </w:tcPr>
          <w:p w14:paraId="71D72C52">
            <w:pPr>
              <w:rPr>
                <w:rFonts w:ascii="Arial"/>
                <w:color w:val="auto"/>
                <w:sz w:val="21"/>
                <w:highlight w:val="none"/>
              </w:rPr>
            </w:pPr>
          </w:p>
        </w:tc>
        <w:tc>
          <w:tcPr>
            <w:tcW w:w="2524" w:type="dxa"/>
            <w:vAlign w:val="top"/>
          </w:tcPr>
          <w:p w14:paraId="71B0A0D0">
            <w:pPr>
              <w:rPr>
                <w:rFonts w:ascii="Arial"/>
                <w:color w:val="auto"/>
                <w:sz w:val="21"/>
                <w:highlight w:val="none"/>
              </w:rPr>
            </w:pPr>
          </w:p>
        </w:tc>
      </w:tr>
      <w:tr w14:paraId="201A5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C0EF3BC">
            <w:pPr>
              <w:rPr>
                <w:rFonts w:ascii="Arial"/>
                <w:color w:val="auto"/>
                <w:sz w:val="21"/>
                <w:highlight w:val="none"/>
              </w:rPr>
            </w:pPr>
          </w:p>
        </w:tc>
        <w:tc>
          <w:tcPr>
            <w:tcW w:w="3479" w:type="dxa"/>
            <w:vAlign w:val="top"/>
          </w:tcPr>
          <w:p w14:paraId="001D21B2">
            <w:pPr>
              <w:rPr>
                <w:rFonts w:ascii="Arial"/>
                <w:color w:val="auto"/>
                <w:sz w:val="21"/>
                <w:highlight w:val="none"/>
              </w:rPr>
            </w:pPr>
          </w:p>
        </w:tc>
        <w:tc>
          <w:tcPr>
            <w:tcW w:w="1799" w:type="dxa"/>
            <w:vAlign w:val="top"/>
          </w:tcPr>
          <w:p w14:paraId="6686BA7F">
            <w:pPr>
              <w:rPr>
                <w:rFonts w:ascii="Arial"/>
                <w:color w:val="auto"/>
                <w:sz w:val="21"/>
                <w:highlight w:val="none"/>
              </w:rPr>
            </w:pPr>
          </w:p>
        </w:tc>
        <w:tc>
          <w:tcPr>
            <w:tcW w:w="2524" w:type="dxa"/>
            <w:vAlign w:val="top"/>
          </w:tcPr>
          <w:p w14:paraId="0426726D">
            <w:pPr>
              <w:rPr>
                <w:rFonts w:ascii="Arial"/>
                <w:color w:val="auto"/>
                <w:sz w:val="21"/>
                <w:highlight w:val="none"/>
              </w:rPr>
            </w:pPr>
          </w:p>
        </w:tc>
      </w:tr>
      <w:tr w14:paraId="6C789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1A1932C">
            <w:pPr>
              <w:rPr>
                <w:rFonts w:ascii="Arial"/>
                <w:color w:val="auto"/>
                <w:sz w:val="21"/>
                <w:highlight w:val="none"/>
              </w:rPr>
            </w:pPr>
          </w:p>
        </w:tc>
        <w:tc>
          <w:tcPr>
            <w:tcW w:w="3479" w:type="dxa"/>
            <w:vAlign w:val="top"/>
          </w:tcPr>
          <w:p w14:paraId="62E9DEF6">
            <w:pPr>
              <w:rPr>
                <w:rFonts w:ascii="Arial"/>
                <w:color w:val="auto"/>
                <w:sz w:val="21"/>
                <w:highlight w:val="none"/>
              </w:rPr>
            </w:pPr>
          </w:p>
        </w:tc>
        <w:tc>
          <w:tcPr>
            <w:tcW w:w="1799" w:type="dxa"/>
            <w:vAlign w:val="top"/>
          </w:tcPr>
          <w:p w14:paraId="4170D00A">
            <w:pPr>
              <w:rPr>
                <w:rFonts w:ascii="Arial"/>
                <w:color w:val="auto"/>
                <w:sz w:val="21"/>
                <w:highlight w:val="none"/>
              </w:rPr>
            </w:pPr>
          </w:p>
        </w:tc>
        <w:tc>
          <w:tcPr>
            <w:tcW w:w="2524" w:type="dxa"/>
            <w:vAlign w:val="top"/>
          </w:tcPr>
          <w:p w14:paraId="512E8F03">
            <w:pPr>
              <w:rPr>
                <w:rFonts w:ascii="Arial"/>
                <w:color w:val="auto"/>
                <w:sz w:val="21"/>
                <w:highlight w:val="none"/>
              </w:rPr>
            </w:pPr>
          </w:p>
        </w:tc>
      </w:tr>
      <w:tr w14:paraId="0C643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DB53CD7">
            <w:pPr>
              <w:rPr>
                <w:rFonts w:ascii="Arial"/>
                <w:color w:val="auto"/>
                <w:sz w:val="21"/>
                <w:highlight w:val="none"/>
              </w:rPr>
            </w:pPr>
          </w:p>
        </w:tc>
        <w:tc>
          <w:tcPr>
            <w:tcW w:w="3479" w:type="dxa"/>
            <w:vAlign w:val="top"/>
          </w:tcPr>
          <w:p w14:paraId="11CAFD66">
            <w:pPr>
              <w:rPr>
                <w:rFonts w:ascii="Arial"/>
                <w:color w:val="auto"/>
                <w:sz w:val="21"/>
                <w:highlight w:val="none"/>
              </w:rPr>
            </w:pPr>
          </w:p>
        </w:tc>
        <w:tc>
          <w:tcPr>
            <w:tcW w:w="1799" w:type="dxa"/>
            <w:vAlign w:val="top"/>
          </w:tcPr>
          <w:p w14:paraId="7A2CD2C4">
            <w:pPr>
              <w:rPr>
                <w:rFonts w:ascii="Arial"/>
                <w:color w:val="auto"/>
                <w:sz w:val="21"/>
                <w:highlight w:val="none"/>
              </w:rPr>
            </w:pPr>
          </w:p>
        </w:tc>
        <w:tc>
          <w:tcPr>
            <w:tcW w:w="2524" w:type="dxa"/>
            <w:vAlign w:val="top"/>
          </w:tcPr>
          <w:p w14:paraId="2EACF440">
            <w:pPr>
              <w:rPr>
                <w:rFonts w:ascii="Arial"/>
                <w:color w:val="auto"/>
                <w:sz w:val="21"/>
                <w:highlight w:val="none"/>
              </w:rPr>
            </w:pPr>
          </w:p>
        </w:tc>
      </w:tr>
    </w:tbl>
    <w:p w14:paraId="1C542FF1">
      <w:pPr>
        <w:spacing w:before="154"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备注： </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本表后应附表彰文件、获奖证书及其他证明材料等。</w:t>
      </w:r>
    </w:p>
    <w:p w14:paraId="5BFD3F7E">
      <w:pPr>
        <w:spacing w:before="152"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1FE0721A">
      <w:pPr>
        <w:spacing w:line="220" w:lineRule="auto"/>
        <w:rPr>
          <w:rFonts w:ascii="宋体" w:hAnsi="宋体" w:eastAsia="宋体" w:cs="宋体"/>
          <w:color w:val="auto"/>
          <w:sz w:val="21"/>
          <w:szCs w:val="21"/>
          <w:highlight w:val="none"/>
        </w:rPr>
        <w:sectPr>
          <w:footerReference r:id="rId183" w:type="default"/>
          <w:pgSz w:w="11905" w:h="16839"/>
          <w:pgMar w:top="400" w:right="1527" w:bottom="1004" w:left="1785" w:header="0" w:footer="828" w:gutter="0"/>
          <w:pgNumType w:fmt="decimal"/>
          <w:cols w:space="720" w:num="1"/>
        </w:sectPr>
      </w:pPr>
    </w:p>
    <w:p w14:paraId="085DE2BA">
      <w:pPr>
        <w:pStyle w:val="5"/>
        <w:spacing w:line="255" w:lineRule="auto"/>
        <w:rPr>
          <w:color w:val="auto"/>
          <w:highlight w:val="none"/>
        </w:rPr>
      </w:pPr>
    </w:p>
    <w:p w14:paraId="4B29F80E">
      <w:pPr>
        <w:pStyle w:val="5"/>
        <w:spacing w:line="256" w:lineRule="auto"/>
        <w:rPr>
          <w:color w:val="auto"/>
          <w:highlight w:val="none"/>
        </w:rPr>
      </w:pPr>
    </w:p>
    <w:p w14:paraId="02AEBF5D">
      <w:pPr>
        <w:pStyle w:val="5"/>
        <w:spacing w:line="256" w:lineRule="auto"/>
        <w:rPr>
          <w:color w:val="auto"/>
          <w:highlight w:val="none"/>
        </w:rPr>
      </w:pPr>
    </w:p>
    <w:p w14:paraId="75D18591">
      <w:pPr>
        <w:pStyle w:val="5"/>
        <w:spacing w:line="256" w:lineRule="auto"/>
        <w:rPr>
          <w:color w:val="auto"/>
          <w:highlight w:val="none"/>
        </w:rPr>
      </w:pPr>
    </w:p>
    <w:p w14:paraId="550A00C8">
      <w:pPr>
        <w:spacing w:before="88" w:line="225" w:lineRule="auto"/>
        <w:ind w:left="2777"/>
        <w:rPr>
          <w:rFonts w:ascii="黑体" w:hAnsi="黑体" w:eastAsia="黑体" w:cs="黑体"/>
          <w:color w:val="auto"/>
          <w:sz w:val="27"/>
          <w:szCs w:val="27"/>
          <w:highlight w:val="none"/>
        </w:rPr>
      </w:pPr>
      <w:bookmarkStart w:id="1774" w:name="bookmark329"/>
      <w:bookmarkEnd w:id="1774"/>
      <w:r>
        <w:rPr>
          <w:rFonts w:ascii="黑体" w:hAnsi="黑体" w:eastAsia="黑体" w:cs="黑体"/>
          <w:color w:val="auto"/>
          <w:spacing w:val="8"/>
          <w:sz w:val="27"/>
          <w:szCs w:val="27"/>
          <w:highlight w:val="none"/>
        </w:rPr>
        <w:t>八、已标价工程量清单</w:t>
      </w:r>
    </w:p>
    <w:p w14:paraId="05DD722E">
      <w:pPr>
        <w:pStyle w:val="5"/>
        <w:spacing w:line="285" w:lineRule="auto"/>
        <w:rPr>
          <w:color w:val="auto"/>
          <w:highlight w:val="none"/>
        </w:rPr>
      </w:pPr>
    </w:p>
    <w:p w14:paraId="6878C322">
      <w:pPr>
        <w:pStyle w:val="5"/>
        <w:spacing w:line="285" w:lineRule="auto"/>
        <w:rPr>
          <w:color w:val="auto"/>
          <w:highlight w:val="none"/>
        </w:rPr>
      </w:pPr>
    </w:p>
    <w:p w14:paraId="5FE7FC88">
      <w:pPr>
        <w:spacing w:before="68"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说明：已标价工程量清单按第五章“工程量清单”中的相关清单表格式填写。</w:t>
      </w:r>
    </w:p>
    <w:p w14:paraId="26ACC2D9">
      <w:pPr>
        <w:spacing w:before="211" w:line="461" w:lineRule="exact"/>
        <w:ind w:right="19"/>
        <w:jc w:val="right"/>
        <w:rPr>
          <w:rFonts w:ascii="宋体" w:hAnsi="宋体" w:eastAsia="宋体" w:cs="宋体"/>
          <w:color w:val="auto"/>
          <w:sz w:val="21"/>
          <w:szCs w:val="21"/>
          <w:highlight w:val="none"/>
        </w:rPr>
      </w:pPr>
      <w:r>
        <w:rPr>
          <w:rFonts w:ascii="宋体" w:hAnsi="宋体" w:eastAsia="宋体" w:cs="宋体"/>
          <w:color w:val="auto"/>
          <w:spacing w:val="3"/>
          <w:position w:val="19"/>
          <w:sz w:val="21"/>
          <w:szCs w:val="21"/>
          <w:highlight w:val="none"/>
        </w:rPr>
        <w:t>构成合同文件的已标价工程量清单包括第五章“工程量清单”有关工</w:t>
      </w:r>
      <w:r>
        <w:rPr>
          <w:rFonts w:ascii="宋体" w:hAnsi="宋体" w:eastAsia="宋体" w:cs="宋体"/>
          <w:color w:val="auto"/>
          <w:spacing w:val="2"/>
          <w:position w:val="19"/>
          <w:sz w:val="21"/>
          <w:szCs w:val="21"/>
          <w:highlight w:val="none"/>
        </w:rPr>
        <w:t>程量清单、投</w:t>
      </w:r>
    </w:p>
    <w:p w14:paraId="776B6FF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标报价以及其他说明的内容。</w:t>
      </w:r>
    </w:p>
    <w:p w14:paraId="285F37BD">
      <w:pPr>
        <w:spacing w:line="219" w:lineRule="auto"/>
        <w:rPr>
          <w:rFonts w:ascii="宋体" w:hAnsi="宋体" w:eastAsia="宋体" w:cs="宋体"/>
          <w:color w:val="auto"/>
          <w:sz w:val="21"/>
          <w:szCs w:val="21"/>
          <w:highlight w:val="none"/>
        </w:rPr>
        <w:sectPr>
          <w:footerReference r:id="rId184" w:type="default"/>
          <w:pgSz w:w="11905" w:h="16839"/>
          <w:pgMar w:top="400" w:right="1785" w:bottom="1004" w:left="1785" w:header="0" w:footer="828" w:gutter="0"/>
          <w:pgNumType w:fmt="decimal"/>
          <w:cols w:space="720" w:num="1"/>
        </w:sectPr>
      </w:pPr>
    </w:p>
    <w:p w14:paraId="15E1A069">
      <w:pPr>
        <w:pStyle w:val="5"/>
        <w:spacing w:line="267" w:lineRule="auto"/>
        <w:rPr>
          <w:color w:val="auto"/>
          <w:highlight w:val="none"/>
        </w:rPr>
      </w:pPr>
    </w:p>
    <w:p w14:paraId="2F2EBF01">
      <w:pPr>
        <w:pStyle w:val="5"/>
        <w:spacing w:line="267" w:lineRule="auto"/>
        <w:rPr>
          <w:color w:val="auto"/>
          <w:highlight w:val="none"/>
        </w:rPr>
      </w:pPr>
    </w:p>
    <w:p w14:paraId="1C870A14">
      <w:pPr>
        <w:pStyle w:val="5"/>
        <w:spacing w:line="268" w:lineRule="auto"/>
        <w:rPr>
          <w:color w:val="auto"/>
          <w:highlight w:val="none"/>
        </w:rPr>
      </w:pPr>
    </w:p>
    <w:p w14:paraId="29FDE816">
      <w:pPr>
        <w:pStyle w:val="5"/>
        <w:spacing w:line="268" w:lineRule="auto"/>
        <w:rPr>
          <w:color w:val="auto"/>
          <w:highlight w:val="none"/>
        </w:rPr>
      </w:pPr>
    </w:p>
    <w:p w14:paraId="26157038">
      <w:pPr>
        <w:spacing w:before="78" w:line="219" w:lineRule="auto"/>
        <w:ind w:left="3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已标价工程量清单（投标总价）封面</w:t>
      </w:r>
    </w:p>
    <w:p w14:paraId="42D2AFF5">
      <w:pPr>
        <w:pStyle w:val="5"/>
        <w:spacing w:line="244" w:lineRule="auto"/>
        <w:rPr>
          <w:color w:val="auto"/>
          <w:highlight w:val="none"/>
        </w:rPr>
      </w:pPr>
    </w:p>
    <w:p w14:paraId="04E7D926">
      <w:pPr>
        <w:pStyle w:val="5"/>
        <w:spacing w:line="244" w:lineRule="auto"/>
        <w:rPr>
          <w:color w:val="auto"/>
          <w:highlight w:val="none"/>
        </w:rPr>
      </w:pPr>
    </w:p>
    <w:p w14:paraId="37F6046D">
      <w:pPr>
        <w:pStyle w:val="5"/>
        <w:spacing w:line="244" w:lineRule="auto"/>
        <w:rPr>
          <w:color w:val="auto"/>
          <w:highlight w:val="none"/>
        </w:rPr>
      </w:pPr>
    </w:p>
    <w:p w14:paraId="51A9BCE6">
      <w:pPr>
        <w:pStyle w:val="5"/>
        <w:spacing w:line="244" w:lineRule="auto"/>
        <w:rPr>
          <w:color w:val="auto"/>
          <w:highlight w:val="none"/>
        </w:rPr>
      </w:pPr>
    </w:p>
    <w:p w14:paraId="034876B6">
      <w:pPr>
        <w:pStyle w:val="5"/>
        <w:spacing w:line="244" w:lineRule="auto"/>
        <w:rPr>
          <w:color w:val="auto"/>
          <w:highlight w:val="none"/>
        </w:rPr>
      </w:pPr>
    </w:p>
    <w:p w14:paraId="5CA8532F">
      <w:pPr>
        <w:pStyle w:val="5"/>
        <w:spacing w:line="244" w:lineRule="auto"/>
        <w:rPr>
          <w:color w:val="auto"/>
          <w:highlight w:val="none"/>
        </w:rPr>
      </w:pPr>
    </w:p>
    <w:p w14:paraId="64D41410">
      <w:pPr>
        <w:pStyle w:val="5"/>
        <w:spacing w:line="244" w:lineRule="auto"/>
        <w:rPr>
          <w:color w:val="auto"/>
          <w:highlight w:val="none"/>
        </w:rPr>
      </w:pPr>
    </w:p>
    <w:p w14:paraId="75A6EDF1">
      <w:pPr>
        <w:pStyle w:val="5"/>
        <w:spacing w:line="244" w:lineRule="auto"/>
        <w:rPr>
          <w:color w:val="auto"/>
          <w:highlight w:val="none"/>
        </w:rPr>
      </w:pPr>
    </w:p>
    <w:p w14:paraId="0D9D8B59">
      <w:pPr>
        <w:pStyle w:val="5"/>
        <w:spacing w:line="245" w:lineRule="auto"/>
        <w:rPr>
          <w:color w:val="auto"/>
          <w:highlight w:val="none"/>
        </w:rPr>
      </w:pPr>
    </w:p>
    <w:p w14:paraId="449D2891">
      <w:pPr>
        <w:pStyle w:val="5"/>
        <w:spacing w:line="245" w:lineRule="auto"/>
        <w:rPr>
          <w:color w:val="auto"/>
          <w:highlight w:val="none"/>
        </w:rPr>
      </w:pPr>
    </w:p>
    <w:p w14:paraId="64C88AA8">
      <w:pPr>
        <w:pStyle w:val="5"/>
        <w:spacing w:line="245" w:lineRule="auto"/>
        <w:rPr>
          <w:color w:val="auto"/>
          <w:highlight w:val="none"/>
        </w:rPr>
      </w:pPr>
    </w:p>
    <w:p w14:paraId="7B5E9FEC">
      <w:pPr>
        <w:pStyle w:val="5"/>
        <w:spacing w:line="245" w:lineRule="auto"/>
        <w:rPr>
          <w:color w:val="auto"/>
          <w:highlight w:val="none"/>
        </w:rPr>
      </w:pPr>
    </w:p>
    <w:p w14:paraId="46FE97EA">
      <w:pPr>
        <w:pStyle w:val="5"/>
        <w:spacing w:line="245" w:lineRule="auto"/>
        <w:rPr>
          <w:color w:val="auto"/>
          <w:highlight w:val="none"/>
        </w:rPr>
      </w:pPr>
    </w:p>
    <w:p w14:paraId="38817779">
      <w:pPr>
        <w:pStyle w:val="5"/>
        <w:spacing w:line="245" w:lineRule="auto"/>
        <w:rPr>
          <w:color w:val="auto"/>
          <w:highlight w:val="none"/>
        </w:rPr>
      </w:pPr>
    </w:p>
    <w:p w14:paraId="766A599A">
      <w:pPr>
        <w:spacing w:before="143" w:line="219" w:lineRule="auto"/>
        <w:ind w:left="3298"/>
        <w:rPr>
          <w:rFonts w:ascii="黑体" w:hAnsi="黑体" w:eastAsia="黑体" w:cs="黑体"/>
          <w:color w:val="auto"/>
          <w:sz w:val="44"/>
          <w:szCs w:val="44"/>
          <w:highlight w:val="none"/>
        </w:rPr>
      </w:pPr>
      <w:r>
        <w:rPr>
          <w:rFonts w:ascii="黑体" w:hAnsi="黑体" w:eastAsia="黑体" w:cs="黑体"/>
          <w:color w:val="auto"/>
          <w:spacing w:val="-2"/>
          <w:sz w:val="44"/>
          <w:szCs w:val="44"/>
          <w:highlight w:val="none"/>
        </w:rPr>
        <w:t>投标总价</w:t>
      </w:r>
    </w:p>
    <w:p w14:paraId="44043068">
      <w:pPr>
        <w:pStyle w:val="5"/>
        <w:spacing w:line="249" w:lineRule="auto"/>
        <w:rPr>
          <w:color w:val="auto"/>
          <w:highlight w:val="none"/>
        </w:rPr>
      </w:pPr>
    </w:p>
    <w:p w14:paraId="77B5A4AD">
      <w:pPr>
        <w:pStyle w:val="5"/>
        <w:spacing w:line="249" w:lineRule="auto"/>
        <w:rPr>
          <w:color w:val="auto"/>
          <w:highlight w:val="none"/>
        </w:rPr>
      </w:pPr>
    </w:p>
    <w:p w14:paraId="0BF7AB86">
      <w:pPr>
        <w:pStyle w:val="5"/>
        <w:spacing w:line="249" w:lineRule="auto"/>
        <w:rPr>
          <w:color w:val="auto"/>
          <w:highlight w:val="none"/>
        </w:rPr>
      </w:pPr>
    </w:p>
    <w:p w14:paraId="03D19F60">
      <w:pPr>
        <w:pStyle w:val="5"/>
        <w:spacing w:line="249" w:lineRule="auto"/>
        <w:rPr>
          <w:color w:val="auto"/>
          <w:highlight w:val="none"/>
        </w:rPr>
      </w:pPr>
    </w:p>
    <w:p w14:paraId="242F827B">
      <w:pPr>
        <w:pStyle w:val="5"/>
        <w:spacing w:line="249" w:lineRule="auto"/>
        <w:rPr>
          <w:color w:val="auto"/>
          <w:highlight w:val="none"/>
        </w:rPr>
      </w:pPr>
    </w:p>
    <w:p w14:paraId="4B2EA88D">
      <w:pPr>
        <w:pStyle w:val="5"/>
        <w:spacing w:line="249" w:lineRule="auto"/>
        <w:rPr>
          <w:color w:val="auto"/>
          <w:highlight w:val="none"/>
        </w:rPr>
      </w:pPr>
    </w:p>
    <w:p w14:paraId="1EB54ABF">
      <w:pPr>
        <w:pStyle w:val="5"/>
        <w:spacing w:line="250" w:lineRule="auto"/>
        <w:rPr>
          <w:color w:val="auto"/>
          <w:highlight w:val="none"/>
        </w:rPr>
      </w:pPr>
    </w:p>
    <w:p w14:paraId="5C82192C">
      <w:pPr>
        <w:pStyle w:val="5"/>
        <w:spacing w:line="250" w:lineRule="auto"/>
        <w:rPr>
          <w:color w:val="auto"/>
          <w:highlight w:val="none"/>
        </w:rPr>
      </w:pPr>
    </w:p>
    <w:p w14:paraId="43A6C444">
      <w:pPr>
        <w:pStyle w:val="5"/>
        <w:spacing w:line="250" w:lineRule="auto"/>
        <w:rPr>
          <w:color w:val="auto"/>
          <w:highlight w:val="none"/>
        </w:rPr>
      </w:pPr>
    </w:p>
    <w:p w14:paraId="410AB0F7">
      <w:pPr>
        <w:pStyle w:val="5"/>
        <w:spacing w:line="250" w:lineRule="auto"/>
        <w:rPr>
          <w:color w:val="auto"/>
          <w:highlight w:val="none"/>
        </w:rPr>
      </w:pPr>
    </w:p>
    <w:p w14:paraId="79903B16">
      <w:pPr>
        <w:pStyle w:val="5"/>
        <w:spacing w:line="250" w:lineRule="auto"/>
        <w:rPr>
          <w:color w:val="auto"/>
          <w:highlight w:val="none"/>
        </w:rPr>
      </w:pPr>
    </w:p>
    <w:p w14:paraId="5284FB8A">
      <w:pPr>
        <w:pStyle w:val="5"/>
        <w:spacing w:line="250" w:lineRule="auto"/>
        <w:rPr>
          <w:color w:val="auto"/>
          <w:highlight w:val="none"/>
        </w:rPr>
      </w:pPr>
    </w:p>
    <w:p w14:paraId="6957939E">
      <w:pPr>
        <w:pStyle w:val="5"/>
        <w:spacing w:line="250" w:lineRule="auto"/>
        <w:rPr>
          <w:color w:val="auto"/>
          <w:highlight w:val="none"/>
        </w:rPr>
      </w:pPr>
    </w:p>
    <w:p w14:paraId="6B16DBC3">
      <w:pPr>
        <w:pStyle w:val="5"/>
        <w:spacing w:line="250" w:lineRule="auto"/>
        <w:rPr>
          <w:color w:val="auto"/>
          <w:highlight w:val="none"/>
        </w:rPr>
      </w:pPr>
    </w:p>
    <w:p w14:paraId="78583231">
      <w:pPr>
        <w:pStyle w:val="5"/>
        <w:spacing w:line="250" w:lineRule="auto"/>
        <w:rPr>
          <w:color w:val="auto"/>
          <w:highlight w:val="none"/>
        </w:rPr>
      </w:pPr>
    </w:p>
    <w:p w14:paraId="6305B3BC">
      <w:pPr>
        <w:pStyle w:val="5"/>
        <w:spacing w:line="250" w:lineRule="auto"/>
        <w:rPr>
          <w:color w:val="auto"/>
          <w:highlight w:val="none"/>
        </w:rPr>
      </w:pPr>
    </w:p>
    <w:p w14:paraId="07B082DD">
      <w:pPr>
        <w:spacing w:before="88" w:line="222" w:lineRule="auto"/>
        <w:ind w:left="4234" w:right="1321" w:hanging="2529"/>
        <w:rPr>
          <w:rFonts w:ascii="宋体" w:hAnsi="宋体" w:eastAsia="宋体" w:cs="宋体"/>
          <w:color w:val="auto"/>
          <w:sz w:val="27"/>
          <w:szCs w:val="27"/>
          <w:highlight w:val="none"/>
        </w:rPr>
      </w:pPr>
      <w:r>
        <w:rPr>
          <w:rFonts w:ascii="宋体" w:hAnsi="宋体" w:eastAsia="宋体" w:cs="宋体"/>
          <w:color w:val="auto"/>
          <w:spacing w:val="-27"/>
          <w:sz w:val="27"/>
          <w:szCs w:val="27"/>
          <w:highlight w:val="none"/>
        </w:rPr>
        <w:t>投</w:t>
      </w:r>
      <w:r>
        <w:rPr>
          <w:rFonts w:ascii="宋体" w:hAnsi="宋体" w:eastAsia="宋体" w:cs="宋体"/>
          <w:color w:val="auto"/>
          <w:spacing w:val="16"/>
          <w:sz w:val="27"/>
          <w:szCs w:val="27"/>
          <w:highlight w:val="none"/>
        </w:rPr>
        <w:t xml:space="preserve"> </w:t>
      </w:r>
      <w:r>
        <w:rPr>
          <w:rFonts w:ascii="宋体" w:hAnsi="宋体" w:eastAsia="宋体" w:cs="宋体"/>
          <w:color w:val="auto"/>
          <w:spacing w:val="-27"/>
          <w:sz w:val="27"/>
          <w:szCs w:val="27"/>
          <w:highlight w:val="none"/>
        </w:rPr>
        <w:t>标</w:t>
      </w:r>
      <w:r>
        <w:rPr>
          <w:rFonts w:ascii="宋体" w:hAnsi="宋体" w:eastAsia="宋体" w:cs="宋体"/>
          <w:color w:val="auto"/>
          <w:spacing w:val="18"/>
          <w:sz w:val="27"/>
          <w:szCs w:val="27"/>
          <w:highlight w:val="none"/>
        </w:rPr>
        <w:t xml:space="preserve"> </w:t>
      </w:r>
      <w:r>
        <w:rPr>
          <w:rFonts w:ascii="宋体" w:hAnsi="宋体" w:eastAsia="宋体" w:cs="宋体"/>
          <w:color w:val="auto"/>
          <w:spacing w:val="-27"/>
          <w:sz w:val="27"/>
          <w:szCs w:val="27"/>
          <w:highlight w:val="none"/>
        </w:rPr>
        <w:t>人：</w:t>
      </w:r>
      <w:r>
        <w:rPr>
          <w:rFonts w:ascii="宋体" w:hAnsi="宋体" w:eastAsia="宋体" w:cs="宋体"/>
          <w:color w:val="auto"/>
          <w:spacing w:val="-29"/>
          <w:sz w:val="27"/>
          <w:szCs w:val="27"/>
          <w:highlight w:val="none"/>
        </w:rPr>
        <w:t xml:space="preserve"> </w:t>
      </w:r>
      <w:r>
        <w:rPr>
          <w:rFonts w:ascii="宋体" w:hAnsi="宋体" w:eastAsia="宋体" w:cs="宋体"/>
          <w:color w:val="auto"/>
          <w:sz w:val="27"/>
          <w:szCs w:val="27"/>
          <w:highlight w:val="none"/>
          <w:u w:val="single" w:color="auto"/>
        </w:rPr>
        <w:t xml:space="preserve">                             </w:t>
      </w:r>
      <w:r>
        <w:rPr>
          <w:rFonts w:ascii="宋体" w:hAnsi="宋体" w:eastAsia="宋体" w:cs="宋体"/>
          <w:color w:val="auto"/>
          <w:spacing w:val="8"/>
          <w:sz w:val="27"/>
          <w:szCs w:val="27"/>
          <w:highlight w:val="none"/>
        </w:rPr>
        <w:t xml:space="preserve"> </w:t>
      </w:r>
      <w:r>
        <w:rPr>
          <w:rFonts w:ascii="宋体" w:hAnsi="宋体" w:eastAsia="宋体" w:cs="宋体"/>
          <w:color w:val="auto"/>
          <w:spacing w:val="3"/>
          <w:sz w:val="27"/>
          <w:szCs w:val="27"/>
          <w:highlight w:val="none"/>
        </w:rPr>
        <w:t>（单位盖章）</w:t>
      </w:r>
    </w:p>
    <w:p w14:paraId="6AFAFBF1">
      <w:pPr>
        <w:pStyle w:val="5"/>
        <w:spacing w:line="351" w:lineRule="auto"/>
        <w:rPr>
          <w:color w:val="auto"/>
          <w:highlight w:val="none"/>
        </w:rPr>
      </w:pPr>
    </w:p>
    <w:p w14:paraId="0CCF8335">
      <w:pPr>
        <w:pStyle w:val="5"/>
        <w:spacing w:line="352" w:lineRule="auto"/>
        <w:rPr>
          <w:color w:val="auto"/>
          <w:highlight w:val="none"/>
        </w:rPr>
      </w:pPr>
    </w:p>
    <w:p w14:paraId="03C29147">
      <w:pPr>
        <w:spacing w:before="88" w:line="225" w:lineRule="auto"/>
        <w:ind w:left="3383"/>
        <w:rPr>
          <w:rFonts w:ascii="宋体" w:hAnsi="宋体" w:eastAsia="宋体" w:cs="宋体"/>
          <w:color w:val="auto"/>
          <w:sz w:val="27"/>
          <w:szCs w:val="27"/>
          <w:highlight w:val="none"/>
        </w:rPr>
      </w:pPr>
      <w:r>
        <w:rPr>
          <w:rFonts w:ascii="宋体" w:hAnsi="宋体" w:eastAsia="宋体" w:cs="宋体"/>
          <w:color w:val="auto"/>
          <w:spacing w:val="-5"/>
          <w:sz w:val="27"/>
          <w:szCs w:val="27"/>
          <w:highlight w:val="none"/>
        </w:rPr>
        <w:t>年</w:t>
      </w:r>
      <w:r>
        <w:rPr>
          <w:rFonts w:ascii="宋体" w:hAnsi="宋体" w:eastAsia="宋体" w:cs="宋体"/>
          <w:color w:val="auto"/>
          <w:spacing w:val="8"/>
          <w:sz w:val="27"/>
          <w:szCs w:val="27"/>
          <w:highlight w:val="none"/>
        </w:rPr>
        <w:t xml:space="preserve">      </w:t>
      </w:r>
      <w:r>
        <w:rPr>
          <w:rFonts w:ascii="宋体" w:hAnsi="宋体" w:eastAsia="宋体" w:cs="宋体"/>
          <w:color w:val="auto"/>
          <w:spacing w:val="-5"/>
          <w:sz w:val="27"/>
          <w:szCs w:val="27"/>
          <w:highlight w:val="none"/>
        </w:rPr>
        <w:t>月</w:t>
      </w:r>
      <w:r>
        <w:rPr>
          <w:rFonts w:ascii="宋体" w:hAnsi="宋体" w:eastAsia="宋体" w:cs="宋体"/>
          <w:color w:val="auto"/>
          <w:spacing w:val="15"/>
          <w:sz w:val="27"/>
          <w:szCs w:val="27"/>
          <w:highlight w:val="none"/>
        </w:rPr>
        <w:t xml:space="preserve">      </w:t>
      </w:r>
      <w:r>
        <w:rPr>
          <w:rFonts w:ascii="宋体" w:hAnsi="宋体" w:eastAsia="宋体" w:cs="宋体"/>
          <w:color w:val="auto"/>
          <w:spacing w:val="-5"/>
          <w:sz w:val="27"/>
          <w:szCs w:val="27"/>
          <w:highlight w:val="none"/>
        </w:rPr>
        <w:t>日</w:t>
      </w:r>
    </w:p>
    <w:p w14:paraId="0BDDA74C">
      <w:pPr>
        <w:spacing w:line="225" w:lineRule="auto"/>
        <w:rPr>
          <w:rFonts w:ascii="宋体" w:hAnsi="宋体" w:eastAsia="宋体" w:cs="宋体"/>
          <w:color w:val="auto"/>
          <w:sz w:val="27"/>
          <w:szCs w:val="27"/>
          <w:highlight w:val="none"/>
        </w:rPr>
        <w:sectPr>
          <w:footerReference r:id="rId185" w:type="default"/>
          <w:pgSz w:w="11905" w:h="16839"/>
          <w:pgMar w:top="400" w:right="1785" w:bottom="1004" w:left="1785" w:header="0" w:footer="828" w:gutter="0"/>
          <w:pgNumType w:fmt="decimal"/>
          <w:cols w:space="720" w:num="1"/>
        </w:sectPr>
      </w:pPr>
    </w:p>
    <w:p w14:paraId="73D9ED0F">
      <w:pPr>
        <w:pStyle w:val="5"/>
        <w:spacing w:line="254" w:lineRule="auto"/>
        <w:rPr>
          <w:color w:val="auto"/>
          <w:highlight w:val="none"/>
        </w:rPr>
      </w:pPr>
    </w:p>
    <w:p w14:paraId="508A0DB1">
      <w:pPr>
        <w:pStyle w:val="5"/>
        <w:spacing w:line="254" w:lineRule="auto"/>
        <w:rPr>
          <w:color w:val="auto"/>
          <w:highlight w:val="none"/>
        </w:rPr>
      </w:pPr>
    </w:p>
    <w:p w14:paraId="6991BBF1">
      <w:pPr>
        <w:pStyle w:val="5"/>
        <w:spacing w:line="255" w:lineRule="auto"/>
        <w:rPr>
          <w:color w:val="auto"/>
          <w:highlight w:val="none"/>
        </w:rPr>
      </w:pPr>
    </w:p>
    <w:p w14:paraId="750F429C">
      <w:pPr>
        <w:pStyle w:val="5"/>
        <w:spacing w:line="255" w:lineRule="auto"/>
        <w:rPr>
          <w:color w:val="auto"/>
          <w:highlight w:val="none"/>
        </w:rPr>
      </w:pPr>
    </w:p>
    <w:p w14:paraId="5A183C47">
      <w:pPr>
        <w:pStyle w:val="5"/>
        <w:spacing w:line="255" w:lineRule="auto"/>
        <w:rPr>
          <w:color w:val="auto"/>
          <w:highlight w:val="none"/>
        </w:rPr>
      </w:pPr>
    </w:p>
    <w:p w14:paraId="0ACCD15E">
      <w:pPr>
        <w:pStyle w:val="5"/>
        <w:spacing w:line="255" w:lineRule="auto"/>
        <w:rPr>
          <w:color w:val="auto"/>
          <w:highlight w:val="none"/>
        </w:rPr>
      </w:pPr>
    </w:p>
    <w:p w14:paraId="5748692D">
      <w:pPr>
        <w:spacing w:before="78" w:line="219"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投标总价扉页</w:t>
      </w:r>
    </w:p>
    <w:p w14:paraId="19E4A515">
      <w:pPr>
        <w:pStyle w:val="5"/>
        <w:spacing w:line="264" w:lineRule="auto"/>
        <w:rPr>
          <w:color w:val="auto"/>
          <w:highlight w:val="none"/>
        </w:rPr>
      </w:pPr>
    </w:p>
    <w:p w14:paraId="3562658D">
      <w:pPr>
        <w:pStyle w:val="5"/>
        <w:spacing w:line="264" w:lineRule="auto"/>
        <w:rPr>
          <w:color w:val="auto"/>
          <w:highlight w:val="none"/>
        </w:rPr>
      </w:pPr>
    </w:p>
    <w:p w14:paraId="0765D531">
      <w:pPr>
        <w:pStyle w:val="5"/>
        <w:spacing w:line="264" w:lineRule="auto"/>
        <w:rPr>
          <w:color w:val="auto"/>
          <w:highlight w:val="none"/>
        </w:rPr>
      </w:pPr>
    </w:p>
    <w:p w14:paraId="21928D07">
      <w:pPr>
        <w:pStyle w:val="5"/>
        <w:spacing w:line="264" w:lineRule="auto"/>
        <w:rPr>
          <w:color w:val="auto"/>
          <w:highlight w:val="none"/>
        </w:rPr>
      </w:pPr>
    </w:p>
    <w:p w14:paraId="189AF74B">
      <w:pPr>
        <w:spacing w:before="104" w:line="220" w:lineRule="auto"/>
        <w:ind w:left="3837"/>
        <w:rPr>
          <w:rFonts w:ascii="黑体" w:hAnsi="黑体" w:eastAsia="黑体" w:cs="黑体"/>
          <w:color w:val="auto"/>
          <w:sz w:val="32"/>
          <w:szCs w:val="32"/>
          <w:highlight w:val="none"/>
        </w:rPr>
      </w:pPr>
      <w:r>
        <w:rPr>
          <w:rFonts w:ascii="黑体" w:hAnsi="黑体" w:eastAsia="黑体" w:cs="黑体"/>
          <w:color w:val="auto"/>
          <w:spacing w:val="13"/>
          <w:sz w:val="32"/>
          <w:szCs w:val="32"/>
          <w:highlight w:val="none"/>
        </w:rPr>
        <w:t>投标总价</w:t>
      </w:r>
    </w:p>
    <w:p w14:paraId="42EE8D6C">
      <w:pPr>
        <w:pStyle w:val="5"/>
        <w:spacing w:line="339" w:lineRule="auto"/>
        <w:rPr>
          <w:color w:val="auto"/>
          <w:highlight w:val="none"/>
        </w:rPr>
      </w:pPr>
    </w:p>
    <w:p w14:paraId="0CACEC6F">
      <w:pPr>
        <w:pStyle w:val="5"/>
        <w:spacing w:line="340" w:lineRule="auto"/>
        <w:rPr>
          <w:color w:val="auto"/>
          <w:highlight w:val="none"/>
        </w:rPr>
      </w:pPr>
    </w:p>
    <w:p w14:paraId="1A5ED3FB">
      <w:pPr>
        <w:spacing w:before="68" w:line="221" w:lineRule="auto"/>
        <w:ind w:left="44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招</w:t>
      </w:r>
      <w:r>
        <w:rPr>
          <w:rFonts w:ascii="宋体" w:hAnsi="宋体" w:eastAsia="宋体" w:cs="宋体"/>
          <w:color w:val="auto"/>
          <w:spacing w:val="12"/>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6C956AA6">
      <w:pPr>
        <w:pStyle w:val="5"/>
        <w:spacing w:line="278" w:lineRule="auto"/>
        <w:rPr>
          <w:color w:val="auto"/>
          <w:highlight w:val="none"/>
        </w:rPr>
      </w:pPr>
    </w:p>
    <w:p w14:paraId="42139C49">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5"/>
          <w:w w:val="99"/>
          <w:sz w:val="21"/>
          <w:szCs w:val="21"/>
          <w:highlight w:val="none"/>
        </w:rPr>
        <w:t>工程名称：</w:t>
      </w:r>
      <w:r>
        <w:rPr>
          <w:rFonts w:ascii="宋体" w:hAnsi="宋体" w:eastAsia="宋体" w:cs="宋体"/>
          <w:color w:val="auto"/>
          <w:spacing w:val="25"/>
          <w:sz w:val="21"/>
          <w:szCs w:val="21"/>
          <w:highlight w:val="none"/>
        </w:rPr>
        <w:t xml:space="preserve"> </w:t>
      </w:r>
      <w:r>
        <w:rPr>
          <w:rFonts w:ascii="宋体" w:hAnsi="宋体" w:eastAsia="宋体" w:cs="宋体"/>
          <w:color w:val="auto"/>
          <w:sz w:val="21"/>
          <w:szCs w:val="21"/>
          <w:highlight w:val="none"/>
          <w:u w:val="single" w:color="auto"/>
        </w:rPr>
        <w:t xml:space="preserve">                                                               </w:t>
      </w:r>
    </w:p>
    <w:p w14:paraId="1AA969BC">
      <w:pPr>
        <w:pStyle w:val="5"/>
        <w:spacing w:line="278" w:lineRule="auto"/>
        <w:rPr>
          <w:color w:val="auto"/>
          <w:highlight w:val="none"/>
        </w:rPr>
      </w:pPr>
    </w:p>
    <w:p w14:paraId="7DCB2597">
      <w:pPr>
        <w:spacing w:before="69" w:line="528"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投标总价（小写</w:t>
      </w:r>
      <w:r>
        <w:rPr>
          <w:rFonts w:ascii="宋体" w:hAnsi="宋体" w:eastAsia="宋体" w:cs="宋体"/>
          <w:color w:val="auto"/>
          <w:spacing w:val="-1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1"/>
          <w:sz w:val="21"/>
          <w:szCs w:val="21"/>
          <w:highlight w:val="none"/>
        </w:rPr>
        <w:t>元</w:t>
      </w:r>
    </w:p>
    <w:p w14:paraId="5B0EA957">
      <w:pPr>
        <w:spacing w:line="221" w:lineRule="auto"/>
        <w:ind w:left="128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（大写</w:t>
      </w:r>
      <w:r>
        <w:rPr>
          <w:rFonts w:ascii="宋体" w:hAnsi="宋体" w:eastAsia="宋体" w:cs="宋体"/>
          <w:color w:val="auto"/>
          <w:spacing w:val="-1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元</w:t>
      </w:r>
    </w:p>
    <w:p w14:paraId="6737232A">
      <w:pPr>
        <w:pStyle w:val="5"/>
        <w:spacing w:line="327" w:lineRule="auto"/>
        <w:rPr>
          <w:color w:val="auto"/>
          <w:highlight w:val="none"/>
        </w:rPr>
      </w:pPr>
    </w:p>
    <w:p w14:paraId="58A9D3B6">
      <w:pPr>
        <w:pStyle w:val="5"/>
        <w:spacing w:line="328" w:lineRule="auto"/>
        <w:rPr>
          <w:color w:val="auto"/>
          <w:highlight w:val="none"/>
        </w:rPr>
      </w:pPr>
    </w:p>
    <w:p w14:paraId="36B2F625">
      <w:pPr>
        <w:spacing w:before="69" w:line="249" w:lineRule="auto"/>
        <w:ind w:left="4225" w:right="231" w:hanging="378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（单位盖章）</w:t>
      </w:r>
    </w:p>
    <w:p w14:paraId="20A29E54">
      <w:pPr>
        <w:pStyle w:val="5"/>
        <w:spacing w:line="422" w:lineRule="auto"/>
        <w:rPr>
          <w:color w:val="auto"/>
          <w:highlight w:val="none"/>
        </w:rPr>
      </w:pPr>
    </w:p>
    <w:p w14:paraId="20C04C48">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p>
    <w:p w14:paraId="66F228BD">
      <w:pPr>
        <w:spacing w:before="158" w:line="251" w:lineRule="auto"/>
        <w:ind w:left="4014" w:right="231" w:hanging="3571"/>
        <w:rPr>
          <w:rFonts w:ascii="宋体" w:hAnsi="宋体" w:eastAsia="宋体" w:cs="宋体"/>
          <w:color w:val="auto"/>
          <w:sz w:val="21"/>
          <w:szCs w:val="21"/>
          <w:highlight w:val="none"/>
        </w:rPr>
      </w:pPr>
      <w:r>
        <w:rPr>
          <w:rFonts w:ascii="宋体" w:hAnsi="宋体" w:eastAsia="宋体" w:cs="宋体"/>
          <w:color w:val="auto"/>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（签字或盖章）</w:t>
      </w:r>
    </w:p>
    <w:p w14:paraId="70DC9E58">
      <w:pPr>
        <w:pStyle w:val="5"/>
        <w:spacing w:line="318" w:lineRule="auto"/>
        <w:rPr>
          <w:color w:val="auto"/>
          <w:highlight w:val="none"/>
        </w:rPr>
      </w:pPr>
    </w:p>
    <w:p w14:paraId="57CE0C10">
      <w:pPr>
        <w:pStyle w:val="5"/>
        <w:spacing w:line="319" w:lineRule="auto"/>
        <w:rPr>
          <w:color w:val="auto"/>
          <w:highlight w:val="none"/>
        </w:rPr>
      </w:pPr>
    </w:p>
    <w:p w14:paraId="1A1DA6A4">
      <w:pPr>
        <w:spacing w:before="69" w:line="251" w:lineRule="auto"/>
        <w:ind w:left="3596" w:right="231" w:hanging="3154"/>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编制人：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（造价人员签字或盖章）</w:t>
      </w:r>
    </w:p>
    <w:p w14:paraId="605FB0A0">
      <w:pPr>
        <w:pStyle w:val="5"/>
        <w:spacing w:line="266" w:lineRule="auto"/>
        <w:rPr>
          <w:color w:val="auto"/>
          <w:highlight w:val="none"/>
        </w:rPr>
      </w:pPr>
    </w:p>
    <w:p w14:paraId="0A5CF994">
      <w:pPr>
        <w:pStyle w:val="5"/>
        <w:spacing w:line="267" w:lineRule="auto"/>
        <w:rPr>
          <w:color w:val="auto"/>
          <w:highlight w:val="none"/>
        </w:rPr>
      </w:pPr>
    </w:p>
    <w:p w14:paraId="3ED451B4">
      <w:pPr>
        <w:pStyle w:val="5"/>
        <w:spacing w:line="267" w:lineRule="auto"/>
        <w:rPr>
          <w:color w:val="auto"/>
          <w:highlight w:val="none"/>
        </w:rPr>
      </w:pPr>
    </w:p>
    <w:p w14:paraId="676DAB0C">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4"/>
          <w:sz w:val="21"/>
          <w:szCs w:val="21"/>
          <w:highlight w:val="none"/>
        </w:rPr>
        <w:t>月       日</w:t>
      </w:r>
    </w:p>
    <w:p w14:paraId="740A8F10">
      <w:pPr>
        <w:pStyle w:val="5"/>
        <w:spacing w:line="271" w:lineRule="auto"/>
        <w:rPr>
          <w:color w:val="auto"/>
          <w:highlight w:val="none"/>
        </w:rPr>
      </w:pPr>
    </w:p>
    <w:p w14:paraId="57C00E67">
      <w:pPr>
        <w:pStyle w:val="5"/>
        <w:spacing w:line="271" w:lineRule="auto"/>
        <w:rPr>
          <w:color w:val="auto"/>
          <w:highlight w:val="none"/>
        </w:rPr>
      </w:pPr>
    </w:p>
    <w:p w14:paraId="29B1BF43">
      <w:pPr>
        <w:pStyle w:val="5"/>
        <w:spacing w:line="271" w:lineRule="auto"/>
        <w:rPr>
          <w:color w:val="auto"/>
          <w:highlight w:val="none"/>
        </w:rPr>
      </w:pPr>
    </w:p>
    <w:p w14:paraId="400030A5">
      <w:pPr>
        <w:spacing w:before="69" w:line="219" w:lineRule="auto"/>
        <w:ind w:left="44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备注： 1.投标总价可按四舍五入精确到小数点后两位。</w:t>
      </w:r>
    </w:p>
    <w:p w14:paraId="422E53A6">
      <w:pPr>
        <w:spacing w:before="135" w:line="380" w:lineRule="exact"/>
        <w:ind w:right="10"/>
        <w:jc w:val="right"/>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2.已标价工程量清单的内容和制作按第五章“工程量清单”和第二章“投</w:t>
      </w:r>
      <w:r>
        <w:rPr>
          <w:rFonts w:ascii="宋体" w:hAnsi="宋体" w:eastAsia="宋体" w:cs="宋体"/>
          <w:color w:val="auto"/>
          <w:spacing w:val="2"/>
          <w:position w:val="12"/>
          <w:sz w:val="21"/>
          <w:szCs w:val="21"/>
          <w:highlight w:val="none"/>
        </w:rPr>
        <w:t>标人</w:t>
      </w:r>
    </w:p>
    <w:p w14:paraId="463FFEC7">
      <w:pPr>
        <w:spacing w:line="220" w:lineRule="auto"/>
        <w:ind w:left="1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须知”</w:t>
      </w:r>
      <w:r>
        <w:rPr>
          <w:rFonts w:ascii="宋体" w:hAnsi="宋体" w:eastAsia="宋体" w:cs="宋体"/>
          <w:color w:val="auto"/>
          <w:spacing w:val="-44"/>
          <w:sz w:val="21"/>
          <w:szCs w:val="21"/>
          <w:highlight w:val="none"/>
        </w:rPr>
        <w:t xml:space="preserve"> </w:t>
      </w:r>
      <w:r>
        <w:rPr>
          <w:rFonts w:ascii="宋体" w:hAnsi="宋体" w:eastAsia="宋体" w:cs="宋体"/>
          <w:color w:val="auto"/>
          <w:spacing w:val="-4"/>
          <w:sz w:val="21"/>
          <w:szCs w:val="21"/>
          <w:highlight w:val="none"/>
        </w:rPr>
        <w:t>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3.7.3（5）</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目的要求填报和制作。</w:t>
      </w:r>
    </w:p>
    <w:p w14:paraId="5825A815">
      <w:pPr>
        <w:spacing w:line="220" w:lineRule="auto"/>
        <w:rPr>
          <w:rFonts w:ascii="宋体" w:hAnsi="宋体" w:eastAsia="宋体" w:cs="宋体"/>
          <w:color w:val="auto"/>
          <w:sz w:val="21"/>
          <w:szCs w:val="21"/>
          <w:highlight w:val="none"/>
        </w:rPr>
        <w:sectPr>
          <w:footerReference r:id="rId186" w:type="default"/>
          <w:pgSz w:w="11905" w:h="16839"/>
          <w:pgMar w:top="400" w:right="1785" w:bottom="1004" w:left="1785" w:header="0" w:footer="828" w:gutter="0"/>
          <w:pgNumType w:fmt="decimal"/>
          <w:cols w:space="720" w:num="1"/>
        </w:sectPr>
      </w:pPr>
    </w:p>
    <w:p w14:paraId="44AAD7FD">
      <w:pPr>
        <w:pStyle w:val="5"/>
        <w:spacing w:line="255" w:lineRule="auto"/>
        <w:rPr>
          <w:color w:val="auto"/>
          <w:highlight w:val="none"/>
        </w:rPr>
      </w:pPr>
    </w:p>
    <w:p w14:paraId="438BD996">
      <w:pPr>
        <w:pStyle w:val="5"/>
        <w:spacing w:line="256" w:lineRule="auto"/>
        <w:rPr>
          <w:color w:val="auto"/>
          <w:highlight w:val="none"/>
        </w:rPr>
      </w:pPr>
    </w:p>
    <w:p w14:paraId="4E27EF73">
      <w:pPr>
        <w:pStyle w:val="5"/>
        <w:spacing w:line="256" w:lineRule="auto"/>
        <w:rPr>
          <w:color w:val="auto"/>
          <w:highlight w:val="none"/>
        </w:rPr>
      </w:pPr>
    </w:p>
    <w:p w14:paraId="7E8FDC21">
      <w:pPr>
        <w:pStyle w:val="5"/>
        <w:spacing w:line="256" w:lineRule="auto"/>
        <w:rPr>
          <w:color w:val="auto"/>
          <w:highlight w:val="none"/>
        </w:rPr>
      </w:pPr>
    </w:p>
    <w:p w14:paraId="08D6684A">
      <w:pPr>
        <w:spacing w:before="88" w:line="225" w:lineRule="auto"/>
        <w:ind w:left="3062"/>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九、施工组织设计</w:t>
      </w:r>
    </w:p>
    <w:p w14:paraId="5FDB72CD">
      <w:pPr>
        <w:spacing w:before="152" w:line="369" w:lineRule="auto"/>
        <w:ind w:left="20" w:right="196" w:firstLine="436"/>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1．投标人应根据招标文件和对现场的勘察情况，</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rPr>
        <w:t>采用文</w:t>
      </w:r>
      <w:r>
        <w:rPr>
          <w:rFonts w:ascii="宋体" w:hAnsi="宋体" w:eastAsia="宋体" w:cs="宋体"/>
          <w:color w:val="auto"/>
          <w:spacing w:val="-5"/>
          <w:sz w:val="21"/>
          <w:szCs w:val="21"/>
          <w:highlight w:val="none"/>
        </w:rPr>
        <w:t>字并结合图表形式，按照中华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人民共和国家标准《建筑施工组织设计规范》（</w:t>
      </w:r>
      <w:r>
        <w:rPr>
          <w:rFonts w:hint="eastAsia" w:ascii="宋体" w:hAnsi="宋体" w:eastAsia="宋体" w:cs="宋体"/>
          <w:color w:val="auto"/>
          <w:spacing w:val="-2"/>
          <w:sz w:val="21"/>
          <w:szCs w:val="21"/>
          <w:highlight w:val="none"/>
          <w:lang w:eastAsia="zh-CN"/>
        </w:rPr>
        <w:t>GB/T50502-2025</w:t>
      </w:r>
      <w:r>
        <w:rPr>
          <w:rFonts w:ascii="宋体" w:hAnsi="宋体" w:eastAsia="宋体" w:cs="宋体"/>
          <w:color w:val="auto"/>
          <w:spacing w:val="-2"/>
          <w:sz w:val="21"/>
          <w:szCs w:val="21"/>
          <w:highlight w:val="none"/>
        </w:rPr>
        <w:t>）的要求编制本工程</w:t>
      </w:r>
      <w:r>
        <w:rPr>
          <w:rFonts w:ascii="宋体" w:hAnsi="宋体" w:eastAsia="宋体" w:cs="宋体"/>
          <w:color w:val="auto"/>
          <w:spacing w:val="-3"/>
          <w:sz w:val="21"/>
          <w:szCs w:val="21"/>
          <w:highlight w:val="none"/>
        </w:rPr>
        <w:t>的施工</w:t>
      </w:r>
    </w:p>
    <w:p w14:paraId="0D6A5B42">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组织设计，</w:t>
      </w:r>
      <w:r>
        <w:rPr>
          <w:rFonts w:ascii="宋体" w:hAnsi="宋体" w:eastAsia="宋体" w:cs="宋体"/>
          <w:color w:val="auto"/>
          <w:spacing w:val="61"/>
          <w:sz w:val="21"/>
          <w:szCs w:val="21"/>
          <w:highlight w:val="none"/>
        </w:rPr>
        <w:t xml:space="preserve"> </w:t>
      </w:r>
      <w:r>
        <w:rPr>
          <w:rFonts w:ascii="宋体" w:hAnsi="宋体" w:eastAsia="宋体" w:cs="宋体"/>
          <w:color w:val="auto"/>
          <w:spacing w:val="-18"/>
          <w:sz w:val="21"/>
          <w:szCs w:val="21"/>
          <w:highlight w:val="none"/>
        </w:rPr>
        <w:t>其要点如下：</w:t>
      </w:r>
    </w:p>
    <w:p w14:paraId="4E8E2732">
      <w:pPr>
        <w:spacing w:before="165"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工程概况</w:t>
      </w:r>
    </w:p>
    <w:p w14:paraId="4D9C165E">
      <w:pPr>
        <w:spacing w:before="171" w:line="418" w:lineRule="exact"/>
        <w:ind w:left="964"/>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包括工程主要情况、各专业设计简介、工程施工条件等；</w:t>
      </w:r>
    </w:p>
    <w:p w14:paraId="5E2705B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施工部署</w:t>
      </w:r>
    </w:p>
    <w:p w14:paraId="2F3CFBC8">
      <w:pPr>
        <w:spacing w:before="170" w:line="369" w:lineRule="auto"/>
        <w:ind w:left="978" w:right="19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包括工程施工目标、主要施工内容及其进度安排、施工流水段划</w:t>
      </w:r>
      <w:r>
        <w:rPr>
          <w:rFonts w:ascii="宋体" w:hAnsi="宋体" w:eastAsia="宋体" w:cs="宋体"/>
          <w:color w:val="auto"/>
          <w:spacing w:val="-1"/>
          <w:sz w:val="21"/>
          <w:szCs w:val="21"/>
          <w:highlight w:val="none"/>
        </w:rPr>
        <w:t>分、施工的重点</w:t>
      </w:r>
      <w:r>
        <w:rPr>
          <w:rFonts w:ascii="宋体" w:hAnsi="宋体" w:eastAsia="宋体" w:cs="宋体"/>
          <w:color w:val="auto"/>
          <w:sz w:val="21"/>
          <w:szCs w:val="21"/>
          <w:highlight w:val="none"/>
        </w:rPr>
        <w:t xml:space="preserve"> 和难点分析、工程管理的组织机构形式、项目经理部的工作岗位</w:t>
      </w:r>
      <w:r>
        <w:rPr>
          <w:rFonts w:ascii="宋体" w:hAnsi="宋体" w:eastAsia="宋体" w:cs="宋体"/>
          <w:color w:val="auto"/>
          <w:spacing w:val="-1"/>
          <w:sz w:val="21"/>
          <w:szCs w:val="21"/>
          <w:highlight w:val="none"/>
        </w:rPr>
        <w:t>设置及其职责划</w:t>
      </w:r>
      <w:r>
        <w:rPr>
          <w:rFonts w:ascii="宋体" w:hAnsi="宋体" w:eastAsia="宋体" w:cs="宋体"/>
          <w:color w:val="auto"/>
          <w:sz w:val="21"/>
          <w:szCs w:val="21"/>
          <w:highlight w:val="none"/>
        </w:rPr>
        <w:t xml:space="preserve"> 分、新技术、新工艺部署及其技术和管理要求（如有）、主</w:t>
      </w:r>
      <w:r>
        <w:rPr>
          <w:rFonts w:ascii="宋体" w:hAnsi="宋体" w:eastAsia="宋体" w:cs="宋体"/>
          <w:color w:val="auto"/>
          <w:spacing w:val="-1"/>
          <w:sz w:val="21"/>
          <w:szCs w:val="21"/>
          <w:highlight w:val="none"/>
        </w:rPr>
        <w:t>要分包工程施工单位</w:t>
      </w:r>
    </w:p>
    <w:p w14:paraId="0F8F7639">
      <w:pPr>
        <w:spacing w:before="1" w:line="220" w:lineRule="auto"/>
        <w:ind w:left="99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的选择要求及管理方式（如有</w:t>
      </w:r>
      <w:r>
        <w:rPr>
          <w:rFonts w:ascii="宋体" w:hAnsi="宋体" w:eastAsia="宋体" w:cs="宋体"/>
          <w:color w:val="auto"/>
          <w:spacing w:val="-12"/>
          <w:sz w:val="21"/>
          <w:szCs w:val="21"/>
          <w:highlight w:val="none"/>
        </w:rPr>
        <w:t>）；</w:t>
      </w:r>
    </w:p>
    <w:p w14:paraId="6E60B772">
      <w:pPr>
        <w:spacing w:before="17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施工进度计划</w:t>
      </w:r>
    </w:p>
    <w:p w14:paraId="2C0874E6">
      <w:pPr>
        <w:spacing w:before="166" w:line="423" w:lineRule="exact"/>
        <w:ind w:left="966"/>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可采用网络图或横道图表示，并附必要说明，对于规模较大或较复杂的工程，宜</w:t>
      </w:r>
    </w:p>
    <w:p w14:paraId="56CD05D8">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采用网络图表示；</w:t>
      </w:r>
    </w:p>
    <w:p w14:paraId="6660FBFE">
      <w:pPr>
        <w:spacing w:before="167" w:line="222"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施工准备与资源配置计划</w:t>
      </w:r>
    </w:p>
    <w:p w14:paraId="38EE28A5">
      <w:pPr>
        <w:spacing w:before="170" w:line="418" w:lineRule="exact"/>
        <w:ind w:left="963"/>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施工准备包括技术准备、现场准备和资金准备；资源配置计划包括劳动力配置计</w:t>
      </w:r>
    </w:p>
    <w:p w14:paraId="7F8D37CA">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z w:val="21"/>
          <w:szCs w:val="21"/>
          <w:highlight w:val="none"/>
        </w:rPr>
        <w:t>划、主要工程材料和设备配置计划、主要周转材料和施工机具配置</w:t>
      </w:r>
      <w:r>
        <w:rPr>
          <w:rFonts w:ascii="宋体" w:hAnsi="宋体" w:eastAsia="宋体" w:cs="宋体"/>
          <w:color w:val="auto"/>
          <w:spacing w:val="-1"/>
          <w:sz w:val="21"/>
          <w:szCs w:val="21"/>
          <w:highlight w:val="none"/>
        </w:rPr>
        <w:t>计划等；</w:t>
      </w:r>
    </w:p>
    <w:p w14:paraId="042A442B">
      <w:pPr>
        <w:spacing w:before="173"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主要施工方案</w:t>
      </w:r>
    </w:p>
    <w:p w14:paraId="416F2F3C">
      <w:pPr>
        <w:spacing w:before="166" w:line="370" w:lineRule="auto"/>
        <w:ind w:left="965" w:hanging="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对主要分部、分项工程制定施工方案；对脚手架工程、起重吊装工程、临时用水</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用电工程、季节性施工等专项工程所采用的施工方案进行必要的验算和说明；对</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易发生质量通病、易出现安全问题、施工难度大、技术含量高的分</w:t>
      </w:r>
      <w:r>
        <w:rPr>
          <w:rFonts w:ascii="宋体" w:hAnsi="宋体" w:eastAsia="宋体" w:cs="宋体"/>
          <w:color w:val="auto"/>
          <w:spacing w:val="-1"/>
          <w:sz w:val="21"/>
          <w:szCs w:val="21"/>
          <w:highlight w:val="none"/>
        </w:rPr>
        <w:t>项工程（工序）</w:t>
      </w:r>
    </w:p>
    <w:p w14:paraId="257D0295">
      <w:pPr>
        <w:spacing w:line="220" w:lineRule="auto"/>
        <w:ind w:left="96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等做出重点说明；</w:t>
      </w:r>
    </w:p>
    <w:p w14:paraId="7303933D">
      <w:pPr>
        <w:spacing w:before="16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施工现场平面布置</w:t>
      </w:r>
    </w:p>
    <w:p w14:paraId="7102323E">
      <w:pPr>
        <w:spacing w:before="174" w:line="369" w:lineRule="auto"/>
        <w:ind w:left="915" w:right="206" w:firstLine="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按不同施工阶段绘制施工现场平面布置图并附文字说明，说明施工场地状况；拟</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建建（构）筑物的位置轮廓、尺寸、层数；</w:t>
      </w:r>
      <w:r>
        <w:rPr>
          <w:rFonts w:ascii="宋体" w:hAnsi="宋体" w:eastAsia="宋体" w:cs="宋体"/>
          <w:color w:val="auto"/>
          <w:spacing w:val="62"/>
          <w:sz w:val="21"/>
          <w:szCs w:val="21"/>
          <w:highlight w:val="none"/>
        </w:rPr>
        <w:t xml:space="preserve"> </w:t>
      </w:r>
      <w:r>
        <w:rPr>
          <w:rFonts w:ascii="宋体" w:hAnsi="宋体" w:eastAsia="宋体" w:cs="宋体"/>
          <w:color w:val="auto"/>
          <w:spacing w:val="-4"/>
          <w:sz w:val="21"/>
          <w:szCs w:val="21"/>
          <w:highlight w:val="none"/>
        </w:rPr>
        <w:t>加工设施、存储设施、</w:t>
      </w:r>
      <w:r>
        <w:rPr>
          <w:rFonts w:ascii="宋体" w:hAnsi="宋体" w:eastAsia="宋体" w:cs="宋体"/>
          <w:color w:val="auto"/>
          <w:spacing w:val="-5"/>
          <w:sz w:val="21"/>
          <w:szCs w:val="21"/>
          <w:highlight w:val="none"/>
        </w:rPr>
        <w:t>办公和生活用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房的位置和面积；布置垂直运输设施、供电设施、供水、供热设施、排水排污设</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施和临时施工道路；必备的安全、消防、保卫和环境保护设施；相邻的地上地下</w:t>
      </w:r>
    </w:p>
    <w:p w14:paraId="63AB7F11">
      <w:pPr>
        <w:spacing w:line="220" w:lineRule="auto"/>
        <w:ind w:left="9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既有建（构）筑物及相关环境等；</w:t>
      </w:r>
    </w:p>
    <w:p w14:paraId="54890338">
      <w:pPr>
        <w:spacing w:before="16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主要施工管理计划</w:t>
      </w:r>
    </w:p>
    <w:p w14:paraId="7F73F0B8">
      <w:pPr>
        <w:spacing w:before="170" w:line="369" w:lineRule="auto"/>
        <w:ind w:left="963" w:right="33"/>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包括进度管理计划、质量管理计划、安全管理计划、环境管理计划、成本管理计  </w:t>
      </w:r>
      <w:r>
        <w:rPr>
          <w:rFonts w:ascii="宋体" w:hAnsi="宋体" w:eastAsia="宋体" w:cs="宋体"/>
          <w:color w:val="auto"/>
          <w:spacing w:val="-5"/>
          <w:sz w:val="21"/>
          <w:szCs w:val="21"/>
          <w:highlight w:val="none"/>
        </w:rPr>
        <w:t>划和其他管理计划，</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其中其他管理计划宜包括治</w:t>
      </w:r>
      <w:r>
        <w:rPr>
          <w:rFonts w:ascii="宋体" w:hAnsi="宋体" w:eastAsia="宋体" w:cs="宋体"/>
          <w:color w:val="auto"/>
          <w:spacing w:val="-6"/>
          <w:sz w:val="21"/>
          <w:szCs w:val="21"/>
          <w:highlight w:val="none"/>
        </w:rPr>
        <w:t>安保卫管理计划、合同管理计划，</w:t>
      </w:r>
      <w:r>
        <w:rPr>
          <w:rFonts w:ascii="宋体" w:hAnsi="宋体" w:eastAsia="宋体" w:cs="宋体"/>
          <w:color w:val="auto"/>
          <w:sz w:val="21"/>
          <w:szCs w:val="21"/>
          <w:highlight w:val="none"/>
        </w:rPr>
        <w:t xml:space="preserve"> 组织协调管理计划、创优质工程管理计划、成品保护管理计划、质量保修管理计</w:t>
      </w:r>
    </w:p>
    <w:p w14:paraId="6465F058">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划、对施工现场人力资源、施工机具、材料设备等管理计</w:t>
      </w:r>
      <w:r>
        <w:rPr>
          <w:rFonts w:ascii="宋体" w:hAnsi="宋体" w:eastAsia="宋体" w:cs="宋体"/>
          <w:color w:val="auto"/>
          <w:spacing w:val="-2"/>
          <w:sz w:val="21"/>
          <w:szCs w:val="21"/>
          <w:highlight w:val="none"/>
        </w:rPr>
        <w:t>划。</w:t>
      </w:r>
    </w:p>
    <w:p w14:paraId="0F6ABCE9">
      <w:pPr>
        <w:spacing w:line="219" w:lineRule="auto"/>
        <w:rPr>
          <w:rFonts w:ascii="宋体" w:hAnsi="宋体" w:eastAsia="宋体" w:cs="宋体"/>
          <w:color w:val="auto"/>
          <w:sz w:val="21"/>
          <w:szCs w:val="21"/>
          <w:highlight w:val="none"/>
        </w:rPr>
        <w:sectPr>
          <w:footerReference r:id="rId187" w:type="default"/>
          <w:pgSz w:w="11905" w:h="16839"/>
          <w:pgMar w:top="400" w:right="1597" w:bottom="1004" w:left="1785" w:header="0" w:footer="828" w:gutter="0"/>
          <w:pgNumType w:fmt="decimal"/>
          <w:cols w:space="720" w:num="1"/>
        </w:sectPr>
      </w:pPr>
    </w:p>
    <w:p w14:paraId="59C0025E">
      <w:pPr>
        <w:pStyle w:val="5"/>
        <w:spacing w:line="281" w:lineRule="auto"/>
        <w:rPr>
          <w:color w:val="auto"/>
          <w:highlight w:val="none"/>
        </w:rPr>
      </w:pPr>
    </w:p>
    <w:p w14:paraId="2BB5DF85">
      <w:pPr>
        <w:pStyle w:val="5"/>
        <w:spacing w:line="281" w:lineRule="auto"/>
        <w:rPr>
          <w:color w:val="auto"/>
          <w:highlight w:val="none"/>
        </w:rPr>
      </w:pPr>
    </w:p>
    <w:p w14:paraId="24788770">
      <w:pPr>
        <w:pStyle w:val="5"/>
        <w:spacing w:line="281" w:lineRule="auto"/>
        <w:rPr>
          <w:color w:val="auto"/>
          <w:highlight w:val="none"/>
        </w:rPr>
      </w:pPr>
    </w:p>
    <w:p w14:paraId="2D1C631A">
      <w:pPr>
        <w:pStyle w:val="5"/>
        <w:spacing w:line="281" w:lineRule="auto"/>
        <w:rPr>
          <w:color w:val="auto"/>
          <w:highlight w:val="none"/>
        </w:rPr>
      </w:pPr>
    </w:p>
    <w:p w14:paraId="4A433E8F">
      <w:pPr>
        <w:spacing w:before="68" w:line="418" w:lineRule="exact"/>
        <w:ind w:right="8"/>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2．施工组织设计除采用文字表述外可附下列图表，图表及格式要求附后。下述表格应</w:t>
      </w:r>
    </w:p>
    <w:p w14:paraId="7FC989AE">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按照章节内容，严格按给定的格式附在相应的章节中。</w:t>
      </w:r>
    </w:p>
    <w:p w14:paraId="34B58CA5">
      <w:pPr>
        <w:spacing w:line="172" w:lineRule="exact"/>
        <w:rPr>
          <w:color w:val="auto"/>
          <w:highlight w:val="none"/>
        </w:rPr>
      </w:pPr>
    </w:p>
    <w:tbl>
      <w:tblPr>
        <w:tblStyle w:val="17"/>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0B9FA2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746FDFA3">
            <w:pPr>
              <w:pStyle w:val="18"/>
              <w:spacing w:line="219" w:lineRule="auto"/>
              <w:rPr>
                <w:color w:val="auto"/>
                <w:highlight w:val="none"/>
              </w:rPr>
            </w:pPr>
            <w:r>
              <w:rPr>
                <w:color w:val="auto"/>
                <w:spacing w:val="-4"/>
                <w:highlight w:val="none"/>
              </w:rPr>
              <w:t>附表一</w:t>
            </w:r>
          </w:p>
        </w:tc>
        <w:tc>
          <w:tcPr>
            <w:tcW w:w="3673" w:type="dxa"/>
            <w:vAlign w:val="top"/>
          </w:tcPr>
          <w:p w14:paraId="4A77410F">
            <w:pPr>
              <w:pStyle w:val="18"/>
              <w:spacing w:line="219" w:lineRule="auto"/>
              <w:ind w:left="110"/>
              <w:rPr>
                <w:color w:val="auto"/>
                <w:highlight w:val="none"/>
              </w:rPr>
            </w:pPr>
            <w:r>
              <w:rPr>
                <w:color w:val="auto"/>
                <w:spacing w:val="-1"/>
                <w:highlight w:val="none"/>
              </w:rPr>
              <w:t>拟投入本工程的主要施工设备表</w:t>
            </w:r>
          </w:p>
        </w:tc>
      </w:tr>
      <w:tr w14:paraId="4443BF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0836E81F">
            <w:pPr>
              <w:pStyle w:val="18"/>
              <w:spacing w:before="103" w:line="220" w:lineRule="auto"/>
              <w:rPr>
                <w:color w:val="auto"/>
                <w:highlight w:val="none"/>
              </w:rPr>
            </w:pPr>
            <w:r>
              <w:rPr>
                <w:color w:val="auto"/>
                <w:spacing w:val="-5"/>
                <w:highlight w:val="none"/>
              </w:rPr>
              <w:t>附表二</w:t>
            </w:r>
          </w:p>
        </w:tc>
        <w:tc>
          <w:tcPr>
            <w:tcW w:w="3673" w:type="dxa"/>
            <w:vAlign w:val="top"/>
          </w:tcPr>
          <w:p w14:paraId="7661407A">
            <w:pPr>
              <w:pStyle w:val="18"/>
              <w:spacing w:before="103" w:line="220" w:lineRule="auto"/>
              <w:jc w:val="right"/>
              <w:rPr>
                <w:color w:val="auto"/>
                <w:highlight w:val="none"/>
              </w:rPr>
            </w:pPr>
            <w:r>
              <w:rPr>
                <w:color w:val="auto"/>
                <w:spacing w:val="-1"/>
                <w:highlight w:val="none"/>
              </w:rPr>
              <w:t>拟配备本工程的试验和检测仪器设备表</w:t>
            </w:r>
          </w:p>
        </w:tc>
      </w:tr>
      <w:tr w14:paraId="259F79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5386DE02">
            <w:pPr>
              <w:pStyle w:val="18"/>
              <w:spacing w:before="105" w:line="220" w:lineRule="auto"/>
              <w:rPr>
                <w:color w:val="auto"/>
                <w:highlight w:val="none"/>
              </w:rPr>
            </w:pPr>
            <w:r>
              <w:rPr>
                <w:color w:val="auto"/>
                <w:spacing w:val="-5"/>
                <w:highlight w:val="none"/>
              </w:rPr>
              <w:t>附表三</w:t>
            </w:r>
          </w:p>
        </w:tc>
        <w:tc>
          <w:tcPr>
            <w:tcW w:w="3673" w:type="dxa"/>
            <w:vAlign w:val="top"/>
          </w:tcPr>
          <w:p w14:paraId="33B43E69">
            <w:pPr>
              <w:pStyle w:val="18"/>
              <w:spacing w:before="105" w:line="221" w:lineRule="auto"/>
              <w:ind w:left="115"/>
              <w:rPr>
                <w:color w:val="auto"/>
                <w:highlight w:val="none"/>
              </w:rPr>
            </w:pPr>
            <w:r>
              <w:rPr>
                <w:color w:val="auto"/>
                <w:spacing w:val="-3"/>
                <w:highlight w:val="none"/>
              </w:rPr>
              <w:t>劳动力计划表</w:t>
            </w:r>
          </w:p>
        </w:tc>
      </w:tr>
      <w:tr w14:paraId="2F2A80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423ADB6">
            <w:pPr>
              <w:pStyle w:val="18"/>
              <w:spacing w:before="103" w:line="220" w:lineRule="auto"/>
              <w:rPr>
                <w:color w:val="auto"/>
                <w:highlight w:val="none"/>
              </w:rPr>
            </w:pPr>
            <w:r>
              <w:rPr>
                <w:color w:val="auto"/>
                <w:spacing w:val="-5"/>
                <w:highlight w:val="none"/>
              </w:rPr>
              <w:t>附表四</w:t>
            </w:r>
          </w:p>
        </w:tc>
        <w:tc>
          <w:tcPr>
            <w:tcW w:w="3673" w:type="dxa"/>
            <w:vAlign w:val="top"/>
          </w:tcPr>
          <w:p w14:paraId="26E5DBC6">
            <w:pPr>
              <w:pStyle w:val="18"/>
              <w:spacing w:before="103" w:line="221" w:lineRule="auto"/>
              <w:ind w:left="110"/>
              <w:rPr>
                <w:color w:val="auto"/>
                <w:highlight w:val="none"/>
              </w:rPr>
            </w:pPr>
            <w:r>
              <w:rPr>
                <w:color w:val="auto"/>
                <w:spacing w:val="-1"/>
                <w:highlight w:val="none"/>
              </w:rPr>
              <w:t>计划开、竣工日期和施工进度网络图</w:t>
            </w:r>
          </w:p>
        </w:tc>
      </w:tr>
      <w:tr w14:paraId="488DD1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1B23CC18">
            <w:pPr>
              <w:pStyle w:val="18"/>
              <w:spacing w:before="105" w:line="220" w:lineRule="auto"/>
              <w:rPr>
                <w:color w:val="auto"/>
                <w:highlight w:val="none"/>
              </w:rPr>
            </w:pPr>
            <w:r>
              <w:rPr>
                <w:color w:val="auto"/>
                <w:spacing w:val="-5"/>
                <w:highlight w:val="none"/>
              </w:rPr>
              <w:t>附表五</w:t>
            </w:r>
          </w:p>
        </w:tc>
        <w:tc>
          <w:tcPr>
            <w:tcW w:w="3673" w:type="dxa"/>
            <w:vAlign w:val="top"/>
          </w:tcPr>
          <w:p w14:paraId="0D79F5FD">
            <w:pPr>
              <w:pStyle w:val="18"/>
              <w:spacing w:before="106" w:line="222" w:lineRule="auto"/>
              <w:ind w:left="109"/>
              <w:rPr>
                <w:color w:val="auto"/>
                <w:highlight w:val="none"/>
              </w:rPr>
            </w:pPr>
            <w:r>
              <w:rPr>
                <w:color w:val="auto"/>
                <w:spacing w:val="-2"/>
                <w:highlight w:val="none"/>
              </w:rPr>
              <w:t>施工总平面图</w:t>
            </w:r>
          </w:p>
        </w:tc>
      </w:tr>
      <w:tr w14:paraId="53BFB3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7A48EC0D">
            <w:pPr>
              <w:pStyle w:val="18"/>
              <w:spacing w:before="103" w:line="177" w:lineRule="auto"/>
              <w:rPr>
                <w:color w:val="auto"/>
                <w:highlight w:val="none"/>
              </w:rPr>
            </w:pPr>
            <w:r>
              <w:rPr>
                <w:color w:val="auto"/>
                <w:spacing w:val="-5"/>
                <w:highlight w:val="none"/>
              </w:rPr>
              <w:t>附表六</w:t>
            </w:r>
          </w:p>
        </w:tc>
        <w:tc>
          <w:tcPr>
            <w:tcW w:w="3673" w:type="dxa"/>
            <w:vAlign w:val="top"/>
          </w:tcPr>
          <w:p w14:paraId="225E9AE4">
            <w:pPr>
              <w:pStyle w:val="18"/>
              <w:spacing w:before="103" w:line="177" w:lineRule="auto"/>
              <w:ind w:left="122"/>
              <w:rPr>
                <w:color w:val="auto"/>
                <w:highlight w:val="none"/>
              </w:rPr>
            </w:pPr>
            <w:r>
              <w:rPr>
                <w:color w:val="auto"/>
                <w:spacing w:val="-4"/>
                <w:highlight w:val="none"/>
              </w:rPr>
              <w:t>临时用地表</w:t>
            </w:r>
          </w:p>
        </w:tc>
      </w:tr>
    </w:tbl>
    <w:p w14:paraId="2C368E41">
      <w:pPr>
        <w:pStyle w:val="5"/>
        <w:rPr>
          <w:color w:val="auto"/>
          <w:highlight w:val="none"/>
        </w:rPr>
      </w:pPr>
    </w:p>
    <w:p w14:paraId="00664351">
      <w:pPr>
        <w:rPr>
          <w:color w:val="auto"/>
          <w:highlight w:val="none"/>
        </w:rPr>
        <w:sectPr>
          <w:footerReference r:id="rId188" w:type="default"/>
          <w:pgSz w:w="11905" w:h="16839"/>
          <w:pgMar w:top="400" w:right="1785" w:bottom="1004" w:left="1785" w:header="0" w:footer="828" w:gutter="0"/>
          <w:pgNumType w:fmt="decimal"/>
          <w:cols w:space="720" w:num="1"/>
        </w:sectPr>
      </w:pPr>
    </w:p>
    <w:p w14:paraId="186DDABA">
      <w:pPr>
        <w:pStyle w:val="5"/>
        <w:spacing w:line="267" w:lineRule="auto"/>
        <w:rPr>
          <w:color w:val="auto"/>
          <w:highlight w:val="none"/>
        </w:rPr>
      </w:pPr>
    </w:p>
    <w:p w14:paraId="60938D7D">
      <w:pPr>
        <w:pStyle w:val="5"/>
        <w:spacing w:line="267" w:lineRule="auto"/>
        <w:rPr>
          <w:color w:val="auto"/>
          <w:highlight w:val="none"/>
        </w:rPr>
      </w:pPr>
    </w:p>
    <w:p w14:paraId="1568C17C">
      <w:pPr>
        <w:pStyle w:val="5"/>
        <w:spacing w:line="268" w:lineRule="auto"/>
        <w:rPr>
          <w:color w:val="auto"/>
          <w:highlight w:val="none"/>
        </w:rPr>
      </w:pPr>
    </w:p>
    <w:p w14:paraId="032D0AD7">
      <w:pPr>
        <w:pStyle w:val="5"/>
        <w:spacing w:line="268" w:lineRule="auto"/>
        <w:rPr>
          <w:color w:val="auto"/>
          <w:highlight w:val="none"/>
        </w:rPr>
      </w:pPr>
    </w:p>
    <w:p w14:paraId="4E8FCC35">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附表一：拟投入本工程的主要施工设备表</w:t>
      </w:r>
    </w:p>
    <w:tbl>
      <w:tblPr>
        <w:tblStyle w:val="17"/>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19262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0A23BB3A">
            <w:pPr>
              <w:pStyle w:val="18"/>
              <w:spacing w:before="210" w:line="211" w:lineRule="auto"/>
              <w:ind w:left="7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032" w:type="dxa"/>
            <w:vAlign w:val="top"/>
          </w:tcPr>
          <w:p w14:paraId="0FD00638">
            <w:pPr>
              <w:pStyle w:val="18"/>
              <w:spacing w:before="71" w:line="232" w:lineRule="auto"/>
              <w:ind w:left="415" w:right="195" w:hanging="206"/>
              <w:rPr>
                <w:color w:val="auto"/>
                <w:highlight w:val="none"/>
              </w:rPr>
            </w:pPr>
            <w:r>
              <w:rPr>
                <w:color w:val="auto"/>
                <w:spacing w:val="-3"/>
                <w:highlight w:val="none"/>
              </w:rPr>
              <w:t>设备名</w:t>
            </w:r>
            <w:r>
              <w:rPr>
                <w:color w:val="auto"/>
                <w:highlight w:val="none"/>
              </w:rPr>
              <w:t xml:space="preserve"> 称</w:t>
            </w:r>
          </w:p>
        </w:tc>
        <w:tc>
          <w:tcPr>
            <w:tcW w:w="657" w:type="dxa"/>
            <w:vAlign w:val="top"/>
          </w:tcPr>
          <w:p w14:paraId="5E5637B1">
            <w:pPr>
              <w:pStyle w:val="18"/>
              <w:spacing w:before="71" w:line="231" w:lineRule="auto"/>
              <w:ind w:left="125" w:right="113"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989" w:type="dxa"/>
            <w:vAlign w:val="top"/>
          </w:tcPr>
          <w:p w14:paraId="12EA4774">
            <w:pPr>
              <w:pStyle w:val="18"/>
              <w:spacing w:before="211" w:line="221" w:lineRule="auto"/>
              <w:ind w:left="189"/>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696" w:type="dxa"/>
            <w:vAlign w:val="top"/>
          </w:tcPr>
          <w:p w14:paraId="40F2C7D9">
            <w:pPr>
              <w:pStyle w:val="18"/>
              <w:spacing w:before="71" w:line="231" w:lineRule="auto"/>
              <w:ind w:left="144" w:right="132" w:firstLine="20"/>
              <w:rPr>
                <w:color w:val="auto"/>
                <w:highlight w:val="none"/>
              </w:rPr>
            </w:pPr>
            <w:r>
              <w:rPr>
                <w:color w:val="auto"/>
                <w:spacing w:val="-14"/>
                <w:highlight w:val="none"/>
              </w:rPr>
              <w:t>国别</w:t>
            </w:r>
            <w:r>
              <w:rPr>
                <w:color w:val="auto"/>
                <w:highlight w:val="none"/>
              </w:rPr>
              <w:t xml:space="preserve"> </w:t>
            </w:r>
            <w:r>
              <w:rPr>
                <w:color w:val="auto"/>
                <w:spacing w:val="-3"/>
                <w:highlight w:val="none"/>
              </w:rPr>
              <w:t>产地</w:t>
            </w:r>
          </w:p>
        </w:tc>
        <w:tc>
          <w:tcPr>
            <w:tcW w:w="691" w:type="dxa"/>
            <w:vAlign w:val="top"/>
          </w:tcPr>
          <w:p w14:paraId="1869553B">
            <w:pPr>
              <w:pStyle w:val="18"/>
              <w:spacing w:before="71" w:line="231" w:lineRule="auto"/>
              <w:ind w:left="146" w:right="126"/>
              <w:rPr>
                <w:color w:val="auto"/>
                <w:highlight w:val="none"/>
              </w:rPr>
            </w:pPr>
            <w:r>
              <w:rPr>
                <w:color w:val="auto"/>
                <w:spacing w:val="-4"/>
                <w:highlight w:val="none"/>
              </w:rPr>
              <w:t>制造</w:t>
            </w:r>
            <w:r>
              <w:rPr>
                <w:color w:val="auto"/>
                <w:highlight w:val="none"/>
              </w:rPr>
              <w:t xml:space="preserve"> </w:t>
            </w:r>
            <w:r>
              <w:rPr>
                <w:color w:val="auto"/>
                <w:spacing w:val="-4"/>
                <w:highlight w:val="none"/>
              </w:rPr>
              <w:t>年份</w:t>
            </w:r>
          </w:p>
        </w:tc>
        <w:tc>
          <w:tcPr>
            <w:tcW w:w="1161" w:type="dxa"/>
            <w:vAlign w:val="top"/>
          </w:tcPr>
          <w:p w14:paraId="17B9E843">
            <w:pPr>
              <w:pStyle w:val="18"/>
              <w:spacing w:before="72" w:line="237" w:lineRule="auto"/>
              <w:ind w:left="276" w:right="154" w:hanging="112"/>
              <w:rPr>
                <w:color w:val="auto"/>
                <w:highlight w:val="none"/>
              </w:rPr>
            </w:pPr>
            <w:r>
              <w:rPr>
                <w:color w:val="auto"/>
                <w:spacing w:val="-1"/>
                <w:highlight w:val="none"/>
              </w:rPr>
              <w:t>额定功率</w:t>
            </w:r>
            <w:r>
              <w:rPr>
                <w:color w:val="auto"/>
                <w:highlight w:val="none"/>
              </w:rPr>
              <w:t xml:space="preserve"> </w:t>
            </w:r>
            <w:r>
              <w:rPr>
                <w:color w:val="auto"/>
                <w:spacing w:val="-4"/>
                <w:highlight w:val="none"/>
              </w:rPr>
              <w:t>（KW）</w:t>
            </w:r>
          </w:p>
        </w:tc>
        <w:tc>
          <w:tcPr>
            <w:tcW w:w="845" w:type="dxa"/>
            <w:vAlign w:val="top"/>
          </w:tcPr>
          <w:p w14:paraId="3646C7B4">
            <w:pPr>
              <w:pStyle w:val="18"/>
              <w:spacing w:before="72" w:line="241" w:lineRule="auto"/>
              <w:ind w:left="224"/>
              <w:rPr>
                <w:color w:val="auto"/>
                <w:highlight w:val="none"/>
              </w:rPr>
            </w:pPr>
            <w:r>
              <w:rPr>
                <w:color w:val="auto"/>
                <w:spacing w:val="-2"/>
                <w:highlight w:val="none"/>
              </w:rPr>
              <w:t>生产</w:t>
            </w:r>
          </w:p>
          <w:p w14:paraId="7DE24416">
            <w:pPr>
              <w:pStyle w:val="18"/>
              <w:spacing w:line="220" w:lineRule="auto"/>
              <w:ind w:left="231"/>
              <w:rPr>
                <w:color w:val="auto"/>
                <w:highlight w:val="none"/>
              </w:rPr>
            </w:pPr>
            <w:r>
              <w:rPr>
                <w:color w:val="auto"/>
                <w:spacing w:val="-4"/>
                <w:highlight w:val="none"/>
              </w:rPr>
              <w:t>能力</w:t>
            </w:r>
          </w:p>
        </w:tc>
        <w:tc>
          <w:tcPr>
            <w:tcW w:w="849" w:type="dxa"/>
            <w:vAlign w:val="top"/>
          </w:tcPr>
          <w:p w14:paraId="698C054D">
            <w:pPr>
              <w:pStyle w:val="18"/>
              <w:spacing w:before="71" w:line="231" w:lineRule="auto"/>
              <w:ind w:left="119" w:right="100"/>
              <w:rPr>
                <w:color w:val="auto"/>
                <w:highlight w:val="none"/>
              </w:rPr>
            </w:pPr>
            <w:r>
              <w:rPr>
                <w:color w:val="auto"/>
                <w:spacing w:val="-3"/>
                <w:highlight w:val="none"/>
              </w:rPr>
              <w:t>用于施</w:t>
            </w:r>
            <w:r>
              <w:rPr>
                <w:color w:val="auto"/>
                <w:spacing w:val="1"/>
                <w:highlight w:val="none"/>
              </w:rPr>
              <w:t xml:space="preserve"> </w:t>
            </w:r>
            <w:r>
              <w:rPr>
                <w:color w:val="auto"/>
                <w:spacing w:val="-3"/>
                <w:highlight w:val="none"/>
              </w:rPr>
              <w:t>工部位</w:t>
            </w:r>
          </w:p>
        </w:tc>
        <w:tc>
          <w:tcPr>
            <w:tcW w:w="753" w:type="dxa"/>
            <w:vAlign w:val="top"/>
          </w:tcPr>
          <w:p w14:paraId="6B25CEF3">
            <w:pPr>
              <w:pStyle w:val="18"/>
              <w:spacing w:before="211" w:line="222" w:lineRule="auto"/>
              <w:ind w:left="179"/>
              <w:rPr>
                <w:color w:val="auto"/>
                <w:highlight w:val="none"/>
              </w:rPr>
            </w:pPr>
            <w:r>
              <w:rPr>
                <w:color w:val="auto"/>
                <w:spacing w:val="-3"/>
                <w:highlight w:val="none"/>
              </w:rPr>
              <w:t>备注</w:t>
            </w:r>
          </w:p>
        </w:tc>
      </w:tr>
      <w:tr w14:paraId="26E7B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9856E3E">
            <w:pPr>
              <w:rPr>
                <w:rFonts w:ascii="Arial"/>
                <w:color w:val="auto"/>
                <w:sz w:val="21"/>
                <w:highlight w:val="none"/>
              </w:rPr>
            </w:pPr>
          </w:p>
        </w:tc>
        <w:tc>
          <w:tcPr>
            <w:tcW w:w="1032" w:type="dxa"/>
            <w:vAlign w:val="top"/>
          </w:tcPr>
          <w:p w14:paraId="55217CAE">
            <w:pPr>
              <w:rPr>
                <w:rFonts w:ascii="Arial"/>
                <w:color w:val="auto"/>
                <w:sz w:val="21"/>
                <w:highlight w:val="none"/>
              </w:rPr>
            </w:pPr>
          </w:p>
        </w:tc>
        <w:tc>
          <w:tcPr>
            <w:tcW w:w="657" w:type="dxa"/>
            <w:vAlign w:val="top"/>
          </w:tcPr>
          <w:p w14:paraId="1C3AEFC6">
            <w:pPr>
              <w:rPr>
                <w:rFonts w:ascii="Arial"/>
                <w:color w:val="auto"/>
                <w:sz w:val="21"/>
                <w:highlight w:val="none"/>
              </w:rPr>
            </w:pPr>
          </w:p>
        </w:tc>
        <w:tc>
          <w:tcPr>
            <w:tcW w:w="989" w:type="dxa"/>
            <w:vAlign w:val="top"/>
          </w:tcPr>
          <w:p w14:paraId="3DC44078">
            <w:pPr>
              <w:rPr>
                <w:rFonts w:ascii="Arial"/>
                <w:color w:val="auto"/>
                <w:sz w:val="21"/>
                <w:highlight w:val="none"/>
              </w:rPr>
            </w:pPr>
          </w:p>
        </w:tc>
        <w:tc>
          <w:tcPr>
            <w:tcW w:w="696" w:type="dxa"/>
            <w:vAlign w:val="top"/>
          </w:tcPr>
          <w:p w14:paraId="276E8363">
            <w:pPr>
              <w:rPr>
                <w:rFonts w:ascii="Arial"/>
                <w:color w:val="auto"/>
                <w:sz w:val="21"/>
                <w:highlight w:val="none"/>
              </w:rPr>
            </w:pPr>
          </w:p>
        </w:tc>
        <w:tc>
          <w:tcPr>
            <w:tcW w:w="691" w:type="dxa"/>
            <w:vAlign w:val="top"/>
          </w:tcPr>
          <w:p w14:paraId="2FCFB54F">
            <w:pPr>
              <w:rPr>
                <w:rFonts w:ascii="Arial"/>
                <w:color w:val="auto"/>
                <w:sz w:val="21"/>
                <w:highlight w:val="none"/>
              </w:rPr>
            </w:pPr>
          </w:p>
        </w:tc>
        <w:tc>
          <w:tcPr>
            <w:tcW w:w="1161" w:type="dxa"/>
            <w:vAlign w:val="top"/>
          </w:tcPr>
          <w:p w14:paraId="0D20B631">
            <w:pPr>
              <w:rPr>
                <w:rFonts w:ascii="Arial"/>
                <w:color w:val="auto"/>
                <w:sz w:val="21"/>
                <w:highlight w:val="none"/>
              </w:rPr>
            </w:pPr>
          </w:p>
        </w:tc>
        <w:tc>
          <w:tcPr>
            <w:tcW w:w="845" w:type="dxa"/>
            <w:vAlign w:val="top"/>
          </w:tcPr>
          <w:p w14:paraId="2395EE18">
            <w:pPr>
              <w:rPr>
                <w:rFonts w:ascii="Arial"/>
                <w:color w:val="auto"/>
                <w:sz w:val="21"/>
                <w:highlight w:val="none"/>
              </w:rPr>
            </w:pPr>
          </w:p>
        </w:tc>
        <w:tc>
          <w:tcPr>
            <w:tcW w:w="849" w:type="dxa"/>
            <w:vAlign w:val="top"/>
          </w:tcPr>
          <w:p w14:paraId="7C746698">
            <w:pPr>
              <w:rPr>
                <w:rFonts w:ascii="Arial"/>
                <w:color w:val="auto"/>
                <w:sz w:val="21"/>
                <w:highlight w:val="none"/>
              </w:rPr>
            </w:pPr>
          </w:p>
        </w:tc>
        <w:tc>
          <w:tcPr>
            <w:tcW w:w="753" w:type="dxa"/>
            <w:vAlign w:val="top"/>
          </w:tcPr>
          <w:p w14:paraId="5671D45C">
            <w:pPr>
              <w:rPr>
                <w:rFonts w:ascii="Arial"/>
                <w:color w:val="auto"/>
                <w:sz w:val="21"/>
                <w:highlight w:val="none"/>
              </w:rPr>
            </w:pPr>
          </w:p>
        </w:tc>
      </w:tr>
      <w:tr w14:paraId="580B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535893C">
            <w:pPr>
              <w:rPr>
                <w:rFonts w:ascii="Arial"/>
                <w:color w:val="auto"/>
                <w:sz w:val="21"/>
                <w:highlight w:val="none"/>
              </w:rPr>
            </w:pPr>
          </w:p>
        </w:tc>
        <w:tc>
          <w:tcPr>
            <w:tcW w:w="1032" w:type="dxa"/>
            <w:vAlign w:val="top"/>
          </w:tcPr>
          <w:p w14:paraId="78E1C7B2">
            <w:pPr>
              <w:rPr>
                <w:rFonts w:ascii="Arial"/>
                <w:color w:val="auto"/>
                <w:sz w:val="21"/>
                <w:highlight w:val="none"/>
              </w:rPr>
            </w:pPr>
          </w:p>
        </w:tc>
        <w:tc>
          <w:tcPr>
            <w:tcW w:w="657" w:type="dxa"/>
            <w:vAlign w:val="top"/>
          </w:tcPr>
          <w:p w14:paraId="6365466D">
            <w:pPr>
              <w:rPr>
                <w:rFonts w:ascii="Arial"/>
                <w:color w:val="auto"/>
                <w:sz w:val="21"/>
                <w:highlight w:val="none"/>
              </w:rPr>
            </w:pPr>
          </w:p>
        </w:tc>
        <w:tc>
          <w:tcPr>
            <w:tcW w:w="989" w:type="dxa"/>
            <w:vAlign w:val="top"/>
          </w:tcPr>
          <w:p w14:paraId="42B62DEF">
            <w:pPr>
              <w:rPr>
                <w:rFonts w:ascii="Arial"/>
                <w:color w:val="auto"/>
                <w:sz w:val="21"/>
                <w:highlight w:val="none"/>
              </w:rPr>
            </w:pPr>
          </w:p>
        </w:tc>
        <w:tc>
          <w:tcPr>
            <w:tcW w:w="696" w:type="dxa"/>
            <w:vAlign w:val="top"/>
          </w:tcPr>
          <w:p w14:paraId="23F4F0A0">
            <w:pPr>
              <w:rPr>
                <w:rFonts w:ascii="Arial"/>
                <w:color w:val="auto"/>
                <w:sz w:val="21"/>
                <w:highlight w:val="none"/>
              </w:rPr>
            </w:pPr>
          </w:p>
        </w:tc>
        <w:tc>
          <w:tcPr>
            <w:tcW w:w="691" w:type="dxa"/>
            <w:vAlign w:val="top"/>
          </w:tcPr>
          <w:p w14:paraId="3A2DFA9E">
            <w:pPr>
              <w:rPr>
                <w:rFonts w:ascii="Arial"/>
                <w:color w:val="auto"/>
                <w:sz w:val="21"/>
                <w:highlight w:val="none"/>
              </w:rPr>
            </w:pPr>
          </w:p>
        </w:tc>
        <w:tc>
          <w:tcPr>
            <w:tcW w:w="1161" w:type="dxa"/>
            <w:vAlign w:val="top"/>
          </w:tcPr>
          <w:p w14:paraId="5CB48297">
            <w:pPr>
              <w:rPr>
                <w:rFonts w:ascii="Arial"/>
                <w:color w:val="auto"/>
                <w:sz w:val="21"/>
                <w:highlight w:val="none"/>
              </w:rPr>
            </w:pPr>
          </w:p>
        </w:tc>
        <w:tc>
          <w:tcPr>
            <w:tcW w:w="845" w:type="dxa"/>
            <w:vAlign w:val="top"/>
          </w:tcPr>
          <w:p w14:paraId="3518BF85">
            <w:pPr>
              <w:rPr>
                <w:rFonts w:ascii="Arial"/>
                <w:color w:val="auto"/>
                <w:sz w:val="21"/>
                <w:highlight w:val="none"/>
              </w:rPr>
            </w:pPr>
          </w:p>
        </w:tc>
        <w:tc>
          <w:tcPr>
            <w:tcW w:w="849" w:type="dxa"/>
            <w:vAlign w:val="top"/>
          </w:tcPr>
          <w:p w14:paraId="20F71F93">
            <w:pPr>
              <w:rPr>
                <w:rFonts w:ascii="Arial"/>
                <w:color w:val="auto"/>
                <w:sz w:val="21"/>
                <w:highlight w:val="none"/>
              </w:rPr>
            </w:pPr>
          </w:p>
        </w:tc>
        <w:tc>
          <w:tcPr>
            <w:tcW w:w="753" w:type="dxa"/>
            <w:vAlign w:val="top"/>
          </w:tcPr>
          <w:p w14:paraId="33B5C96F">
            <w:pPr>
              <w:rPr>
                <w:rFonts w:ascii="Arial"/>
                <w:color w:val="auto"/>
                <w:sz w:val="21"/>
                <w:highlight w:val="none"/>
              </w:rPr>
            </w:pPr>
          </w:p>
        </w:tc>
      </w:tr>
      <w:tr w14:paraId="13F0B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4F1D103">
            <w:pPr>
              <w:rPr>
                <w:rFonts w:ascii="Arial"/>
                <w:color w:val="auto"/>
                <w:sz w:val="21"/>
                <w:highlight w:val="none"/>
              </w:rPr>
            </w:pPr>
          </w:p>
        </w:tc>
        <w:tc>
          <w:tcPr>
            <w:tcW w:w="1032" w:type="dxa"/>
            <w:vAlign w:val="top"/>
          </w:tcPr>
          <w:p w14:paraId="4A322258">
            <w:pPr>
              <w:rPr>
                <w:rFonts w:ascii="Arial"/>
                <w:color w:val="auto"/>
                <w:sz w:val="21"/>
                <w:highlight w:val="none"/>
              </w:rPr>
            </w:pPr>
          </w:p>
        </w:tc>
        <w:tc>
          <w:tcPr>
            <w:tcW w:w="657" w:type="dxa"/>
            <w:vAlign w:val="top"/>
          </w:tcPr>
          <w:p w14:paraId="66963B76">
            <w:pPr>
              <w:rPr>
                <w:rFonts w:ascii="Arial"/>
                <w:color w:val="auto"/>
                <w:sz w:val="21"/>
                <w:highlight w:val="none"/>
              </w:rPr>
            </w:pPr>
          </w:p>
        </w:tc>
        <w:tc>
          <w:tcPr>
            <w:tcW w:w="989" w:type="dxa"/>
            <w:vAlign w:val="top"/>
          </w:tcPr>
          <w:p w14:paraId="2478FA38">
            <w:pPr>
              <w:rPr>
                <w:rFonts w:ascii="Arial"/>
                <w:color w:val="auto"/>
                <w:sz w:val="21"/>
                <w:highlight w:val="none"/>
              </w:rPr>
            </w:pPr>
          </w:p>
        </w:tc>
        <w:tc>
          <w:tcPr>
            <w:tcW w:w="696" w:type="dxa"/>
            <w:vAlign w:val="top"/>
          </w:tcPr>
          <w:p w14:paraId="556ADB87">
            <w:pPr>
              <w:rPr>
                <w:rFonts w:ascii="Arial"/>
                <w:color w:val="auto"/>
                <w:sz w:val="21"/>
                <w:highlight w:val="none"/>
              </w:rPr>
            </w:pPr>
          </w:p>
        </w:tc>
        <w:tc>
          <w:tcPr>
            <w:tcW w:w="691" w:type="dxa"/>
            <w:vAlign w:val="top"/>
          </w:tcPr>
          <w:p w14:paraId="3038364C">
            <w:pPr>
              <w:rPr>
                <w:rFonts w:ascii="Arial"/>
                <w:color w:val="auto"/>
                <w:sz w:val="21"/>
                <w:highlight w:val="none"/>
              </w:rPr>
            </w:pPr>
          </w:p>
        </w:tc>
        <w:tc>
          <w:tcPr>
            <w:tcW w:w="1161" w:type="dxa"/>
            <w:vAlign w:val="top"/>
          </w:tcPr>
          <w:p w14:paraId="5E2D6413">
            <w:pPr>
              <w:rPr>
                <w:rFonts w:ascii="Arial"/>
                <w:color w:val="auto"/>
                <w:sz w:val="21"/>
                <w:highlight w:val="none"/>
              </w:rPr>
            </w:pPr>
          </w:p>
        </w:tc>
        <w:tc>
          <w:tcPr>
            <w:tcW w:w="845" w:type="dxa"/>
            <w:vAlign w:val="top"/>
          </w:tcPr>
          <w:p w14:paraId="28FC7B01">
            <w:pPr>
              <w:rPr>
                <w:rFonts w:ascii="Arial"/>
                <w:color w:val="auto"/>
                <w:sz w:val="21"/>
                <w:highlight w:val="none"/>
              </w:rPr>
            </w:pPr>
          </w:p>
        </w:tc>
        <w:tc>
          <w:tcPr>
            <w:tcW w:w="849" w:type="dxa"/>
            <w:vAlign w:val="top"/>
          </w:tcPr>
          <w:p w14:paraId="0158CBBB">
            <w:pPr>
              <w:rPr>
                <w:rFonts w:ascii="Arial"/>
                <w:color w:val="auto"/>
                <w:sz w:val="21"/>
                <w:highlight w:val="none"/>
              </w:rPr>
            </w:pPr>
          </w:p>
        </w:tc>
        <w:tc>
          <w:tcPr>
            <w:tcW w:w="753" w:type="dxa"/>
            <w:vAlign w:val="top"/>
          </w:tcPr>
          <w:p w14:paraId="48725F4F">
            <w:pPr>
              <w:rPr>
                <w:rFonts w:ascii="Arial"/>
                <w:color w:val="auto"/>
                <w:sz w:val="21"/>
                <w:highlight w:val="none"/>
              </w:rPr>
            </w:pPr>
          </w:p>
        </w:tc>
      </w:tr>
      <w:tr w14:paraId="25338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8CD9544">
            <w:pPr>
              <w:rPr>
                <w:rFonts w:ascii="Arial"/>
                <w:color w:val="auto"/>
                <w:sz w:val="21"/>
                <w:highlight w:val="none"/>
              </w:rPr>
            </w:pPr>
          </w:p>
        </w:tc>
        <w:tc>
          <w:tcPr>
            <w:tcW w:w="1032" w:type="dxa"/>
            <w:vAlign w:val="top"/>
          </w:tcPr>
          <w:p w14:paraId="6C341FBF">
            <w:pPr>
              <w:rPr>
                <w:rFonts w:ascii="Arial"/>
                <w:color w:val="auto"/>
                <w:sz w:val="21"/>
                <w:highlight w:val="none"/>
              </w:rPr>
            </w:pPr>
          </w:p>
        </w:tc>
        <w:tc>
          <w:tcPr>
            <w:tcW w:w="657" w:type="dxa"/>
            <w:vAlign w:val="top"/>
          </w:tcPr>
          <w:p w14:paraId="4835D266">
            <w:pPr>
              <w:rPr>
                <w:rFonts w:ascii="Arial"/>
                <w:color w:val="auto"/>
                <w:sz w:val="21"/>
                <w:highlight w:val="none"/>
              </w:rPr>
            </w:pPr>
          </w:p>
        </w:tc>
        <w:tc>
          <w:tcPr>
            <w:tcW w:w="989" w:type="dxa"/>
            <w:vAlign w:val="top"/>
          </w:tcPr>
          <w:p w14:paraId="468B9A81">
            <w:pPr>
              <w:rPr>
                <w:rFonts w:ascii="Arial"/>
                <w:color w:val="auto"/>
                <w:sz w:val="21"/>
                <w:highlight w:val="none"/>
              </w:rPr>
            </w:pPr>
          </w:p>
        </w:tc>
        <w:tc>
          <w:tcPr>
            <w:tcW w:w="696" w:type="dxa"/>
            <w:vAlign w:val="top"/>
          </w:tcPr>
          <w:p w14:paraId="21EE5B75">
            <w:pPr>
              <w:rPr>
                <w:rFonts w:ascii="Arial"/>
                <w:color w:val="auto"/>
                <w:sz w:val="21"/>
                <w:highlight w:val="none"/>
              </w:rPr>
            </w:pPr>
          </w:p>
        </w:tc>
        <w:tc>
          <w:tcPr>
            <w:tcW w:w="691" w:type="dxa"/>
            <w:vAlign w:val="top"/>
          </w:tcPr>
          <w:p w14:paraId="45987A84">
            <w:pPr>
              <w:rPr>
                <w:rFonts w:ascii="Arial"/>
                <w:color w:val="auto"/>
                <w:sz w:val="21"/>
                <w:highlight w:val="none"/>
              </w:rPr>
            </w:pPr>
          </w:p>
        </w:tc>
        <w:tc>
          <w:tcPr>
            <w:tcW w:w="1161" w:type="dxa"/>
            <w:vAlign w:val="top"/>
          </w:tcPr>
          <w:p w14:paraId="65947BC3">
            <w:pPr>
              <w:rPr>
                <w:rFonts w:ascii="Arial"/>
                <w:color w:val="auto"/>
                <w:sz w:val="21"/>
                <w:highlight w:val="none"/>
              </w:rPr>
            </w:pPr>
          </w:p>
        </w:tc>
        <w:tc>
          <w:tcPr>
            <w:tcW w:w="845" w:type="dxa"/>
            <w:vAlign w:val="top"/>
          </w:tcPr>
          <w:p w14:paraId="793BEEEC">
            <w:pPr>
              <w:rPr>
                <w:rFonts w:ascii="Arial"/>
                <w:color w:val="auto"/>
                <w:sz w:val="21"/>
                <w:highlight w:val="none"/>
              </w:rPr>
            </w:pPr>
          </w:p>
        </w:tc>
        <w:tc>
          <w:tcPr>
            <w:tcW w:w="849" w:type="dxa"/>
            <w:vAlign w:val="top"/>
          </w:tcPr>
          <w:p w14:paraId="6F9A0A68">
            <w:pPr>
              <w:rPr>
                <w:rFonts w:ascii="Arial"/>
                <w:color w:val="auto"/>
                <w:sz w:val="21"/>
                <w:highlight w:val="none"/>
              </w:rPr>
            </w:pPr>
          </w:p>
        </w:tc>
        <w:tc>
          <w:tcPr>
            <w:tcW w:w="753" w:type="dxa"/>
            <w:vAlign w:val="top"/>
          </w:tcPr>
          <w:p w14:paraId="377FA44D">
            <w:pPr>
              <w:rPr>
                <w:rFonts w:ascii="Arial"/>
                <w:color w:val="auto"/>
                <w:sz w:val="21"/>
                <w:highlight w:val="none"/>
              </w:rPr>
            </w:pPr>
          </w:p>
        </w:tc>
      </w:tr>
      <w:tr w14:paraId="3DB5E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BF1EE26">
            <w:pPr>
              <w:rPr>
                <w:rFonts w:ascii="Arial"/>
                <w:color w:val="auto"/>
                <w:sz w:val="21"/>
                <w:highlight w:val="none"/>
              </w:rPr>
            </w:pPr>
          </w:p>
        </w:tc>
        <w:tc>
          <w:tcPr>
            <w:tcW w:w="1032" w:type="dxa"/>
            <w:vAlign w:val="top"/>
          </w:tcPr>
          <w:p w14:paraId="569AB8DB">
            <w:pPr>
              <w:rPr>
                <w:rFonts w:ascii="Arial"/>
                <w:color w:val="auto"/>
                <w:sz w:val="21"/>
                <w:highlight w:val="none"/>
              </w:rPr>
            </w:pPr>
          </w:p>
        </w:tc>
        <w:tc>
          <w:tcPr>
            <w:tcW w:w="657" w:type="dxa"/>
            <w:vAlign w:val="top"/>
          </w:tcPr>
          <w:p w14:paraId="68FB98E8">
            <w:pPr>
              <w:rPr>
                <w:rFonts w:ascii="Arial"/>
                <w:color w:val="auto"/>
                <w:sz w:val="21"/>
                <w:highlight w:val="none"/>
              </w:rPr>
            </w:pPr>
          </w:p>
        </w:tc>
        <w:tc>
          <w:tcPr>
            <w:tcW w:w="989" w:type="dxa"/>
            <w:vAlign w:val="top"/>
          </w:tcPr>
          <w:p w14:paraId="782F192C">
            <w:pPr>
              <w:rPr>
                <w:rFonts w:ascii="Arial"/>
                <w:color w:val="auto"/>
                <w:sz w:val="21"/>
                <w:highlight w:val="none"/>
              </w:rPr>
            </w:pPr>
          </w:p>
        </w:tc>
        <w:tc>
          <w:tcPr>
            <w:tcW w:w="696" w:type="dxa"/>
            <w:vAlign w:val="top"/>
          </w:tcPr>
          <w:p w14:paraId="38C84D94">
            <w:pPr>
              <w:rPr>
                <w:rFonts w:ascii="Arial"/>
                <w:color w:val="auto"/>
                <w:sz w:val="21"/>
                <w:highlight w:val="none"/>
              </w:rPr>
            </w:pPr>
          </w:p>
        </w:tc>
        <w:tc>
          <w:tcPr>
            <w:tcW w:w="691" w:type="dxa"/>
            <w:vAlign w:val="top"/>
          </w:tcPr>
          <w:p w14:paraId="4D4B4A83">
            <w:pPr>
              <w:rPr>
                <w:rFonts w:ascii="Arial"/>
                <w:color w:val="auto"/>
                <w:sz w:val="21"/>
                <w:highlight w:val="none"/>
              </w:rPr>
            </w:pPr>
          </w:p>
        </w:tc>
        <w:tc>
          <w:tcPr>
            <w:tcW w:w="1161" w:type="dxa"/>
            <w:vAlign w:val="top"/>
          </w:tcPr>
          <w:p w14:paraId="42913E9D">
            <w:pPr>
              <w:rPr>
                <w:rFonts w:ascii="Arial"/>
                <w:color w:val="auto"/>
                <w:sz w:val="21"/>
                <w:highlight w:val="none"/>
              </w:rPr>
            </w:pPr>
          </w:p>
        </w:tc>
        <w:tc>
          <w:tcPr>
            <w:tcW w:w="845" w:type="dxa"/>
            <w:vAlign w:val="top"/>
          </w:tcPr>
          <w:p w14:paraId="6C048B55">
            <w:pPr>
              <w:rPr>
                <w:rFonts w:ascii="Arial"/>
                <w:color w:val="auto"/>
                <w:sz w:val="21"/>
                <w:highlight w:val="none"/>
              </w:rPr>
            </w:pPr>
          </w:p>
        </w:tc>
        <w:tc>
          <w:tcPr>
            <w:tcW w:w="849" w:type="dxa"/>
            <w:vAlign w:val="top"/>
          </w:tcPr>
          <w:p w14:paraId="73CC29D6">
            <w:pPr>
              <w:rPr>
                <w:rFonts w:ascii="Arial"/>
                <w:color w:val="auto"/>
                <w:sz w:val="21"/>
                <w:highlight w:val="none"/>
              </w:rPr>
            </w:pPr>
          </w:p>
        </w:tc>
        <w:tc>
          <w:tcPr>
            <w:tcW w:w="753" w:type="dxa"/>
            <w:vAlign w:val="top"/>
          </w:tcPr>
          <w:p w14:paraId="2C46D367">
            <w:pPr>
              <w:rPr>
                <w:rFonts w:ascii="Arial"/>
                <w:color w:val="auto"/>
                <w:sz w:val="21"/>
                <w:highlight w:val="none"/>
              </w:rPr>
            </w:pPr>
          </w:p>
        </w:tc>
      </w:tr>
      <w:tr w14:paraId="08D08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0E6A7950">
            <w:pPr>
              <w:rPr>
                <w:rFonts w:ascii="Arial"/>
                <w:color w:val="auto"/>
                <w:sz w:val="21"/>
                <w:highlight w:val="none"/>
              </w:rPr>
            </w:pPr>
          </w:p>
        </w:tc>
        <w:tc>
          <w:tcPr>
            <w:tcW w:w="1032" w:type="dxa"/>
            <w:vAlign w:val="top"/>
          </w:tcPr>
          <w:p w14:paraId="3E5FF277">
            <w:pPr>
              <w:rPr>
                <w:rFonts w:ascii="Arial"/>
                <w:color w:val="auto"/>
                <w:sz w:val="21"/>
                <w:highlight w:val="none"/>
              </w:rPr>
            </w:pPr>
          </w:p>
        </w:tc>
        <w:tc>
          <w:tcPr>
            <w:tcW w:w="657" w:type="dxa"/>
            <w:vAlign w:val="top"/>
          </w:tcPr>
          <w:p w14:paraId="57ED78CF">
            <w:pPr>
              <w:rPr>
                <w:rFonts w:ascii="Arial"/>
                <w:color w:val="auto"/>
                <w:sz w:val="21"/>
                <w:highlight w:val="none"/>
              </w:rPr>
            </w:pPr>
          </w:p>
        </w:tc>
        <w:tc>
          <w:tcPr>
            <w:tcW w:w="989" w:type="dxa"/>
            <w:vAlign w:val="top"/>
          </w:tcPr>
          <w:p w14:paraId="3B7E83C7">
            <w:pPr>
              <w:rPr>
                <w:rFonts w:ascii="Arial"/>
                <w:color w:val="auto"/>
                <w:sz w:val="21"/>
                <w:highlight w:val="none"/>
              </w:rPr>
            </w:pPr>
          </w:p>
        </w:tc>
        <w:tc>
          <w:tcPr>
            <w:tcW w:w="696" w:type="dxa"/>
            <w:vAlign w:val="top"/>
          </w:tcPr>
          <w:p w14:paraId="0DFCD987">
            <w:pPr>
              <w:rPr>
                <w:rFonts w:ascii="Arial"/>
                <w:color w:val="auto"/>
                <w:sz w:val="21"/>
                <w:highlight w:val="none"/>
              </w:rPr>
            </w:pPr>
          </w:p>
        </w:tc>
        <w:tc>
          <w:tcPr>
            <w:tcW w:w="691" w:type="dxa"/>
            <w:vAlign w:val="top"/>
          </w:tcPr>
          <w:p w14:paraId="1E10AAB0">
            <w:pPr>
              <w:rPr>
                <w:rFonts w:ascii="Arial"/>
                <w:color w:val="auto"/>
                <w:sz w:val="21"/>
                <w:highlight w:val="none"/>
              </w:rPr>
            </w:pPr>
          </w:p>
        </w:tc>
        <w:tc>
          <w:tcPr>
            <w:tcW w:w="1161" w:type="dxa"/>
            <w:vAlign w:val="top"/>
          </w:tcPr>
          <w:p w14:paraId="2F77ADB2">
            <w:pPr>
              <w:rPr>
                <w:rFonts w:ascii="Arial"/>
                <w:color w:val="auto"/>
                <w:sz w:val="21"/>
                <w:highlight w:val="none"/>
              </w:rPr>
            </w:pPr>
          </w:p>
        </w:tc>
        <w:tc>
          <w:tcPr>
            <w:tcW w:w="845" w:type="dxa"/>
            <w:vAlign w:val="top"/>
          </w:tcPr>
          <w:p w14:paraId="08371B68">
            <w:pPr>
              <w:rPr>
                <w:rFonts w:ascii="Arial"/>
                <w:color w:val="auto"/>
                <w:sz w:val="21"/>
                <w:highlight w:val="none"/>
              </w:rPr>
            </w:pPr>
          </w:p>
        </w:tc>
        <w:tc>
          <w:tcPr>
            <w:tcW w:w="849" w:type="dxa"/>
            <w:vAlign w:val="top"/>
          </w:tcPr>
          <w:p w14:paraId="626943CF">
            <w:pPr>
              <w:rPr>
                <w:rFonts w:ascii="Arial"/>
                <w:color w:val="auto"/>
                <w:sz w:val="21"/>
                <w:highlight w:val="none"/>
              </w:rPr>
            </w:pPr>
          </w:p>
        </w:tc>
        <w:tc>
          <w:tcPr>
            <w:tcW w:w="753" w:type="dxa"/>
            <w:vAlign w:val="top"/>
          </w:tcPr>
          <w:p w14:paraId="1D435849">
            <w:pPr>
              <w:rPr>
                <w:rFonts w:ascii="Arial"/>
                <w:color w:val="auto"/>
                <w:sz w:val="21"/>
                <w:highlight w:val="none"/>
              </w:rPr>
            </w:pPr>
          </w:p>
        </w:tc>
      </w:tr>
      <w:tr w14:paraId="1B7AA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52C8B391">
            <w:pPr>
              <w:rPr>
                <w:rFonts w:ascii="Arial"/>
                <w:color w:val="auto"/>
                <w:sz w:val="21"/>
                <w:highlight w:val="none"/>
              </w:rPr>
            </w:pPr>
          </w:p>
        </w:tc>
        <w:tc>
          <w:tcPr>
            <w:tcW w:w="1032" w:type="dxa"/>
            <w:vAlign w:val="top"/>
          </w:tcPr>
          <w:p w14:paraId="56FD52F5">
            <w:pPr>
              <w:rPr>
                <w:rFonts w:ascii="Arial"/>
                <w:color w:val="auto"/>
                <w:sz w:val="21"/>
                <w:highlight w:val="none"/>
              </w:rPr>
            </w:pPr>
          </w:p>
        </w:tc>
        <w:tc>
          <w:tcPr>
            <w:tcW w:w="657" w:type="dxa"/>
            <w:vAlign w:val="top"/>
          </w:tcPr>
          <w:p w14:paraId="37446957">
            <w:pPr>
              <w:rPr>
                <w:rFonts w:ascii="Arial"/>
                <w:color w:val="auto"/>
                <w:sz w:val="21"/>
                <w:highlight w:val="none"/>
              </w:rPr>
            </w:pPr>
          </w:p>
        </w:tc>
        <w:tc>
          <w:tcPr>
            <w:tcW w:w="989" w:type="dxa"/>
            <w:vAlign w:val="top"/>
          </w:tcPr>
          <w:p w14:paraId="4B61CCFC">
            <w:pPr>
              <w:rPr>
                <w:rFonts w:ascii="Arial"/>
                <w:color w:val="auto"/>
                <w:sz w:val="21"/>
                <w:highlight w:val="none"/>
              </w:rPr>
            </w:pPr>
          </w:p>
        </w:tc>
        <w:tc>
          <w:tcPr>
            <w:tcW w:w="696" w:type="dxa"/>
            <w:vAlign w:val="top"/>
          </w:tcPr>
          <w:p w14:paraId="49157D30">
            <w:pPr>
              <w:rPr>
                <w:rFonts w:ascii="Arial"/>
                <w:color w:val="auto"/>
                <w:sz w:val="21"/>
                <w:highlight w:val="none"/>
              </w:rPr>
            </w:pPr>
          </w:p>
        </w:tc>
        <w:tc>
          <w:tcPr>
            <w:tcW w:w="691" w:type="dxa"/>
            <w:vAlign w:val="top"/>
          </w:tcPr>
          <w:p w14:paraId="1F4F0E44">
            <w:pPr>
              <w:rPr>
                <w:rFonts w:ascii="Arial"/>
                <w:color w:val="auto"/>
                <w:sz w:val="21"/>
                <w:highlight w:val="none"/>
              </w:rPr>
            </w:pPr>
          </w:p>
        </w:tc>
        <w:tc>
          <w:tcPr>
            <w:tcW w:w="1161" w:type="dxa"/>
            <w:vAlign w:val="top"/>
          </w:tcPr>
          <w:p w14:paraId="76A87ADC">
            <w:pPr>
              <w:rPr>
                <w:rFonts w:ascii="Arial"/>
                <w:color w:val="auto"/>
                <w:sz w:val="21"/>
                <w:highlight w:val="none"/>
              </w:rPr>
            </w:pPr>
          </w:p>
        </w:tc>
        <w:tc>
          <w:tcPr>
            <w:tcW w:w="845" w:type="dxa"/>
            <w:vAlign w:val="top"/>
          </w:tcPr>
          <w:p w14:paraId="37E5C73F">
            <w:pPr>
              <w:rPr>
                <w:rFonts w:ascii="Arial"/>
                <w:color w:val="auto"/>
                <w:sz w:val="21"/>
                <w:highlight w:val="none"/>
              </w:rPr>
            </w:pPr>
          </w:p>
        </w:tc>
        <w:tc>
          <w:tcPr>
            <w:tcW w:w="849" w:type="dxa"/>
            <w:vAlign w:val="top"/>
          </w:tcPr>
          <w:p w14:paraId="0F7D153C">
            <w:pPr>
              <w:rPr>
                <w:rFonts w:ascii="Arial"/>
                <w:color w:val="auto"/>
                <w:sz w:val="21"/>
                <w:highlight w:val="none"/>
              </w:rPr>
            </w:pPr>
          </w:p>
        </w:tc>
        <w:tc>
          <w:tcPr>
            <w:tcW w:w="753" w:type="dxa"/>
            <w:vAlign w:val="top"/>
          </w:tcPr>
          <w:p w14:paraId="2C7FFE90">
            <w:pPr>
              <w:rPr>
                <w:rFonts w:ascii="Arial"/>
                <w:color w:val="auto"/>
                <w:sz w:val="21"/>
                <w:highlight w:val="none"/>
              </w:rPr>
            </w:pPr>
          </w:p>
        </w:tc>
      </w:tr>
      <w:tr w14:paraId="67825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912D42D">
            <w:pPr>
              <w:rPr>
                <w:rFonts w:ascii="Arial"/>
                <w:color w:val="auto"/>
                <w:sz w:val="21"/>
                <w:highlight w:val="none"/>
              </w:rPr>
            </w:pPr>
          </w:p>
        </w:tc>
        <w:tc>
          <w:tcPr>
            <w:tcW w:w="1032" w:type="dxa"/>
            <w:vAlign w:val="top"/>
          </w:tcPr>
          <w:p w14:paraId="389BC50E">
            <w:pPr>
              <w:rPr>
                <w:rFonts w:ascii="Arial"/>
                <w:color w:val="auto"/>
                <w:sz w:val="21"/>
                <w:highlight w:val="none"/>
              </w:rPr>
            </w:pPr>
          </w:p>
        </w:tc>
        <w:tc>
          <w:tcPr>
            <w:tcW w:w="657" w:type="dxa"/>
            <w:vAlign w:val="top"/>
          </w:tcPr>
          <w:p w14:paraId="1E7DB459">
            <w:pPr>
              <w:rPr>
                <w:rFonts w:ascii="Arial"/>
                <w:color w:val="auto"/>
                <w:sz w:val="21"/>
                <w:highlight w:val="none"/>
              </w:rPr>
            </w:pPr>
          </w:p>
        </w:tc>
        <w:tc>
          <w:tcPr>
            <w:tcW w:w="989" w:type="dxa"/>
            <w:vAlign w:val="top"/>
          </w:tcPr>
          <w:p w14:paraId="7AF1BF9D">
            <w:pPr>
              <w:rPr>
                <w:rFonts w:ascii="Arial"/>
                <w:color w:val="auto"/>
                <w:sz w:val="21"/>
                <w:highlight w:val="none"/>
              </w:rPr>
            </w:pPr>
          </w:p>
        </w:tc>
        <w:tc>
          <w:tcPr>
            <w:tcW w:w="696" w:type="dxa"/>
            <w:vAlign w:val="top"/>
          </w:tcPr>
          <w:p w14:paraId="52FFB5EF">
            <w:pPr>
              <w:rPr>
                <w:rFonts w:ascii="Arial"/>
                <w:color w:val="auto"/>
                <w:sz w:val="21"/>
                <w:highlight w:val="none"/>
              </w:rPr>
            </w:pPr>
          </w:p>
        </w:tc>
        <w:tc>
          <w:tcPr>
            <w:tcW w:w="691" w:type="dxa"/>
            <w:vAlign w:val="top"/>
          </w:tcPr>
          <w:p w14:paraId="1E132BF0">
            <w:pPr>
              <w:rPr>
                <w:rFonts w:ascii="Arial"/>
                <w:color w:val="auto"/>
                <w:sz w:val="21"/>
                <w:highlight w:val="none"/>
              </w:rPr>
            </w:pPr>
          </w:p>
        </w:tc>
        <w:tc>
          <w:tcPr>
            <w:tcW w:w="1161" w:type="dxa"/>
            <w:vAlign w:val="top"/>
          </w:tcPr>
          <w:p w14:paraId="5D6951F3">
            <w:pPr>
              <w:rPr>
                <w:rFonts w:ascii="Arial"/>
                <w:color w:val="auto"/>
                <w:sz w:val="21"/>
                <w:highlight w:val="none"/>
              </w:rPr>
            </w:pPr>
          </w:p>
        </w:tc>
        <w:tc>
          <w:tcPr>
            <w:tcW w:w="845" w:type="dxa"/>
            <w:vAlign w:val="top"/>
          </w:tcPr>
          <w:p w14:paraId="1DE90904">
            <w:pPr>
              <w:rPr>
                <w:rFonts w:ascii="Arial"/>
                <w:color w:val="auto"/>
                <w:sz w:val="21"/>
                <w:highlight w:val="none"/>
              </w:rPr>
            </w:pPr>
          </w:p>
        </w:tc>
        <w:tc>
          <w:tcPr>
            <w:tcW w:w="849" w:type="dxa"/>
            <w:vAlign w:val="top"/>
          </w:tcPr>
          <w:p w14:paraId="1857F266">
            <w:pPr>
              <w:rPr>
                <w:rFonts w:ascii="Arial"/>
                <w:color w:val="auto"/>
                <w:sz w:val="21"/>
                <w:highlight w:val="none"/>
              </w:rPr>
            </w:pPr>
          </w:p>
        </w:tc>
        <w:tc>
          <w:tcPr>
            <w:tcW w:w="753" w:type="dxa"/>
            <w:vAlign w:val="top"/>
          </w:tcPr>
          <w:p w14:paraId="5DB71B95">
            <w:pPr>
              <w:rPr>
                <w:rFonts w:ascii="Arial"/>
                <w:color w:val="auto"/>
                <w:sz w:val="21"/>
                <w:highlight w:val="none"/>
              </w:rPr>
            </w:pPr>
          </w:p>
        </w:tc>
      </w:tr>
      <w:tr w14:paraId="73C4A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D2B837E">
            <w:pPr>
              <w:rPr>
                <w:rFonts w:ascii="Arial"/>
                <w:color w:val="auto"/>
                <w:sz w:val="21"/>
                <w:highlight w:val="none"/>
              </w:rPr>
            </w:pPr>
          </w:p>
        </w:tc>
        <w:tc>
          <w:tcPr>
            <w:tcW w:w="1032" w:type="dxa"/>
            <w:vAlign w:val="top"/>
          </w:tcPr>
          <w:p w14:paraId="14BFE9C8">
            <w:pPr>
              <w:rPr>
                <w:rFonts w:ascii="Arial"/>
                <w:color w:val="auto"/>
                <w:sz w:val="21"/>
                <w:highlight w:val="none"/>
              </w:rPr>
            </w:pPr>
          </w:p>
        </w:tc>
        <w:tc>
          <w:tcPr>
            <w:tcW w:w="657" w:type="dxa"/>
            <w:vAlign w:val="top"/>
          </w:tcPr>
          <w:p w14:paraId="1C7C05CD">
            <w:pPr>
              <w:rPr>
                <w:rFonts w:ascii="Arial"/>
                <w:color w:val="auto"/>
                <w:sz w:val="21"/>
                <w:highlight w:val="none"/>
              </w:rPr>
            </w:pPr>
          </w:p>
        </w:tc>
        <w:tc>
          <w:tcPr>
            <w:tcW w:w="989" w:type="dxa"/>
            <w:vAlign w:val="top"/>
          </w:tcPr>
          <w:p w14:paraId="5D8A785F">
            <w:pPr>
              <w:rPr>
                <w:rFonts w:ascii="Arial"/>
                <w:color w:val="auto"/>
                <w:sz w:val="21"/>
                <w:highlight w:val="none"/>
              </w:rPr>
            </w:pPr>
          </w:p>
        </w:tc>
        <w:tc>
          <w:tcPr>
            <w:tcW w:w="696" w:type="dxa"/>
            <w:vAlign w:val="top"/>
          </w:tcPr>
          <w:p w14:paraId="6659D8CD">
            <w:pPr>
              <w:rPr>
                <w:rFonts w:ascii="Arial"/>
                <w:color w:val="auto"/>
                <w:sz w:val="21"/>
                <w:highlight w:val="none"/>
              </w:rPr>
            </w:pPr>
          </w:p>
        </w:tc>
        <w:tc>
          <w:tcPr>
            <w:tcW w:w="691" w:type="dxa"/>
            <w:vAlign w:val="top"/>
          </w:tcPr>
          <w:p w14:paraId="76147F08">
            <w:pPr>
              <w:rPr>
                <w:rFonts w:ascii="Arial"/>
                <w:color w:val="auto"/>
                <w:sz w:val="21"/>
                <w:highlight w:val="none"/>
              </w:rPr>
            </w:pPr>
          </w:p>
        </w:tc>
        <w:tc>
          <w:tcPr>
            <w:tcW w:w="1161" w:type="dxa"/>
            <w:vAlign w:val="top"/>
          </w:tcPr>
          <w:p w14:paraId="5DAD3D6E">
            <w:pPr>
              <w:rPr>
                <w:rFonts w:ascii="Arial"/>
                <w:color w:val="auto"/>
                <w:sz w:val="21"/>
                <w:highlight w:val="none"/>
              </w:rPr>
            </w:pPr>
          </w:p>
        </w:tc>
        <w:tc>
          <w:tcPr>
            <w:tcW w:w="845" w:type="dxa"/>
            <w:vAlign w:val="top"/>
          </w:tcPr>
          <w:p w14:paraId="245C0696">
            <w:pPr>
              <w:rPr>
                <w:rFonts w:ascii="Arial"/>
                <w:color w:val="auto"/>
                <w:sz w:val="21"/>
                <w:highlight w:val="none"/>
              </w:rPr>
            </w:pPr>
          </w:p>
        </w:tc>
        <w:tc>
          <w:tcPr>
            <w:tcW w:w="849" w:type="dxa"/>
            <w:vAlign w:val="top"/>
          </w:tcPr>
          <w:p w14:paraId="1B3D2EA9">
            <w:pPr>
              <w:rPr>
                <w:rFonts w:ascii="Arial"/>
                <w:color w:val="auto"/>
                <w:sz w:val="21"/>
                <w:highlight w:val="none"/>
              </w:rPr>
            </w:pPr>
          </w:p>
        </w:tc>
        <w:tc>
          <w:tcPr>
            <w:tcW w:w="753" w:type="dxa"/>
            <w:vAlign w:val="top"/>
          </w:tcPr>
          <w:p w14:paraId="4F4CC6C2">
            <w:pPr>
              <w:rPr>
                <w:rFonts w:ascii="Arial"/>
                <w:color w:val="auto"/>
                <w:sz w:val="21"/>
                <w:highlight w:val="none"/>
              </w:rPr>
            </w:pPr>
          </w:p>
        </w:tc>
      </w:tr>
      <w:tr w14:paraId="7420F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A094D4A">
            <w:pPr>
              <w:rPr>
                <w:rFonts w:ascii="Arial"/>
                <w:color w:val="auto"/>
                <w:sz w:val="21"/>
                <w:highlight w:val="none"/>
              </w:rPr>
            </w:pPr>
          </w:p>
        </w:tc>
        <w:tc>
          <w:tcPr>
            <w:tcW w:w="1032" w:type="dxa"/>
            <w:vAlign w:val="top"/>
          </w:tcPr>
          <w:p w14:paraId="0082A30F">
            <w:pPr>
              <w:rPr>
                <w:rFonts w:ascii="Arial"/>
                <w:color w:val="auto"/>
                <w:sz w:val="21"/>
                <w:highlight w:val="none"/>
              </w:rPr>
            </w:pPr>
          </w:p>
        </w:tc>
        <w:tc>
          <w:tcPr>
            <w:tcW w:w="657" w:type="dxa"/>
            <w:vAlign w:val="top"/>
          </w:tcPr>
          <w:p w14:paraId="5ADB7C86">
            <w:pPr>
              <w:rPr>
                <w:rFonts w:ascii="Arial"/>
                <w:color w:val="auto"/>
                <w:sz w:val="21"/>
                <w:highlight w:val="none"/>
              </w:rPr>
            </w:pPr>
          </w:p>
        </w:tc>
        <w:tc>
          <w:tcPr>
            <w:tcW w:w="989" w:type="dxa"/>
            <w:vAlign w:val="top"/>
          </w:tcPr>
          <w:p w14:paraId="1C51BDA8">
            <w:pPr>
              <w:rPr>
                <w:rFonts w:ascii="Arial"/>
                <w:color w:val="auto"/>
                <w:sz w:val="21"/>
                <w:highlight w:val="none"/>
              </w:rPr>
            </w:pPr>
          </w:p>
        </w:tc>
        <w:tc>
          <w:tcPr>
            <w:tcW w:w="696" w:type="dxa"/>
            <w:vAlign w:val="top"/>
          </w:tcPr>
          <w:p w14:paraId="689EA260">
            <w:pPr>
              <w:rPr>
                <w:rFonts w:ascii="Arial"/>
                <w:color w:val="auto"/>
                <w:sz w:val="21"/>
                <w:highlight w:val="none"/>
              </w:rPr>
            </w:pPr>
          </w:p>
        </w:tc>
        <w:tc>
          <w:tcPr>
            <w:tcW w:w="691" w:type="dxa"/>
            <w:vAlign w:val="top"/>
          </w:tcPr>
          <w:p w14:paraId="3AEB71A5">
            <w:pPr>
              <w:rPr>
                <w:rFonts w:ascii="Arial"/>
                <w:color w:val="auto"/>
                <w:sz w:val="21"/>
                <w:highlight w:val="none"/>
              </w:rPr>
            </w:pPr>
          </w:p>
        </w:tc>
        <w:tc>
          <w:tcPr>
            <w:tcW w:w="1161" w:type="dxa"/>
            <w:vAlign w:val="top"/>
          </w:tcPr>
          <w:p w14:paraId="647A2E49">
            <w:pPr>
              <w:rPr>
                <w:rFonts w:ascii="Arial"/>
                <w:color w:val="auto"/>
                <w:sz w:val="21"/>
                <w:highlight w:val="none"/>
              </w:rPr>
            </w:pPr>
          </w:p>
        </w:tc>
        <w:tc>
          <w:tcPr>
            <w:tcW w:w="845" w:type="dxa"/>
            <w:vAlign w:val="top"/>
          </w:tcPr>
          <w:p w14:paraId="2D143270">
            <w:pPr>
              <w:rPr>
                <w:rFonts w:ascii="Arial"/>
                <w:color w:val="auto"/>
                <w:sz w:val="21"/>
                <w:highlight w:val="none"/>
              </w:rPr>
            </w:pPr>
          </w:p>
        </w:tc>
        <w:tc>
          <w:tcPr>
            <w:tcW w:w="849" w:type="dxa"/>
            <w:vAlign w:val="top"/>
          </w:tcPr>
          <w:p w14:paraId="7D036F5C">
            <w:pPr>
              <w:rPr>
                <w:rFonts w:ascii="Arial"/>
                <w:color w:val="auto"/>
                <w:sz w:val="21"/>
                <w:highlight w:val="none"/>
              </w:rPr>
            </w:pPr>
          </w:p>
        </w:tc>
        <w:tc>
          <w:tcPr>
            <w:tcW w:w="753" w:type="dxa"/>
            <w:vAlign w:val="top"/>
          </w:tcPr>
          <w:p w14:paraId="618AB12C">
            <w:pPr>
              <w:rPr>
                <w:rFonts w:ascii="Arial"/>
                <w:color w:val="auto"/>
                <w:sz w:val="21"/>
                <w:highlight w:val="none"/>
              </w:rPr>
            </w:pPr>
          </w:p>
        </w:tc>
      </w:tr>
      <w:tr w14:paraId="5490C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1763B2">
            <w:pPr>
              <w:rPr>
                <w:rFonts w:ascii="Arial"/>
                <w:color w:val="auto"/>
                <w:sz w:val="21"/>
                <w:highlight w:val="none"/>
              </w:rPr>
            </w:pPr>
          </w:p>
        </w:tc>
        <w:tc>
          <w:tcPr>
            <w:tcW w:w="1032" w:type="dxa"/>
            <w:vAlign w:val="top"/>
          </w:tcPr>
          <w:p w14:paraId="57533A64">
            <w:pPr>
              <w:rPr>
                <w:rFonts w:ascii="Arial"/>
                <w:color w:val="auto"/>
                <w:sz w:val="21"/>
                <w:highlight w:val="none"/>
              </w:rPr>
            </w:pPr>
          </w:p>
        </w:tc>
        <w:tc>
          <w:tcPr>
            <w:tcW w:w="657" w:type="dxa"/>
            <w:vAlign w:val="top"/>
          </w:tcPr>
          <w:p w14:paraId="292D2B66">
            <w:pPr>
              <w:rPr>
                <w:rFonts w:ascii="Arial"/>
                <w:color w:val="auto"/>
                <w:sz w:val="21"/>
                <w:highlight w:val="none"/>
              </w:rPr>
            </w:pPr>
          </w:p>
        </w:tc>
        <w:tc>
          <w:tcPr>
            <w:tcW w:w="989" w:type="dxa"/>
            <w:vAlign w:val="top"/>
          </w:tcPr>
          <w:p w14:paraId="37B6A121">
            <w:pPr>
              <w:rPr>
                <w:rFonts w:ascii="Arial"/>
                <w:color w:val="auto"/>
                <w:sz w:val="21"/>
                <w:highlight w:val="none"/>
              </w:rPr>
            </w:pPr>
          </w:p>
        </w:tc>
        <w:tc>
          <w:tcPr>
            <w:tcW w:w="696" w:type="dxa"/>
            <w:vAlign w:val="top"/>
          </w:tcPr>
          <w:p w14:paraId="12783FFF">
            <w:pPr>
              <w:rPr>
                <w:rFonts w:ascii="Arial"/>
                <w:color w:val="auto"/>
                <w:sz w:val="21"/>
                <w:highlight w:val="none"/>
              </w:rPr>
            </w:pPr>
          </w:p>
        </w:tc>
        <w:tc>
          <w:tcPr>
            <w:tcW w:w="691" w:type="dxa"/>
            <w:vAlign w:val="top"/>
          </w:tcPr>
          <w:p w14:paraId="7B490AAA">
            <w:pPr>
              <w:rPr>
                <w:rFonts w:ascii="Arial"/>
                <w:color w:val="auto"/>
                <w:sz w:val="21"/>
                <w:highlight w:val="none"/>
              </w:rPr>
            </w:pPr>
          </w:p>
        </w:tc>
        <w:tc>
          <w:tcPr>
            <w:tcW w:w="1161" w:type="dxa"/>
            <w:vAlign w:val="top"/>
          </w:tcPr>
          <w:p w14:paraId="5C6B8D37">
            <w:pPr>
              <w:rPr>
                <w:rFonts w:ascii="Arial"/>
                <w:color w:val="auto"/>
                <w:sz w:val="21"/>
                <w:highlight w:val="none"/>
              </w:rPr>
            </w:pPr>
          </w:p>
        </w:tc>
        <w:tc>
          <w:tcPr>
            <w:tcW w:w="845" w:type="dxa"/>
            <w:vAlign w:val="top"/>
          </w:tcPr>
          <w:p w14:paraId="7CEC72CC">
            <w:pPr>
              <w:rPr>
                <w:rFonts w:ascii="Arial"/>
                <w:color w:val="auto"/>
                <w:sz w:val="21"/>
                <w:highlight w:val="none"/>
              </w:rPr>
            </w:pPr>
          </w:p>
        </w:tc>
        <w:tc>
          <w:tcPr>
            <w:tcW w:w="849" w:type="dxa"/>
            <w:vAlign w:val="top"/>
          </w:tcPr>
          <w:p w14:paraId="2657AE73">
            <w:pPr>
              <w:rPr>
                <w:rFonts w:ascii="Arial"/>
                <w:color w:val="auto"/>
                <w:sz w:val="21"/>
                <w:highlight w:val="none"/>
              </w:rPr>
            </w:pPr>
          </w:p>
        </w:tc>
        <w:tc>
          <w:tcPr>
            <w:tcW w:w="753" w:type="dxa"/>
            <w:vAlign w:val="top"/>
          </w:tcPr>
          <w:p w14:paraId="40A0CE65">
            <w:pPr>
              <w:rPr>
                <w:rFonts w:ascii="Arial"/>
                <w:color w:val="auto"/>
                <w:sz w:val="21"/>
                <w:highlight w:val="none"/>
              </w:rPr>
            </w:pPr>
          </w:p>
        </w:tc>
      </w:tr>
      <w:tr w14:paraId="4370F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987560">
            <w:pPr>
              <w:rPr>
                <w:rFonts w:ascii="Arial"/>
                <w:color w:val="auto"/>
                <w:sz w:val="21"/>
                <w:highlight w:val="none"/>
              </w:rPr>
            </w:pPr>
          </w:p>
        </w:tc>
        <w:tc>
          <w:tcPr>
            <w:tcW w:w="1032" w:type="dxa"/>
            <w:vAlign w:val="top"/>
          </w:tcPr>
          <w:p w14:paraId="27E8C280">
            <w:pPr>
              <w:rPr>
                <w:rFonts w:ascii="Arial"/>
                <w:color w:val="auto"/>
                <w:sz w:val="21"/>
                <w:highlight w:val="none"/>
              </w:rPr>
            </w:pPr>
          </w:p>
        </w:tc>
        <w:tc>
          <w:tcPr>
            <w:tcW w:w="657" w:type="dxa"/>
            <w:vAlign w:val="top"/>
          </w:tcPr>
          <w:p w14:paraId="31AC7972">
            <w:pPr>
              <w:rPr>
                <w:rFonts w:ascii="Arial"/>
                <w:color w:val="auto"/>
                <w:sz w:val="21"/>
                <w:highlight w:val="none"/>
              </w:rPr>
            </w:pPr>
          </w:p>
        </w:tc>
        <w:tc>
          <w:tcPr>
            <w:tcW w:w="989" w:type="dxa"/>
            <w:vAlign w:val="top"/>
          </w:tcPr>
          <w:p w14:paraId="01C42665">
            <w:pPr>
              <w:rPr>
                <w:rFonts w:ascii="Arial"/>
                <w:color w:val="auto"/>
                <w:sz w:val="21"/>
                <w:highlight w:val="none"/>
              </w:rPr>
            </w:pPr>
          </w:p>
        </w:tc>
        <w:tc>
          <w:tcPr>
            <w:tcW w:w="696" w:type="dxa"/>
            <w:vAlign w:val="top"/>
          </w:tcPr>
          <w:p w14:paraId="64D46857">
            <w:pPr>
              <w:rPr>
                <w:rFonts w:ascii="Arial"/>
                <w:color w:val="auto"/>
                <w:sz w:val="21"/>
                <w:highlight w:val="none"/>
              </w:rPr>
            </w:pPr>
          </w:p>
        </w:tc>
        <w:tc>
          <w:tcPr>
            <w:tcW w:w="691" w:type="dxa"/>
            <w:vAlign w:val="top"/>
          </w:tcPr>
          <w:p w14:paraId="3B9DD0DD">
            <w:pPr>
              <w:rPr>
                <w:rFonts w:ascii="Arial"/>
                <w:color w:val="auto"/>
                <w:sz w:val="21"/>
                <w:highlight w:val="none"/>
              </w:rPr>
            </w:pPr>
          </w:p>
        </w:tc>
        <w:tc>
          <w:tcPr>
            <w:tcW w:w="1161" w:type="dxa"/>
            <w:vAlign w:val="top"/>
          </w:tcPr>
          <w:p w14:paraId="0FF0A337">
            <w:pPr>
              <w:rPr>
                <w:rFonts w:ascii="Arial"/>
                <w:color w:val="auto"/>
                <w:sz w:val="21"/>
                <w:highlight w:val="none"/>
              </w:rPr>
            </w:pPr>
          </w:p>
        </w:tc>
        <w:tc>
          <w:tcPr>
            <w:tcW w:w="845" w:type="dxa"/>
            <w:vAlign w:val="top"/>
          </w:tcPr>
          <w:p w14:paraId="476A1547">
            <w:pPr>
              <w:rPr>
                <w:rFonts w:ascii="Arial"/>
                <w:color w:val="auto"/>
                <w:sz w:val="21"/>
                <w:highlight w:val="none"/>
              </w:rPr>
            </w:pPr>
          </w:p>
        </w:tc>
        <w:tc>
          <w:tcPr>
            <w:tcW w:w="849" w:type="dxa"/>
            <w:vAlign w:val="top"/>
          </w:tcPr>
          <w:p w14:paraId="67D30EAD">
            <w:pPr>
              <w:rPr>
                <w:rFonts w:ascii="Arial"/>
                <w:color w:val="auto"/>
                <w:sz w:val="21"/>
                <w:highlight w:val="none"/>
              </w:rPr>
            </w:pPr>
          </w:p>
        </w:tc>
        <w:tc>
          <w:tcPr>
            <w:tcW w:w="753" w:type="dxa"/>
            <w:vAlign w:val="top"/>
          </w:tcPr>
          <w:p w14:paraId="7CD4EEA9">
            <w:pPr>
              <w:rPr>
                <w:rFonts w:ascii="Arial"/>
                <w:color w:val="auto"/>
                <w:sz w:val="21"/>
                <w:highlight w:val="none"/>
              </w:rPr>
            </w:pPr>
          </w:p>
        </w:tc>
      </w:tr>
      <w:tr w14:paraId="0D55F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D3016D0">
            <w:pPr>
              <w:rPr>
                <w:rFonts w:ascii="Arial"/>
                <w:color w:val="auto"/>
                <w:sz w:val="21"/>
                <w:highlight w:val="none"/>
              </w:rPr>
            </w:pPr>
          </w:p>
        </w:tc>
        <w:tc>
          <w:tcPr>
            <w:tcW w:w="1032" w:type="dxa"/>
            <w:vAlign w:val="top"/>
          </w:tcPr>
          <w:p w14:paraId="430B9B3F">
            <w:pPr>
              <w:rPr>
                <w:rFonts w:ascii="Arial"/>
                <w:color w:val="auto"/>
                <w:sz w:val="21"/>
                <w:highlight w:val="none"/>
              </w:rPr>
            </w:pPr>
          </w:p>
        </w:tc>
        <w:tc>
          <w:tcPr>
            <w:tcW w:w="657" w:type="dxa"/>
            <w:vAlign w:val="top"/>
          </w:tcPr>
          <w:p w14:paraId="61AD9AC1">
            <w:pPr>
              <w:rPr>
                <w:rFonts w:ascii="Arial"/>
                <w:color w:val="auto"/>
                <w:sz w:val="21"/>
                <w:highlight w:val="none"/>
              </w:rPr>
            </w:pPr>
          </w:p>
        </w:tc>
        <w:tc>
          <w:tcPr>
            <w:tcW w:w="989" w:type="dxa"/>
            <w:vAlign w:val="top"/>
          </w:tcPr>
          <w:p w14:paraId="7E7C754C">
            <w:pPr>
              <w:rPr>
                <w:rFonts w:ascii="Arial"/>
                <w:color w:val="auto"/>
                <w:sz w:val="21"/>
                <w:highlight w:val="none"/>
              </w:rPr>
            </w:pPr>
          </w:p>
        </w:tc>
        <w:tc>
          <w:tcPr>
            <w:tcW w:w="696" w:type="dxa"/>
            <w:vAlign w:val="top"/>
          </w:tcPr>
          <w:p w14:paraId="545564C6">
            <w:pPr>
              <w:rPr>
                <w:rFonts w:ascii="Arial"/>
                <w:color w:val="auto"/>
                <w:sz w:val="21"/>
                <w:highlight w:val="none"/>
              </w:rPr>
            </w:pPr>
          </w:p>
        </w:tc>
        <w:tc>
          <w:tcPr>
            <w:tcW w:w="691" w:type="dxa"/>
            <w:vAlign w:val="top"/>
          </w:tcPr>
          <w:p w14:paraId="38D0458F">
            <w:pPr>
              <w:rPr>
                <w:rFonts w:ascii="Arial"/>
                <w:color w:val="auto"/>
                <w:sz w:val="21"/>
                <w:highlight w:val="none"/>
              </w:rPr>
            </w:pPr>
          </w:p>
        </w:tc>
        <w:tc>
          <w:tcPr>
            <w:tcW w:w="1161" w:type="dxa"/>
            <w:vAlign w:val="top"/>
          </w:tcPr>
          <w:p w14:paraId="57EFA0A1">
            <w:pPr>
              <w:rPr>
                <w:rFonts w:ascii="Arial"/>
                <w:color w:val="auto"/>
                <w:sz w:val="21"/>
                <w:highlight w:val="none"/>
              </w:rPr>
            </w:pPr>
          </w:p>
        </w:tc>
        <w:tc>
          <w:tcPr>
            <w:tcW w:w="845" w:type="dxa"/>
            <w:vAlign w:val="top"/>
          </w:tcPr>
          <w:p w14:paraId="6BFDA0D6">
            <w:pPr>
              <w:rPr>
                <w:rFonts w:ascii="Arial"/>
                <w:color w:val="auto"/>
                <w:sz w:val="21"/>
                <w:highlight w:val="none"/>
              </w:rPr>
            </w:pPr>
          </w:p>
        </w:tc>
        <w:tc>
          <w:tcPr>
            <w:tcW w:w="849" w:type="dxa"/>
            <w:vAlign w:val="top"/>
          </w:tcPr>
          <w:p w14:paraId="1BE51D35">
            <w:pPr>
              <w:rPr>
                <w:rFonts w:ascii="Arial"/>
                <w:color w:val="auto"/>
                <w:sz w:val="21"/>
                <w:highlight w:val="none"/>
              </w:rPr>
            </w:pPr>
          </w:p>
        </w:tc>
        <w:tc>
          <w:tcPr>
            <w:tcW w:w="753" w:type="dxa"/>
            <w:vAlign w:val="top"/>
          </w:tcPr>
          <w:p w14:paraId="6EB0B8C2">
            <w:pPr>
              <w:rPr>
                <w:rFonts w:ascii="Arial"/>
                <w:color w:val="auto"/>
                <w:sz w:val="21"/>
                <w:highlight w:val="none"/>
              </w:rPr>
            </w:pPr>
          </w:p>
        </w:tc>
      </w:tr>
      <w:tr w14:paraId="5B951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14A12B4D">
            <w:pPr>
              <w:rPr>
                <w:rFonts w:ascii="Arial"/>
                <w:color w:val="auto"/>
                <w:sz w:val="21"/>
                <w:highlight w:val="none"/>
              </w:rPr>
            </w:pPr>
          </w:p>
        </w:tc>
        <w:tc>
          <w:tcPr>
            <w:tcW w:w="1032" w:type="dxa"/>
            <w:vAlign w:val="top"/>
          </w:tcPr>
          <w:p w14:paraId="00FC9025">
            <w:pPr>
              <w:rPr>
                <w:rFonts w:ascii="Arial"/>
                <w:color w:val="auto"/>
                <w:sz w:val="21"/>
                <w:highlight w:val="none"/>
              </w:rPr>
            </w:pPr>
          </w:p>
        </w:tc>
        <w:tc>
          <w:tcPr>
            <w:tcW w:w="657" w:type="dxa"/>
            <w:vAlign w:val="top"/>
          </w:tcPr>
          <w:p w14:paraId="02ED9D01">
            <w:pPr>
              <w:rPr>
                <w:rFonts w:ascii="Arial"/>
                <w:color w:val="auto"/>
                <w:sz w:val="21"/>
                <w:highlight w:val="none"/>
              </w:rPr>
            </w:pPr>
          </w:p>
        </w:tc>
        <w:tc>
          <w:tcPr>
            <w:tcW w:w="989" w:type="dxa"/>
            <w:vAlign w:val="top"/>
          </w:tcPr>
          <w:p w14:paraId="6DAF69CB">
            <w:pPr>
              <w:rPr>
                <w:rFonts w:ascii="Arial"/>
                <w:color w:val="auto"/>
                <w:sz w:val="21"/>
                <w:highlight w:val="none"/>
              </w:rPr>
            </w:pPr>
          </w:p>
        </w:tc>
        <w:tc>
          <w:tcPr>
            <w:tcW w:w="696" w:type="dxa"/>
            <w:vAlign w:val="top"/>
          </w:tcPr>
          <w:p w14:paraId="2573F6F4">
            <w:pPr>
              <w:rPr>
                <w:rFonts w:ascii="Arial"/>
                <w:color w:val="auto"/>
                <w:sz w:val="21"/>
                <w:highlight w:val="none"/>
              </w:rPr>
            </w:pPr>
          </w:p>
        </w:tc>
        <w:tc>
          <w:tcPr>
            <w:tcW w:w="691" w:type="dxa"/>
            <w:vAlign w:val="top"/>
          </w:tcPr>
          <w:p w14:paraId="62A785EB">
            <w:pPr>
              <w:rPr>
                <w:rFonts w:ascii="Arial"/>
                <w:color w:val="auto"/>
                <w:sz w:val="21"/>
                <w:highlight w:val="none"/>
              </w:rPr>
            </w:pPr>
          </w:p>
        </w:tc>
        <w:tc>
          <w:tcPr>
            <w:tcW w:w="1161" w:type="dxa"/>
            <w:vAlign w:val="top"/>
          </w:tcPr>
          <w:p w14:paraId="040B379C">
            <w:pPr>
              <w:rPr>
                <w:rFonts w:ascii="Arial"/>
                <w:color w:val="auto"/>
                <w:sz w:val="21"/>
                <w:highlight w:val="none"/>
              </w:rPr>
            </w:pPr>
          </w:p>
        </w:tc>
        <w:tc>
          <w:tcPr>
            <w:tcW w:w="845" w:type="dxa"/>
            <w:vAlign w:val="top"/>
          </w:tcPr>
          <w:p w14:paraId="5EB652AC">
            <w:pPr>
              <w:rPr>
                <w:rFonts w:ascii="Arial"/>
                <w:color w:val="auto"/>
                <w:sz w:val="21"/>
                <w:highlight w:val="none"/>
              </w:rPr>
            </w:pPr>
          </w:p>
        </w:tc>
        <w:tc>
          <w:tcPr>
            <w:tcW w:w="849" w:type="dxa"/>
            <w:vAlign w:val="top"/>
          </w:tcPr>
          <w:p w14:paraId="3F50D549">
            <w:pPr>
              <w:rPr>
                <w:rFonts w:ascii="Arial"/>
                <w:color w:val="auto"/>
                <w:sz w:val="21"/>
                <w:highlight w:val="none"/>
              </w:rPr>
            </w:pPr>
          </w:p>
        </w:tc>
        <w:tc>
          <w:tcPr>
            <w:tcW w:w="753" w:type="dxa"/>
            <w:vAlign w:val="top"/>
          </w:tcPr>
          <w:p w14:paraId="0BD31735">
            <w:pPr>
              <w:rPr>
                <w:rFonts w:ascii="Arial"/>
                <w:color w:val="auto"/>
                <w:sz w:val="21"/>
                <w:highlight w:val="none"/>
              </w:rPr>
            </w:pPr>
          </w:p>
        </w:tc>
      </w:tr>
      <w:tr w14:paraId="6C220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6542EF7">
            <w:pPr>
              <w:rPr>
                <w:rFonts w:ascii="Arial"/>
                <w:color w:val="auto"/>
                <w:sz w:val="21"/>
                <w:highlight w:val="none"/>
              </w:rPr>
            </w:pPr>
          </w:p>
        </w:tc>
        <w:tc>
          <w:tcPr>
            <w:tcW w:w="1032" w:type="dxa"/>
            <w:vAlign w:val="top"/>
          </w:tcPr>
          <w:p w14:paraId="4C4CA041">
            <w:pPr>
              <w:rPr>
                <w:rFonts w:ascii="Arial"/>
                <w:color w:val="auto"/>
                <w:sz w:val="21"/>
                <w:highlight w:val="none"/>
              </w:rPr>
            </w:pPr>
          </w:p>
        </w:tc>
        <w:tc>
          <w:tcPr>
            <w:tcW w:w="657" w:type="dxa"/>
            <w:vAlign w:val="top"/>
          </w:tcPr>
          <w:p w14:paraId="17B4B112">
            <w:pPr>
              <w:rPr>
                <w:rFonts w:ascii="Arial"/>
                <w:color w:val="auto"/>
                <w:sz w:val="21"/>
                <w:highlight w:val="none"/>
              </w:rPr>
            </w:pPr>
          </w:p>
        </w:tc>
        <w:tc>
          <w:tcPr>
            <w:tcW w:w="989" w:type="dxa"/>
            <w:vAlign w:val="top"/>
          </w:tcPr>
          <w:p w14:paraId="7C591714">
            <w:pPr>
              <w:rPr>
                <w:rFonts w:ascii="Arial"/>
                <w:color w:val="auto"/>
                <w:sz w:val="21"/>
                <w:highlight w:val="none"/>
              </w:rPr>
            </w:pPr>
          </w:p>
        </w:tc>
        <w:tc>
          <w:tcPr>
            <w:tcW w:w="696" w:type="dxa"/>
            <w:vAlign w:val="top"/>
          </w:tcPr>
          <w:p w14:paraId="198822C4">
            <w:pPr>
              <w:rPr>
                <w:rFonts w:ascii="Arial"/>
                <w:color w:val="auto"/>
                <w:sz w:val="21"/>
                <w:highlight w:val="none"/>
              </w:rPr>
            </w:pPr>
          </w:p>
        </w:tc>
        <w:tc>
          <w:tcPr>
            <w:tcW w:w="691" w:type="dxa"/>
            <w:vAlign w:val="top"/>
          </w:tcPr>
          <w:p w14:paraId="50BE9A37">
            <w:pPr>
              <w:rPr>
                <w:rFonts w:ascii="Arial"/>
                <w:color w:val="auto"/>
                <w:sz w:val="21"/>
                <w:highlight w:val="none"/>
              </w:rPr>
            </w:pPr>
          </w:p>
        </w:tc>
        <w:tc>
          <w:tcPr>
            <w:tcW w:w="1161" w:type="dxa"/>
            <w:vAlign w:val="top"/>
          </w:tcPr>
          <w:p w14:paraId="57196BB4">
            <w:pPr>
              <w:rPr>
                <w:rFonts w:ascii="Arial"/>
                <w:color w:val="auto"/>
                <w:sz w:val="21"/>
                <w:highlight w:val="none"/>
              </w:rPr>
            </w:pPr>
          </w:p>
        </w:tc>
        <w:tc>
          <w:tcPr>
            <w:tcW w:w="845" w:type="dxa"/>
            <w:vAlign w:val="top"/>
          </w:tcPr>
          <w:p w14:paraId="059603E1">
            <w:pPr>
              <w:rPr>
                <w:rFonts w:ascii="Arial"/>
                <w:color w:val="auto"/>
                <w:sz w:val="21"/>
                <w:highlight w:val="none"/>
              </w:rPr>
            </w:pPr>
          </w:p>
        </w:tc>
        <w:tc>
          <w:tcPr>
            <w:tcW w:w="849" w:type="dxa"/>
            <w:vAlign w:val="top"/>
          </w:tcPr>
          <w:p w14:paraId="597FE956">
            <w:pPr>
              <w:rPr>
                <w:rFonts w:ascii="Arial"/>
                <w:color w:val="auto"/>
                <w:sz w:val="21"/>
                <w:highlight w:val="none"/>
              </w:rPr>
            </w:pPr>
          </w:p>
        </w:tc>
        <w:tc>
          <w:tcPr>
            <w:tcW w:w="753" w:type="dxa"/>
            <w:vAlign w:val="top"/>
          </w:tcPr>
          <w:p w14:paraId="142CBBAD">
            <w:pPr>
              <w:rPr>
                <w:rFonts w:ascii="Arial"/>
                <w:color w:val="auto"/>
                <w:sz w:val="21"/>
                <w:highlight w:val="none"/>
              </w:rPr>
            </w:pPr>
          </w:p>
        </w:tc>
      </w:tr>
      <w:tr w14:paraId="4DE32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768FD0D5">
            <w:pPr>
              <w:rPr>
                <w:rFonts w:ascii="Arial"/>
                <w:color w:val="auto"/>
                <w:sz w:val="21"/>
                <w:highlight w:val="none"/>
              </w:rPr>
            </w:pPr>
          </w:p>
        </w:tc>
        <w:tc>
          <w:tcPr>
            <w:tcW w:w="1032" w:type="dxa"/>
            <w:vAlign w:val="top"/>
          </w:tcPr>
          <w:p w14:paraId="0E2531AA">
            <w:pPr>
              <w:rPr>
                <w:rFonts w:ascii="Arial"/>
                <w:color w:val="auto"/>
                <w:sz w:val="21"/>
                <w:highlight w:val="none"/>
              </w:rPr>
            </w:pPr>
          </w:p>
        </w:tc>
        <w:tc>
          <w:tcPr>
            <w:tcW w:w="657" w:type="dxa"/>
            <w:vAlign w:val="top"/>
          </w:tcPr>
          <w:p w14:paraId="05FD9FDF">
            <w:pPr>
              <w:rPr>
                <w:rFonts w:ascii="Arial"/>
                <w:color w:val="auto"/>
                <w:sz w:val="21"/>
                <w:highlight w:val="none"/>
              </w:rPr>
            </w:pPr>
          </w:p>
        </w:tc>
        <w:tc>
          <w:tcPr>
            <w:tcW w:w="989" w:type="dxa"/>
            <w:vAlign w:val="top"/>
          </w:tcPr>
          <w:p w14:paraId="5CEDEA78">
            <w:pPr>
              <w:rPr>
                <w:rFonts w:ascii="Arial"/>
                <w:color w:val="auto"/>
                <w:sz w:val="21"/>
                <w:highlight w:val="none"/>
              </w:rPr>
            </w:pPr>
          </w:p>
        </w:tc>
        <w:tc>
          <w:tcPr>
            <w:tcW w:w="696" w:type="dxa"/>
            <w:vAlign w:val="top"/>
          </w:tcPr>
          <w:p w14:paraId="2F216902">
            <w:pPr>
              <w:rPr>
                <w:rFonts w:ascii="Arial"/>
                <w:color w:val="auto"/>
                <w:sz w:val="21"/>
                <w:highlight w:val="none"/>
              </w:rPr>
            </w:pPr>
          </w:p>
        </w:tc>
        <w:tc>
          <w:tcPr>
            <w:tcW w:w="691" w:type="dxa"/>
            <w:vAlign w:val="top"/>
          </w:tcPr>
          <w:p w14:paraId="36BD188F">
            <w:pPr>
              <w:rPr>
                <w:rFonts w:ascii="Arial"/>
                <w:color w:val="auto"/>
                <w:sz w:val="21"/>
                <w:highlight w:val="none"/>
              </w:rPr>
            </w:pPr>
          </w:p>
        </w:tc>
        <w:tc>
          <w:tcPr>
            <w:tcW w:w="1161" w:type="dxa"/>
            <w:vAlign w:val="top"/>
          </w:tcPr>
          <w:p w14:paraId="1F979B05">
            <w:pPr>
              <w:rPr>
                <w:rFonts w:ascii="Arial"/>
                <w:color w:val="auto"/>
                <w:sz w:val="21"/>
                <w:highlight w:val="none"/>
              </w:rPr>
            </w:pPr>
          </w:p>
        </w:tc>
        <w:tc>
          <w:tcPr>
            <w:tcW w:w="845" w:type="dxa"/>
            <w:vAlign w:val="top"/>
          </w:tcPr>
          <w:p w14:paraId="45DCFC14">
            <w:pPr>
              <w:rPr>
                <w:rFonts w:ascii="Arial"/>
                <w:color w:val="auto"/>
                <w:sz w:val="21"/>
                <w:highlight w:val="none"/>
              </w:rPr>
            </w:pPr>
          </w:p>
        </w:tc>
        <w:tc>
          <w:tcPr>
            <w:tcW w:w="849" w:type="dxa"/>
            <w:vAlign w:val="top"/>
          </w:tcPr>
          <w:p w14:paraId="7CE798DF">
            <w:pPr>
              <w:rPr>
                <w:rFonts w:ascii="Arial"/>
                <w:color w:val="auto"/>
                <w:sz w:val="21"/>
                <w:highlight w:val="none"/>
              </w:rPr>
            </w:pPr>
          </w:p>
        </w:tc>
        <w:tc>
          <w:tcPr>
            <w:tcW w:w="753" w:type="dxa"/>
            <w:vAlign w:val="top"/>
          </w:tcPr>
          <w:p w14:paraId="24A1D8B7">
            <w:pPr>
              <w:rPr>
                <w:rFonts w:ascii="Arial"/>
                <w:color w:val="auto"/>
                <w:sz w:val="21"/>
                <w:highlight w:val="none"/>
              </w:rPr>
            </w:pPr>
          </w:p>
        </w:tc>
      </w:tr>
      <w:tr w14:paraId="1C891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50ED11D">
            <w:pPr>
              <w:rPr>
                <w:rFonts w:ascii="Arial"/>
                <w:color w:val="auto"/>
                <w:sz w:val="21"/>
                <w:highlight w:val="none"/>
              </w:rPr>
            </w:pPr>
          </w:p>
        </w:tc>
        <w:tc>
          <w:tcPr>
            <w:tcW w:w="1032" w:type="dxa"/>
            <w:vAlign w:val="top"/>
          </w:tcPr>
          <w:p w14:paraId="7A88C153">
            <w:pPr>
              <w:rPr>
                <w:rFonts w:ascii="Arial"/>
                <w:color w:val="auto"/>
                <w:sz w:val="21"/>
                <w:highlight w:val="none"/>
              </w:rPr>
            </w:pPr>
          </w:p>
        </w:tc>
        <w:tc>
          <w:tcPr>
            <w:tcW w:w="657" w:type="dxa"/>
            <w:vAlign w:val="top"/>
          </w:tcPr>
          <w:p w14:paraId="1EEDFB6A">
            <w:pPr>
              <w:rPr>
                <w:rFonts w:ascii="Arial"/>
                <w:color w:val="auto"/>
                <w:sz w:val="21"/>
                <w:highlight w:val="none"/>
              </w:rPr>
            </w:pPr>
          </w:p>
        </w:tc>
        <w:tc>
          <w:tcPr>
            <w:tcW w:w="989" w:type="dxa"/>
            <w:vAlign w:val="top"/>
          </w:tcPr>
          <w:p w14:paraId="09F6BBDD">
            <w:pPr>
              <w:rPr>
                <w:rFonts w:ascii="Arial"/>
                <w:color w:val="auto"/>
                <w:sz w:val="21"/>
                <w:highlight w:val="none"/>
              </w:rPr>
            </w:pPr>
          </w:p>
        </w:tc>
        <w:tc>
          <w:tcPr>
            <w:tcW w:w="696" w:type="dxa"/>
            <w:vAlign w:val="top"/>
          </w:tcPr>
          <w:p w14:paraId="021DFBE0">
            <w:pPr>
              <w:rPr>
                <w:rFonts w:ascii="Arial"/>
                <w:color w:val="auto"/>
                <w:sz w:val="21"/>
                <w:highlight w:val="none"/>
              </w:rPr>
            </w:pPr>
          </w:p>
        </w:tc>
        <w:tc>
          <w:tcPr>
            <w:tcW w:w="691" w:type="dxa"/>
            <w:vAlign w:val="top"/>
          </w:tcPr>
          <w:p w14:paraId="10548DAD">
            <w:pPr>
              <w:rPr>
                <w:rFonts w:ascii="Arial"/>
                <w:color w:val="auto"/>
                <w:sz w:val="21"/>
                <w:highlight w:val="none"/>
              </w:rPr>
            </w:pPr>
          </w:p>
        </w:tc>
        <w:tc>
          <w:tcPr>
            <w:tcW w:w="1161" w:type="dxa"/>
            <w:vAlign w:val="top"/>
          </w:tcPr>
          <w:p w14:paraId="0072CDC2">
            <w:pPr>
              <w:rPr>
                <w:rFonts w:ascii="Arial"/>
                <w:color w:val="auto"/>
                <w:sz w:val="21"/>
                <w:highlight w:val="none"/>
              </w:rPr>
            </w:pPr>
          </w:p>
        </w:tc>
        <w:tc>
          <w:tcPr>
            <w:tcW w:w="845" w:type="dxa"/>
            <w:vAlign w:val="top"/>
          </w:tcPr>
          <w:p w14:paraId="350082D8">
            <w:pPr>
              <w:rPr>
                <w:rFonts w:ascii="Arial"/>
                <w:color w:val="auto"/>
                <w:sz w:val="21"/>
                <w:highlight w:val="none"/>
              </w:rPr>
            </w:pPr>
          </w:p>
        </w:tc>
        <w:tc>
          <w:tcPr>
            <w:tcW w:w="849" w:type="dxa"/>
            <w:vAlign w:val="top"/>
          </w:tcPr>
          <w:p w14:paraId="220D09F3">
            <w:pPr>
              <w:rPr>
                <w:rFonts w:ascii="Arial"/>
                <w:color w:val="auto"/>
                <w:sz w:val="21"/>
                <w:highlight w:val="none"/>
              </w:rPr>
            </w:pPr>
          </w:p>
        </w:tc>
        <w:tc>
          <w:tcPr>
            <w:tcW w:w="753" w:type="dxa"/>
            <w:vAlign w:val="top"/>
          </w:tcPr>
          <w:p w14:paraId="125EBD7B">
            <w:pPr>
              <w:rPr>
                <w:rFonts w:ascii="Arial"/>
                <w:color w:val="auto"/>
                <w:sz w:val="21"/>
                <w:highlight w:val="none"/>
              </w:rPr>
            </w:pPr>
          </w:p>
        </w:tc>
      </w:tr>
      <w:tr w14:paraId="78A7B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64C477D">
            <w:pPr>
              <w:rPr>
                <w:rFonts w:ascii="Arial"/>
                <w:color w:val="auto"/>
                <w:sz w:val="21"/>
                <w:highlight w:val="none"/>
              </w:rPr>
            </w:pPr>
          </w:p>
        </w:tc>
        <w:tc>
          <w:tcPr>
            <w:tcW w:w="1032" w:type="dxa"/>
            <w:vAlign w:val="top"/>
          </w:tcPr>
          <w:p w14:paraId="5F1EF8F0">
            <w:pPr>
              <w:rPr>
                <w:rFonts w:ascii="Arial"/>
                <w:color w:val="auto"/>
                <w:sz w:val="21"/>
                <w:highlight w:val="none"/>
              </w:rPr>
            </w:pPr>
          </w:p>
        </w:tc>
        <w:tc>
          <w:tcPr>
            <w:tcW w:w="657" w:type="dxa"/>
            <w:vAlign w:val="top"/>
          </w:tcPr>
          <w:p w14:paraId="5318787D">
            <w:pPr>
              <w:rPr>
                <w:rFonts w:ascii="Arial"/>
                <w:color w:val="auto"/>
                <w:sz w:val="21"/>
                <w:highlight w:val="none"/>
              </w:rPr>
            </w:pPr>
          </w:p>
        </w:tc>
        <w:tc>
          <w:tcPr>
            <w:tcW w:w="989" w:type="dxa"/>
            <w:vAlign w:val="top"/>
          </w:tcPr>
          <w:p w14:paraId="75790112">
            <w:pPr>
              <w:rPr>
                <w:rFonts w:ascii="Arial"/>
                <w:color w:val="auto"/>
                <w:sz w:val="21"/>
                <w:highlight w:val="none"/>
              </w:rPr>
            </w:pPr>
          </w:p>
        </w:tc>
        <w:tc>
          <w:tcPr>
            <w:tcW w:w="696" w:type="dxa"/>
            <w:vAlign w:val="top"/>
          </w:tcPr>
          <w:p w14:paraId="01106508">
            <w:pPr>
              <w:rPr>
                <w:rFonts w:ascii="Arial"/>
                <w:color w:val="auto"/>
                <w:sz w:val="21"/>
                <w:highlight w:val="none"/>
              </w:rPr>
            </w:pPr>
          </w:p>
        </w:tc>
        <w:tc>
          <w:tcPr>
            <w:tcW w:w="691" w:type="dxa"/>
            <w:vAlign w:val="top"/>
          </w:tcPr>
          <w:p w14:paraId="6E8CC299">
            <w:pPr>
              <w:rPr>
                <w:rFonts w:ascii="Arial"/>
                <w:color w:val="auto"/>
                <w:sz w:val="21"/>
                <w:highlight w:val="none"/>
              </w:rPr>
            </w:pPr>
          </w:p>
        </w:tc>
        <w:tc>
          <w:tcPr>
            <w:tcW w:w="1161" w:type="dxa"/>
            <w:vAlign w:val="top"/>
          </w:tcPr>
          <w:p w14:paraId="6A82C6DB">
            <w:pPr>
              <w:rPr>
                <w:rFonts w:ascii="Arial"/>
                <w:color w:val="auto"/>
                <w:sz w:val="21"/>
                <w:highlight w:val="none"/>
              </w:rPr>
            </w:pPr>
          </w:p>
        </w:tc>
        <w:tc>
          <w:tcPr>
            <w:tcW w:w="845" w:type="dxa"/>
            <w:vAlign w:val="top"/>
          </w:tcPr>
          <w:p w14:paraId="4651E3C6">
            <w:pPr>
              <w:rPr>
                <w:rFonts w:ascii="Arial"/>
                <w:color w:val="auto"/>
                <w:sz w:val="21"/>
                <w:highlight w:val="none"/>
              </w:rPr>
            </w:pPr>
          </w:p>
        </w:tc>
        <w:tc>
          <w:tcPr>
            <w:tcW w:w="849" w:type="dxa"/>
            <w:vAlign w:val="top"/>
          </w:tcPr>
          <w:p w14:paraId="2FFB4912">
            <w:pPr>
              <w:rPr>
                <w:rFonts w:ascii="Arial"/>
                <w:color w:val="auto"/>
                <w:sz w:val="21"/>
                <w:highlight w:val="none"/>
              </w:rPr>
            </w:pPr>
          </w:p>
        </w:tc>
        <w:tc>
          <w:tcPr>
            <w:tcW w:w="753" w:type="dxa"/>
            <w:vAlign w:val="top"/>
          </w:tcPr>
          <w:p w14:paraId="06EA52B0">
            <w:pPr>
              <w:rPr>
                <w:rFonts w:ascii="Arial"/>
                <w:color w:val="auto"/>
                <w:sz w:val="21"/>
                <w:highlight w:val="none"/>
              </w:rPr>
            </w:pPr>
          </w:p>
        </w:tc>
      </w:tr>
      <w:tr w14:paraId="066EB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EE31960">
            <w:pPr>
              <w:rPr>
                <w:rFonts w:ascii="Arial"/>
                <w:color w:val="auto"/>
                <w:sz w:val="21"/>
                <w:highlight w:val="none"/>
              </w:rPr>
            </w:pPr>
          </w:p>
        </w:tc>
        <w:tc>
          <w:tcPr>
            <w:tcW w:w="1032" w:type="dxa"/>
            <w:vAlign w:val="top"/>
          </w:tcPr>
          <w:p w14:paraId="493FA32F">
            <w:pPr>
              <w:rPr>
                <w:rFonts w:ascii="Arial"/>
                <w:color w:val="auto"/>
                <w:sz w:val="21"/>
                <w:highlight w:val="none"/>
              </w:rPr>
            </w:pPr>
          </w:p>
        </w:tc>
        <w:tc>
          <w:tcPr>
            <w:tcW w:w="657" w:type="dxa"/>
            <w:vAlign w:val="top"/>
          </w:tcPr>
          <w:p w14:paraId="04815439">
            <w:pPr>
              <w:rPr>
                <w:rFonts w:ascii="Arial"/>
                <w:color w:val="auto"/>
                <w:sz w:val="21"/>
                <w:highlight w:val="none"/>
              </w:rPr>
            </w:pPr>
          </w:p>
        </w:tc>
        <w:tc>
          <w:tcPr>
            <w:tcW w:w="989" w:type="dxa"/>
            <w:vAlign w:val="top"/>
          </w:tcPr>
          <w:p w14:paraId="0A6DD054">
            <w:pPr>
              <w:rPr>
                <w:rFonts w:ascii="Arial"/>
                <w:color w:val="auto"/>
                <w:sz w:val="21"/>
                <w:highlight w:val="none"/>
              </w:rPr>
            </w:pPr>
          </w:p>
        </w:tc>
        <w:tc>
          <w:tcPr>
            <w:tcW w:w="696" w:type="dxa"/>
            <w:vAlign w:val="top"/>
          </w:tcPr>
          <w:p w14:paraId="5853D2E9">
            <w:pPr>
              <w:rPr>
                <w:rFonts w:ascii="Arial"/>
                <w:color w:val="auto"/>
                <w:sz w:val="21"/>
                <w:highlight w:val="none"/>
              </w:rPr>
            </w:pPr>
          </w:p>
        </w:tc>
        <w:tc>
          <w:tcPr>
            <w:tcW w:w="691" w:type="dxa"/>
            <w:vAlign w:val="top"/>
          </w:tcPr>
          <w:p w14:paraId="6FD13C0B">
            <w:pPr>
              <w:rPr>
                <w:rFonts w:ascii="Arial"/>
                <w:color w:val="auto"/>
                <w:sz w:val="21"/>
                <w:highlight w:val="none"/>
              </w:rPr>
            </w:pPr>
          </w:p>
        </w:tc>
        <w:tc>
          <w:tcPr>
            <w:tcW w:w="1161" w:type="dxa"/>
            <w:vAlign w:val="top"/>
          </w:tcPr>
          <w:p w14:paraId="178E643C">
            <w:pPr>
              <w:rPr>
                <w:rFonts w:ascii="Arial"/>
                <w:color w:val="auto"/>
                <w:sz w:val="21"/>
                <w:highlight w:val="none"/>
              </w:rPr>
            </w:pPr>
          </w:p>
        </w:tc>
        <w:tc>
          <w:tcPr>
            <w:tcW w:w="845" w:type="dxa"/>
            <w:vAlign w:val="top"/>
          </w:tcPr>
          <w:p w14:paraId="0DF0162B">
            <w:pPr>
              <w:rPr>
                <w:rFonts w:ascii="Arial"/>
                <w:color w:val="auto"/>
                <w:sz w:val="21"/>
                <w:highlight w:val="none"/>
              </w:rPr>
            </w:pPr>
          </w:p>
        </w:tc>
        <w:tc>
          <w:tcPr>
            <w:tcW w:w="849" w:type="dxa"/>
            <w:vAlign w:val="top"/>
          </w:tcPr>
          <w:p w14:paraId="44553578">
            <w:pPr>
              <w:rPr>
                <w:rFonts w:ascii="Arial"/>
                <w:color w:val="auto"/>
                <w:sz w:val="21"/>
                <w:highlight w:val="none"/>
              </w:rPr>
            </w:pPr>
          </w:p>
        </w:tc>
        <w:tc>
          <w:tcPr>
            <w:tcW w:w="753" w:type="dxa"/>
            <w:vAlign w:val="top"/>
          </w:tcPr>
          <w:p w14:paraId="608D4038">
            <w:pPr>
              <w:rPr>
                <w:rFonts w:ascii="Arial"/>
                <w:color w:val="auto"/>
                <w:sz w:val="21"/>
                <w:highlight w:val="none"/>
              </w:rPr>
            </w:pPr>
          </w:p>
        </w:tc>
      </w:tr>
      <w:tr w14:paraId="63732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EB9C320">
            <w:pPr>
              <w:rPr>
                <w:rFonts w:ascii="Arial"/>
                <w:color w:val="auto"/>
                <w:sz w:val="21"/>
                <w:highlight w:val="none"/>
              </w:rPr>
            </w:pPr>
          </w:p>
        </w:tc>
        <w:tc>
          <w:tcPr>
            <w:tcW w:w="1032" w:type="dxa"/>
            <w:vAlign w:val="top"/>
          </w:tcPr>
          <w:p w14:paraId="77DAB0FF">
            <w:pPr>
              <w:rPr>
                <w:rFonts w:ascii="Arial"/>
                <w:color w:val="auto"/>
                <w:sz w:val="21"/>
                <w:highlight w:val="none"/>
              </w:rPr>
            </w:pPr>
          </w:p>
        </w:tc>
        <w:tc>
          <w:tcPr>
            <w:tcW w:w="657" w:type="dxa"/>
            <w:vAlign w:val="top"/>
          </w:tcPr>
          <w:p w14:paraId="3ECFBB48">
            <w:pPr>
              <w:rPr>
                <w:rFonts w:ascii="Arial"/>
                <w:color w:val="auto"/>
                <w:sz w:val="21"/>
                <w:highlight w:val="none"/>
              </w:rPr>
            </w:pPr>
          </w:p>
        </w:tc>
        <w:tc>
          <w:tcPr>
            <w:tcW w:w="989" w:type="dxa"/>
            <w:vAlign w:val="top"/>
          </w:tcPr>
          <w:p w14:paraId="56B118E0">
            <w:pPr>
              <w:rPr>
                <w:rFonts w:ascii="Arial"/>
                <w:color w:val="auto"/>
                <w:sz w:val="21"/>
                <w:highlight w:val="none"/>
              </w:rPr>
            </w:pPr>
          </w:p>
        </w:tc>
        <w:tc>
          <w:tcPr>
            <w:tcW w:w="696" w:type="dxa"/>
            <w:vAlign w:val="top"/>
          </w:tcPr>
          <w:p w14:paraId="028B2A4C">
            <w:pPr>
              <w:rPr>
                <w:rFonts w:ascii="Arial"/>
                <w:color w:val="auto"/>
                <w:sz w:val="21"/>
                <w:highlight w:val="none"/>
              </w:rPr>
            </w:pPr>
          </w:p>
        </w:tc>
        <w:tc>
          <w:tcPr>
            <w:tcW w:w="691" w:type="dxa"/>
            <w:vAlign w:val="top"/>
          </w:tcPr>
          <w:p w14:paraId="1FA03553">
            <w:pPr>
              <w:rPr>
                <w:rFonts w:ascii="Arial"/>
                <w:color w:val="auto"/>
                <w:sz w:val="21"/>
                <w:highlight w:val="none"/>
              </w:rPr>
            </w:pPr>
          </w:p>
        </w:tc>
        <w:tc>
          <w:tcPr>
            <w:tcW w:w="1161" w:type="dxa"/>
            <w:vAlign w:val="top"/>
          </w:tcPr>
          <w:p w14:paraId="07ABCCF1">
            <w:pPr>
              <w:rPr>
                <w:rFonts w:ascii="Arial"/>
                <w:color w:val="auto"/>
                <w:sz w:val="21"/>
                <w:highlight w:val="none"/>
              </w:rPr>
            </w:pPr>
          </w:p>
        </w:tc>
        <w:tc>
          <w:tcPr>
            <w:tcW w:w="845" w:type="dxa"/>
            <w:vAlign w:val="top"/>
          </w:tcPr>
          <w:p w14:paraId="0BD8DB5E">
            <w:pPr>
              <w:rPr>
                <w:rFonts w:ascii="Arial"/>
                <w:color w:val="auto"/>
                <w:sz w:val="21"/>
                <w:highlight w:val="none"/>
              </w:rPr>
            </w:pPr>
          </w:p>
        </w:tc>
        <w:tc>
          <w:tcPr>
            <w:tcW w:w="849" w:type="dxa"/>
            <w:vAlign w:val="top"/>
          </w:tcPr>
          <w:p w14:paraId="5D4F8D91">
            <w:pPr>
              <w:rPr>
                <w:rFonts w:ascii="Arial"/>
                <w:color w:val="auto"/>
                <w:sz w:val="21"/>
                <w:highlight w:val="none"/>
              </w:rPr>
            </w:pPr>
          </w:p>
        </w:tc>
        <w:tc>
          <w:tcPr>
            <w:tcW w:w="753" w:type="dxa"/>
            <w:vAlign w:val="top"/>
          </w:tcPr>
          <w:p w14:paraId="1823A5F1">
            <w:pPr>
              <w:rPr>
                <w:rFonts w:ascii="Arial"/>
                <w:color w:val="auto"/>
                <w:sz w:val="21"/>
                <w:highlight w:val="none"/>
              </w:rPr>
            </w:pPr>
          </w:p>
        </w:tc>
      </w:tr>
      <w:tr w14:paraId="2BFD5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BA5BA53">
            <w:pPr>
              <w:rPr>
                <w:rFonts w:ascii="Arial"/>
                <w:color w:val="auto"/>
                <w:sz w:val="21"/>
                <w:highlight w:val="none"/>
              </w:rPr>
            </w:pPr>
          </w:p>
        </w:tc>
        <w:tc>
          <w:tcPr>
            <w:tcW w:w="1032" w:type="dxa"/>
            <w:vAlign w:val="top"/>
          </w:tcPr>
          <w:p w14:paraId="005BA6C9">
            <w:pPr>
              <w:rPr>
                <w:rFonts w:ascii="Arial"/>
                <w:color w:val="auto"/>
                <w:sz w:val="21"/>
                <w:highlight w:val="none"/>
              </w:rPr>
            </w:pPr>
          </w:p>
        </w:tc>
        <w:tc>
          <w:tcPr>
            <w:tcW w:w="657" w:type="dxa"/>
            <w:vAlign w:val="top"/>
          </w:tcPr>
          <w:p w14:paraId="47F7C0D4">
            <w:pPr>
              <w:rPr>
                <w:rFonts w:ascii="Arial"/>
                <w:color w:val="auto"/>
                <w:sz w:val="21"/>
                <w:highlight w:val="none"/>
              </w:rPr>
            </w:pPr>
          </w:p>
        </w:tc>
        <w:tc>
          <w:tcPr>
            <w:tcW w:w="989" w:type="dxa"/>
            <w:vAlign w:val="top"/>
          </w:tcPr>
          <w:p w14:paraId="61607785">
            <w:pPr>
              <w:rPr>
                <w:rFonts w:ascii="Arial"/>
                <w:color w:val="auto"/>
                <w:sz w:val="21"/>
                <w:highlight w:val="none"/>
              </w:rPr>
            </w:pPr>
          </w:p>
        </w:tc>
        <w:tc>
          <w:tcPr>
            <w:tcW w:w="696" w:type="dxa"/>
            <w:vAlign w:val="top"/>
          </w:tcPr>
          <w:p w14:paraId="5614023A">
            <w:pPr>
              <w:rPr>
                <w:rFonts w:ascii="Arial"/>
                <w:color w:val="auto"/>
                <w:sz w:val="21"/>
                <w:highlight w:val="none"/>
              </w:rPr>
            </w:pPr>
          </w:p>
        </w:tc>
        <w:tc>
          <w:tcPr>
            <w:tcW w:w="691" w:type="dxa"/>
            <w:vAlign w:val="top"/>
          </w:tcPr>
          <w:p w14:paraId="6CB028C2">
            <w:pPr>
              <w:rPr>
                <w:rFonts w:ascii="Arial"/>
                <w:color w:val="auto"/>
                <w:sz w:val="21"/>
                <w:highlight w:val="none"/>
              </w:rPr>
            </w:pPr>
          </w:p>
        </w:tc>
        <w:tc>
          <w:tcPr>
            <w:tcW w:w="1161" w:type="dxa"/>
            <w:vAlign w:val="top"/>
          </w:tcPr>
          <w:p w14:paraId="03DF52F5">
            <w:pPr>
              <w:rPr>
                <w:rFonts w:ascii="Arial"/>
                <w:color w:val="auto"/>
                <w:sz w:val="21"/>
                <w:highlight w:val="none"/>
              </w:rPr>
            </w:pPr>
          </w:p>
        </w:tc>
        <w:tc>
          <w:tcPr>
            <w:tcW w:w="845" w:type="dxa"/>
            <w:vAlign w:val="top"/>
          </w:tcPr>
          <w:p w14:paraId="573E9551">
            <w:pPr>
              <w:rPr>
                <w:rFonts w:ascii="Arial"/>
                <w:color w:val="auto"/>
                <w:sz w:val="21"/>
                <w:highlight w:val="none"/>
              </w:rPr>
            </w:pPr>
          </w:p>
        </w:tc>
        <w:tc>
          <w:tcPr>
            <w:tcW w:w="849" w:type="dxa"/>
            <w:vAlign w:val="top"/>
          </w:tcPr>
          <w:p w14:paraId="66C2F25F">
            <w:pPr>
              <w:rPr>
                <w:rFonts w:ascii="Arial"/>
                <w:color w:val="auto"/>
                <w:sz w:val="21"/>
                <w:highlight w:val="none"/>
              </w:rPr>
            </w:pPr>
          </w:p>
        </w:tc>
        <w:tc>
          <w:tcPr>
            <w:tcW w:w="753" w:type="dxa"/>
            <w:vAlign w:val="top"/>
          </w:tcPr>
          <w:p w14:paraId="3459FCC1">
            <w:pPr>
              <w:rPr>
                <w:rFonts w:ascii="Arial"/>
                <w:color w:val="auto"/>
                <w:sz w:val="21"/>
                <w:highlight w:val="none"/>
              </w:rPr>
            </w:pPr>
          </w:p>
        </w:tc>
      </w:tr>
      <w:tr w14:paraId="25CD5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009A1F02">
            <w:pPr>
              <w:rPr>
                <w:rFonts w:ascii="Arial"/>
                <w:color w:val="auto"/>
                <w:sz w:val="21"/>
                <w:highlight w:val="none"/>
              </w:rPr>
            </w:pPr>
          </w:p>
        </w:tc>
        <w:tc>
          <w:tcPr>
            <w:tcW w:w="1032" w:type="dxa"/>
            <w:vAlign w:val="top"/>
          </w:tcPr>
          <w:p w14:paraId="31E962C8">
            <w:pPr>
              <w:rPr>
                <w:rFonts w:ascii="Arial"/>
                <w:color w:val="auto"/>
                <w:sz w:val="21"/>
                <w:highlight w:val="none"/>
              </w:rPr>
            </w:pPr>
          </w:p>
        </w:tc>
        <w:tc>
          <w:tcPr>
            <w:tcW w:w="657" w:type="dxa"/>
            <w:vAlign w:val="top"/>
          </w:tcPr>
          <w:p w14:paraId="64FB3E38">
            <w:pPr>
              <w:rPr>
                <w:rFonts w:ascii="Arial"/>
                <w:color w:val="auto"/>
                <w:sz w:val="21"/>
                <w:highlight w:val="none"/>
              </w:rPr>
            </w:pPr>
          </w:p>
        </w:tc>
        <w:tc>
          <w:tcPr>
            <w:tcW w:w="989" w:type="dxa"/>
            <w:vAlign w:val="top"/>
          </w:tcPr>
          <w:p w14:paraId="2DB9D1C4">
            <w:pPr>
              <w:rPr>
                <w:rFonts w:ascii="Arial"/>
                <w:color w:val="auto"/>
                <w:sz w:val="21"/>
                <w:highlight w:val="none"/>
              </w:rPr>
            </w:pPr>
          </w:p>
        </w:tc>
        <w:tc>
          <w:tcPr>
            <w:tcW w:w="696" w:type="dxa"/>
            <w:vAlign w:val="top"/>
          </w:tcPr>
          <w:p w14:paraId="4FC1F084">
            <w:pPr>
              <w:rPr>
                <w:rFonts w:ascii="Arial"/>
                <w:color w:val="auto"/>
                <w:sz w:val="21"/>
                <w:highlight w:val="none"/>
              </w:rPr>
            </w:pPr>
          </w:p>
        </w:tc>
        <w:tc>
          <w:tcPr>
            <w:tcW w:w="691" w:type="dxa"/>
            <w:vAlign w:val="top"/>
          </w:tcPr>
          <w:p w14:paraId="47F7A912">
            <w:pPr>
              <w:rPr>
                <w:rFonts w:ascii="Arial"/>
                <w:color w:val="auto"/>
                <w:sz w:val="21"/>
                <w:highlight w:val="none"/>
              </w:rPr>
            </w:pPr>
          </w:p>
        </w:tc>
        <w:tc>
          <w:tcPr>
            <w:tcW w:w="1161" w:type="dxa"/>
            <w:vAlign w:val="top"/>
          </w:tcPr>
          <w:p w14:paraId="3E42DFF7">
            <w:pPr>
              <w:rPr>
                <w:rFonts w:ascii="Arial"/>
                <w:color w:val="auto"/>
                <w:sz w:val="21"/>
                <w:highlight w:val="none"/>
              </w:rPr>
            </w:pPr>
          </w:p>
        </w:tc>
        <w:tc>
          <w:tcPr>
            <w:tcW w:w="845" w:type="dxa"/>
            <w:vAlign w:val="top"/>
          </w:tcPr>
          <w:p w14:paraId="05863B2E">
            <w:pPr>
              <w:rPr>
                <w:rFonts w:ascii="Arial"/>
                <w:color w:val="auto"/>
                <w:sz w:val="21"/>
                <w:highlight w:val="none"/>
              </w:rPr>
            </w:pPr>
          </w:p>
        </w:tc>
        <w:tc>
          <w:tcPr>
            <w:tcW w:w="849" w:type="dxa"/>
            <w:vAlign w:val="top"/>
          </w:tcPr>
          <w:p w14:paraId="6EC6092D">
            <w:pPr>
              <w:rPr>
                <w:rFonts w:ascii="Arial"/>
                <w:color w:val="auto"/>
                <w:sz w:val="21"/>
                <w:highlight w:val="none"/>
              </w:rPr>
            </w:pPr>
          </w:p>
        </w:tc>
        <w:tc>
          <w:tcPr>
            <w:tcW w:w="753" w:type="dxa"/>
            <w:vAlign w:val="top"/>
          </w:tcPr>
          <w:p w14:paraId="54610795">
            <w:pPr>
              <w:rPr>
                <w:rFonts w:ascii="Arial"/>
                <w:color w:val="auto"/>
                <w:sz w:val="21"/>
                <w:highlight w:val="none"/>
              </w:rPr>
            </w:pPr>
          </w:p>
        </w:tc>
      </w:tr>
      <w:tr w14:paraId="47A36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3EE17AB6">
            <w:pPr>
              <w:rPr>
                <w:rFonts w:ascii="Arial"/>
                <w:color w:val="auto"/>
                <w:sz w:val="21"/>
                <w:highlight w:val="none"/>
              </w:rPr>
            </w:pPr>
          </w:p>
        </w:tc>
        <w:tc>
          <w:tcPr>
            <w:tcW w:w="1032" w:type="dxa"/>
            <w:vAlign w:val="top"/>
          </w:tcPr>
          <w:p w14:paraId="349CE112">
            <w:pPr>
              <w:rPr>
                <w:rFonts w:ascii="Arial"/>
                <w:color w:val="auto"/>
                <w:sz w:val="21"/>
                <w:highlight w:val="none"/>
              </w:rPr>
            </w:pPr>
          </w:p>
        </w:tc>
        <w:tc>
          <w:tcPr>
            <w:tcW w:w="657" w:type="dxa"/>
            <w:vAlign w:val="top"/>
          </w:tcPr>
          <w:p w14:paraId="33DAA046">
            <w:pPr>
              <w:rPr>
                <w:rFonts w:ascii="Arial"/>
                <w:color w:val="auto"/>
                <w:sz w:val="21"/>
                <w:highlight w:val="none"/>
              </w:rPr>
            </w:pPr>
          </w:p>
        </w:tc>
        <w:tc>
          <w:tcPr>
            <w:tcW w:w="989" w:type="dxa"/>
            <w:vAlign w:val="top"/>
          </w:tcPr>
          <w:p w14:paraId="748B6101">
            <w:pPr>
              <w:rPr>
                <w:rFonts w:ascii="Arial"/>
                <w:color w:val="auto"/>
                <w:sz w:val="21"/>
                <w:highlight w:val="none"/>
              </w:rPr>
            </w:pPr>
          </w:p>
        </w:tc>
        <w:tc>
          <w:tcPr>
            <w:tcW w:w="696" w:type="dxa"/>
            <w:vAlign w:val="top"/>
          </w:tcPr>
          <w:p w14:paraId="7426D9C9">
            <w:pPr>
              <w:rPr>
                <w:rFonts w:ascii="Arial"/>
                <w:color w:val="auto"/>
                <w:sz w:val="21"/>
                <w:highlight w:val="none"/>
              </w:rPr>
            </w:pPr>
          </w:p>
        </w:tc>
        <w:tc>
          <w:tcPr>
            <w:tcW w:w="691" w:type="dxa"/>
            <w:vAlign w:val="top"/>
          </w:tcPr>
          <w:p w14:paraId="2E3195D0">
            <w:pPr>
              <w:rPr>
                <w:rFonts w:ascii="Arial"/>
                <w:color w:val="auto"/>
                <w:sz w:val="21"/>
                <w:highlight w:val="none"/>
              </w:rPr>
            </w:pPr>
          </w:p>
        </w:tc>
        <w:tc>
          <w:tcPr>
            <w:tcW w:w="1161" w:type="dxa"/>
            <w:vAlign w:val="top"/>
          </w:tcPr>
          <w:p w14:paraId="7A88B076">
            <w:pPr>
              <w:rPr>
                <w:rFonts w:ascii="Arial"/>
                <w:color w:val="auto"/>
                <w:sz w:val="21"/>
                <w:highlight w:val="none"/>
              </w:rPr>
            </w:pPr>
          </w:p>
        </w:tc>
        <w:tc>
          <w:tcPr>
            <w:tcW w:w="845" w:type="dxa"/>
            <w:vAlign w:val="top"/>
          </w:tcPr>
          <w:p w14:paraId="0145C639">
            <w:pPr>
              <w:rPr>
                <w:rFonts w:ascii="Arial"/>
                <w:color w:val="auto"/>
                <w:sz w:val="21"/>
                <w:highlight w:val="none"/>
              </w:rPr>
            </w:pPr>
          </w:p>
        </w:tc>
        <w:tc>
          <w:tcPr>
            <w:tcW w:w="849" w:type="dxa"/>
            <w:vAlign w:val="top"/>
          </w:tcPr>
          <w:p w14:paraId="19420302">
            <w:pPr>
              <w:rPr>
                <w:rFonts w:ascii="Arial"/>
                <w:color w:val="auto"/>
                <w:sz w:val="21"/>
                <w:highlight w:val="none"/>
              </w:rPr>
            </w:pPr>
          </w:p>
        </w:tc>
        <w:tc>
          <w:tcPr>
            <w:tcW w:w="753" w:type="dxa"/>
            <w:vAlign w:val="top"/>
          </w:tcPr>
          <w:p w14:paraId="77CD80C2">
            <w:pPr>
              <w:rPr>
                <w:rFonts w:ascii="Arial"/>
                <w:color w:val="auto"/>
                <w:sz w:val="21"/>
                <w:highlight w:val="none"/>
              </w:rPr>
            </w:pPr>
          </w:p>
        </w:tc>
      </w:tr>
    </w:tbl>
    <w:p w14:paraId="60AF7341">
      <w:pPr>
        <w:pStyle w:val="5"/>
        <w:rPr>
          <w:color w:val="auto"/>
          <w:highlight w:val="none"/>
        </w:rPr>
      </w:pPr>
    </w:p>
    <w:p w14:paraId="30CF42B9">
      <w:pPr>
        <w:rPr>
          <w:color w:val="auto"/>
          <w:highlight w:val="none"/>
        </w:rPr>
        <w:sectPr>
          <w:footerReference r:id="rId189" w:type="default"/>
          <w:pgSz w:w="11905" w:h="16839"/>
          <w:pgMar w:top="400" w:right="1785" w:bottom="1004" w:left="1785" w:header="0" w:footer="828" w:gutter="0"/>
          <w:pgNumType w:fmt="decimal"/>
          <w:cols w:space="720" w:num="1"/>
        </w:sectPr>
      </w:pPr>
    </w:p>
    <w:p w14:paraId="77ED1048">
      <w:pPr>
        <w:pStyle w:val="5"/>
        <w:spacing w:line="267" w:lineRule="auto"/>
        <w:rPr>
          <w:color w:val="auto"/>
          <w:highlight w:val="none"/>
        </w:rPr>
      </w:pPr>
    </w:p>
    <w:p w14:paraId="3096635F">
      <w:pPr>
        <w:pStyle w:val="5"/>
        <w:spacing w:line="267" w:lineRule="auto"/>
        <w:rPr>
          <w:color w:val="auto"/>
          <w:highlight w:val="none"/>
        </w:rPr>
      </w:pPr>
    </w:p>
    <w:p w14:paraId="060AA45A">
      <w:pPr>
        <w:pStyle w:val="5"/>
        <w:spacing w:line="268" w:lineRule="auto"/>
        <w:rPr>
          <w:color w:val="auto"/>
          <w:highlight w:val="none"/>
        </w:rPr>
      </w:pPr>
    </w:p>
    <w:p w14:paraId="3C27E030">
      <w:pPr>
        <w:pStyle w:val="5"/>
        <w:spacing w:line="268" w:lineRule="auto"/>
        <w:rPr>
          <w:color w:val="auto"/>
          <w:highlight w:val="none"/>
        </w:rPr>
      </w:pPr>
    </w:p>
    <w:p w14:paraId="603AAD26">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附表二：拟配备本工程的试验和检测仪器设</w:t>
      </w:r>
      <w:r>
        <w:rPr>
          <w:rFonts w:ascii="黑体" w:hAnsi="黑体" w:eastAsia="黑体" w:cs="黑体"/>
          <w:color w:val="auto"/>
          <w:spacing w:val="-2"/>
          <w:sz w:val="24"/>
          <w:szCs w:val="24"/>
          <w:highlight w:val="none"/>
        </w:rPr>
        <w:t>备表</w:t>
      </w:r>
    </w:p>
    <w:tbl>
      <w:tblPr>
        <w:tblStyle w:val="17"/>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7251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14:paraId="3053A8D8">
            <w:pPr>
              <w:pStyle w:val="18"/>
              <w:spacing w:before="211" w:line="222" w:lineRule="auto"/>
              <w:ind w:left="170"/>
              <w:rPr>
                <w:color w:val="auto"/>
                <w:highlight w:val="none"/>
              </w:rPr>
            </w:pPr>
            <w:r>
              <w:rPr>
                <w:color w:val="auto"/>
                <w:spacing w:val="-2"/>
                <w:highlight w:val="none"/>
              </w:rPr>
              <w:t>序号</w:t>
            </w:r>
          </w:p>
        </w:tc>
        <w:tc>
          <w:tcPr>
            <w:tcW w:w="1022" w:type="dxa"/>
            <w:vAlign w:val="top"/>
          </w:tcPr>
          <w:p w14:paraId="0E6C724F">
            <w:pPr>
              <w:pStyle w:val="18"/>
              <w:spacing w:before="73" w:line="231" w:lineRule="auto"/>
              <w:ind w:left="197" w:right="196" w:hanging="1"/>
              <w:rPr>
                <w:color w:val="auto"/>
                <w:highlight w:val="none"/>
              </w:rPr>
            </w:pPr>
            <w:r>
              <w:rPr>
                <w:color w:val="auto"/>
                <w:spacing w:val="-2"/>
                <w:highlight w:val="none"/>
              </w:rPr>
              <w:t>仪器设</w:t>
            </w:r>
            <w:r>
              <w:rPr>
                <w:color w:val="auto"/>
                <w:highlight w:val="none"/>
              </w:rPr>
              <w:t xml:space="preserve"> </w:t>
            </w:r>
            <w:r>
              <w:rPr>
                <w:color w:val="auto"/>
                <w:spacing w:val="-3"/>
                <w:highlight w:val="none"/>
              </w:rPr>
              <w:t>备名称</w:t>
            </w:r>
          </w:p>
        </w:tc>
        <w:tc>
          <w:tcPr>
            <w:tcW w:w="652" w:type="dxa"/>
            <w:vAlign w:val="top"/>
          </w:tcPr>
          <w:p w14:paraId="3EFA6D62">
            <w:pPr>
              <w:pStyle w:val="18"/>
              <w:spacing w:before="71" w:line="231" w:lineRule="auto"/>
              <w:ind w:left="120" w:right="113"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984" w:type="dxa"/>
            <w:vAlign w:val="top"/>
          </w:tcPr>
          <w:p w14:paraId="454A5AF9">
            <w:pPr>
              <w:pStyle w:val="18"/>
              <w:spacing w:before="211" w:line="221" w:lineRule="auto"/>
              <w:ind w:left="185"/>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691" w:type="dxa"/>
            <w:vAlign w:val="top"/>
          </w:tcPr>
          <w:p w14:paraId="01EF052C">
            <w:pPr>
              <w:pStyle w:val="18"/>
              <w:spacing w:before="71" w:line="231" w:lineRule="auto"/>
              <w:ind w:left="144" w:right="126" w:firstLine="20"/>
              <w:rPr>
                <w:color w:val="auto"/>
                <w:highlight w:val="none"/>
              </w:rPr>
            </w:pPr>
            <w:r>
              <w:rPr>
                <w:color w:val="auto"/>
                <w:spacing w:val="-14"/>
                <w:highlight w:val="none"/>
              </w:rPr>
              <w:t>国别</w:t>
            </w:r>
            <w:r>
              <w:rPr>
                <w:color w:val="auto"/>
                <w:highlight w:val="none"/>
              </w:rPr>
              <w:t xml:space="preserve"> </w:t>
            </w:r>
            <w:r>
              <w:rPr>
                <w:color w:val="auto"/>
                <w:spacing w:val="-3"/>
                <w:highlight w:val="none"/>
              </w:rPr>
              <w:t>产地</w:t>
            </w:r>
          </w:p>
        </w:tc>
        <w:tc>
          <w:tcPr>
            <w:tcW w:w="686" w:type="dxa"/>
            <w:vAlign w:val="top"/>
          </w:tcPr>
          <w:p w14:paraId="2541A6C7">
            <w:pPr>
              <w:pStyle w:val="18"/>
              <w:spacing w:before="71" w:line="231" w:lineRule="auto"/>
              <w:ind w:left="141" w:right="126"/>
              <w:rPr>
                <w:color w:val="auto"/>
                <w:highlight w:val="none"/>
              </w:rPr>
            </w:pPr>
            <w:r>
              <w:rPr>
                <w:color w:val="auto"/>
                <w:spacing w:val="-4"/>
                <w:highlight w:val="none"/>
              </w:rPr>
              <w:t>制造</w:t>
            </w:r>
            <w:r>
              <w:rPr>
                <w:color w:val="auto"/>
                <w:highlight w:val="none"/>
              </w:rPr>
              <w:t xml:space="preserve"> </w:t>
            </w:r>
            <w:r>
              <w:rPr>
                <w:color w:val="auto"/>
                <w:spacing w:val="-4"/>
                <w:highlight w:val="none"/>
              </w:rPr>
              <w:t>年份</w:t>
            </w:r>
          </w:p>
        </w:tc>
        <w:tc>
          <w:tcPr>
            <w:tcW w:w="1128" w:type="dxa"/>
            <w:vAlign w:val="top"/>
          </w:tcPr>
          <w:p w14:paraId="5CCAF558">
            <w:pPr>
              <w:pStyle w:val="18"/>
              <w:spacing w:before="71" w:line="231" w:lineRule="auto"/>
              <w:ind w:left="160" w:right="135" w:firstLine="13"/>
              <w:rPr>
                <w:color w:val="auto"/>
                <w:highlight w:val="none"/>
              </w:rPr>
            </w:pPr>
            <w:r>
              <w:rPr>
                <w:color w:val="auto"/>
                <w:spacing w:val="-7"/>
                <w:highlight w:val="none"/>
              </w:rPr>
              <w:t>已使用台</w:t>
            </w:r>
            <w:r>
              <w:rPr>
                <w:color w:val="auto"/>
                <w:highlight w:val="none"/>
              </w:rPr>
              <w:t xml:space="preserve"> </w:t>
            </w:r>
            <w:r>
              <w:rPr>
                <w:color w:val="auto"/>
                <w:spacing w:val="-13"/>
                <w:highlight w:val="none"/>
              </w:rPr>
              <w:t>时</w:t>
            </w:r>
            <w:r>
              <w:rPr>
                <w:color w:val="auto"/>
                <w:spacing w:val="3"/>
                <w:highlight w:val="none"/>
              </w:rPr>
              <w:t xml:space="preserve">    </w:t>
            </w:r>
            <w:r>
              <w:rPr>
                <w:color w:val="auto"/>
                <w:spacing w:val="-13"/>
                <w:highlight w:val="none"/>
              </w:rPr>
              <w:t>数</w:t>
            </w:r>
          </w:p>
        </w:tc>
        <w:tc>
          <w:tcPr>
            <w:tcW w:w="1574" w:type="dxa"/>
            <w:vAlign w:val="top"/>
          </w:tcPr>
          <w:p w14:paraId="3BBD6E60">
            <w:pPr>
              <w:pStyle w:val="18"/>
              <w:spacing w:before="211" w:line="222" w:lineRule="auto"/>
              <w:ind w:left="484"/>
              <w:rPr>
                <w:color w:val="auto"/>
                <w:highlight w:val="none"/>
              </w:rPr>
            </w:pPr>
            <w:r>
              <w:rPr>
                <w:color w:val="auto"/>
                <w:spacing w:val="-5"/>
                <w:highlight w:val="none"/>
              </w:rPr>
              <w:t>用</w:t>
            </w:r>
            <w:r>
              <w:rPr>
                <w:color w:val="auto"/>
                <w:spacing w:val="4"/>
                <w:highlight w:val="none"/>
              </w:rPr>
              <w:t xml:space="preserve">  </w:t>
            </w:r>
            <w:r>
              <w:rPr>
                <w:color w:val="auto"/>
                <w:spacing w:val="-5"/>
                <w:highlight w:val="none"/>
              </w:rPr>
              <w:t>途</w:t>
            </w:r>
          </w:p>
        </w:tc>
        <w:tc>
          <w:tcPr>
            <w:tcW w:w="830" w:type="dxa"/>
            <w:vAlign w:val="top"/>
          </w:tcPr>
          <w:p w14:paraId="6AB2753E">
            <w:pPr>
              <w:pStyle w:val="18"/>
              <w:spacing w:before="211" w:line="222" w:lineRule="auto"/>
              <w:ind w:left="212"/>
              <w:rPr>
                <w:color w:val="auto"/>
                <w:highlight w:val="none"/>
              </w:rPr>
            </w:pPr>
            <w:r>
              <w:rPr>
                <w:color w:val="auto"/>
                <w:spacing w:val="-3"/>
                <w:highlight w:val="none"/>
              </w:rPr>
              <w:t>备注</w:t>
            </w:r>
          </w:p>
        </w:tc>
      </w:tr>
      <w:tr w14:paraId="5FCAD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6CBB0D4">
            <w:pPr>
              <w:rPr>
                <w:rFonts w:ascii="Arial"/>
                <w:color w:val="auto"/>
                <w:sz w:val="21"/>
                <w:highlight w:val="none"/>
              </w:rPr>
            </w:pPr>
          </w:p>
        </w:tc>
        <w:tc>
          <w:tcPr>
            <w:tcW w:w="1022" w:type="dxa"/>
            <w:vAlign w:val="top"/>
          </w:tcPr>
          <w:p w14:paraId="45003862">
            <w:pPr>
              <w:rPr>
                <w:rFonts w:ascii="Arial"/>
                <w:color w:val="auto"/>
                <w:sz w:val="21"/>
                <w:highlight w:val="none"/>
              </w:rPr>
            </w:pPr>
          </w:p>
        </w:tc>
        <w:tc>
          <w:tcPr>
            <w:tcW w:w="652" w:type="dxa"/>
            <w:vAlign w:val="top"/>
          </w:tcPr>
          <w:p w14:paraId="2C305353">
            <w:pPr>
              <w:rPr>
                <w:rFonts w:ascii="Arial"/>
                <w:color w:val="auto"/>
                <w:sz w:val="21"/>
                <w:highlight w:val="none"/>
              </w:rPr>
            </w:pPr>
          </w:p>
        </w:tc>
        <w:tc>
          <w:tcPr>
            <w:tcW w:w="984" w:type="dxa"/>
            <w:vAlign w:val="top"/>
          </w:tcPr>
          <w:p w14:paraId="298983EC">
            <w:pPr>
              <w:rPr>
                <w:rFonts w:ascii="Arial"/>
                <w:color w:val="auto"/>
                <w:sz w:val="21"/>
                <w:highlight w:val="none"/>
              </w:rPr>
            </w:pPr>
          </w:p>
        </w:tc>
        <w:tc>
          <w:tcPr>
            <w:tcW w:w="691" w:type="dxa"/>
            <w:vAlign w:val="top"/>
          </w:tcPr>
          <w:p w14:paraId="189706F4">
            <w:pPr>
              <w:rPr>
                <w:rFonts w:ascii="Arial"/>
                <w:color w:val="auto"/>
                <w:sz w:val="21"/>
                <w:highlight w:val="none"/>
              </w:rPr>
            </w:pPr>
          </w:p>
        </w:tc>
        <w:tc>
          <w:tcPr>
            <w:tcW w:w="686" w:type="dxa"/>
            <w:vAlign w:val="top"/>
          </w:tcPr>
          <w:p w14:paraId="4B3A018B">
            <w:pPr>
              <w:rPr>
                <w:rFonts w:ascii="Arial"/>
                <w:color w:val="auto"/>
                <w:sz w:val="21"/>
                <w:highlight w:val="none"/>
              </w:rPr>
            </w:pPr>
          </w:p>
        </w:tc>
        <w:tc>
          <w:tcPr>
            <w:tcW w:w="1128" w:type="dxa"/>
            <w:vAlign w:val="top"/>
          </w:tcPr>
          <w:p w14:paraId="2A64CBD4">
            <w:pPr>
              <w:rPr>
                <w:rFonts w:ascii="Arial"/>
                <w:color w:val="auto"/>
                <w:sz w:val="21"/>
                <w:highlight w:val="none"/>
              </w:rPr>
            </w:pPr>
          </w:p>
        </w:tc>
        <w:tc>
          <w:tcPr>
            <w:tcW w:w="1574" w:type="dxa"/>
            <w:vAlign w:val="top"/>
          </w:tcPr>
          <w:p w14:paraId="39495C14">
            <w:pPr>
              <w:rPr>
                <w:rFonts w:ascii="Arial"/>
                <w:color w:val="auto"/>
                <w:sz w:val="21"/>
                <w:highlight w:val="none"/>
              </w:rPr>
            </w:pPr>
          </w:p>
        </w:tc>
        <w:tc>
          <w:tcPr>
            <w:tcW w:w="830" w:type="dxa"/>
            <w:vAlign w:val="top"/>
          </w:tcPr>
          <w:p w14:paraId="57DC8922">
            <w:pPr>
              <w:rPr>
                <w:rFonts w:ascii="Arial"/>
                <w:color w:val="auto"/>
                <w:sz w:val="21"/>
                <w:highlight w:val="none"/>
              </w:rPr>
            </w:pPr>
          </w:p>
        </w:tc>
      </w:tr>
      <w:tr w14:paraId="7BA61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40AAB2F">
            <w:pPr>
              <w:rPr>
                <w:rFonts w:ascii="Arial"/>
                <w:color w:val="auto"/>
                <w:sz w:val="21"/>
                <w:highlight w:val="none"/>
              </w:rPr>
            </w:pPr>
          </w:p>
        </w:tc>
        <w:tc>
          <w:tcPr>
            <w:tcW w:w="1022" w:type="dxa"/>
            <w:vAlign w:val="top"/>
          </w:tcPr>
          <w:p w14:paraId="416BF8DE">
            <w:pPr>
              <w:rPr>
                <w:rFonts w:ascii="Arial"/>
                <w:color w:val="auto"/>
                <w:sz w:val="21"/>
                <w:highlight w:val="none"/>
              </w:rPr>
            </w:pPr>
          </w:p>
        </w:tc>
        <w:tc>
          <w:tcPr>
            <w:tcW w:w="652" w:type="dxa"/>
            <w:vAlign w:val="top"/>
          </w:tcPr>
          <w:p w14:paraId="6A769202">
            <w:pPr>
              <w:rPr>
                <w:rFonts w:ascii="Arial"/>
                <w:color w:val="auto"/>
                <w:sz w:val="21"/>
                <w:highlight w:val="none"/>
              </w:rPr>
            </w:pPr>
          </w:p>
        </w:tc>
        <w:tc>
          <w:tcPr>
            <w:tcW w:w="984" w:type="dxa"/>
            <w:vAlign w:val="top"/>
          </w:tcPr>
          <w:p w14:paraId="21F1465C">
            <w:pPr>
              <w:rPr>
                <w:rFonts w:ascii="Arial"/>
                <w:color w:val="auto"/>
                <w:sz w:val="21"/>
                <w:highlight w:val="none"/>
              </w:rPr>
            </w:pPr>
          </w:p>
        </w:tc>
        <w:tc>
          <w:tcPr>
            <w:tcW w:w="691" w:type="dxa"/>
            <w:vAlign w:val="top"/>
          </w:tcPr>
          <w:p w14:paraId="07206ED8">
            <w:pPr>
              <w:rPr>
                <w:rFonts w:ascii="Arial"/>
                <w:color w:val="auto"/>
                <w:sz w:val="21"/>
                <w:highlight w:val="none"/>
              </w:rPr>
            </w:pPr>
          </w:p>
        </w:tc>
        <w:tc>
          <w:tcPr>
            <w:tcW w:w="686" w:type="dxa"/>
            <w:vAlign w:val="top"/>
          </w:tcPr>
          <w:p w14:paraId="1AF97F40">
            <w:pPr>
              <w:rPr>
                <w:rFonts w:ascii="Arial"/>
                <w:color w:val="auto"/>
                <w:sz w:val="21"/>
                <w:highlight w:val="none"/>
              </w:rPr>
            </w:pPr>
          </w:p>
        </w:tc>
        <w:tc>
          <w:tcPr>
            <w:tcW w:w="1128" w:type="dxa"/>
            <w:vAlign w:val="top"/>
          </w:tcPr>
          <w:p w14:paraId="254D04F2">
            <w:pPr>
              <w:rPr>
                <w:rFonts w:ascii="Arial"/>
                <w:color w:val="auto"/>
                <w:sz w:val="21"/>
                <w:highlight w:val="none"/>
              </w:rPr>
            </w:pPr>
          </w:p>
        </w:tc>
        <w:tc>
          <w:tcPr>
            <w:tcW w:w="1574" w:type="dxa"/>
            <w:vAlign w:val="top"/>
          </w:tcPr>
          <w:p w14:paraId="66E09353">
            <w:pPr>
              <w:rPr>
                <w:rFonts w:ascii="Arial"/>
                <w:color w:val="auto"/>
                <w:sz w:val="21"/>
                <w:highlight w:val="none"/>
              </w:rPr>
            </w:pPr>
          </w:p>
        </w:tc>
        <w:tc>
          <w:tcPr>
            <w:tcW w:w="830" w:type="dxa"/>
            <w:vAlign w:val="top"/>
          </w:tcPr>
          <w:p w14:paraId="1E7F34B1">
            <w:pPr>
              <w:rPr>
                <w:rFonts w:ascii="Arial"/>
                <w:color w:val="auto"/>
                <w:sz w:val="21"/>
                <w:highlight w:val="none"/>
              </w:rPr>
            </w:pPr>
          </w:p>
        </w:tc>
      </w:tr>
      <w:tr w14:paraId="50D90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4331DE55">
            <w:pPr>
              <w:rPr>
                <w:rFonts w:ascii="Arial"/>
                <w:color w:val="auto"/>
                <w:sz w:val="21"/>
                <w:highlight w:val="none"/>
              </w:rPr>
            </w:pPr>
          </w:p>
        </w:tc>
        <w:tc>
          <w:tcPr>
            <w:tcW w:w="1022" w:type="dxa"/>
            <w:vAlign w:val="top"/>
          </w:tcPr>
          <w:p w14:paraId="21739697">
            <w:pPr>
              <w:rPr>
                <w:rFonts w:ascii="Arial"/>
                <w:color w:val="auto"/>
                <w:sz w:val="21"/>
                <w:highlight w:val="none"/>
              </w:rPr>
            </w:pPr>
          </w:p>
        </w:tc>
        <w:tc>
          <w:tcPr>
            <w:tcW w:w="652" w:type="dxa"/>
            <w:vAlign w:val="top"/>
          </w:tcPr>
          <w:p w14:paraId="16C9B30C">
            <w:pPr>
              <w:rPr>
                <w:rFonts w:ascii="Arial"/>
                <w:color w:val="auto"/>
                <w:sz w:val="21"/>
                <w:highlight w:val="none"/>
              </w:rPr>
            </w:pPr>
          </w:p>
        </w:tc>
        <w:tc>
          <w:tcPr>
            <w:tcW w:w="984" w:type="dxa"/>
            <w:vAlign w:val="top"/>
          </w:tcPr>
          <w:p w14:paraId="4AFCCE0F">
            <w:pPr>
              <w:rPr>
                <w:rFonts w:ascii="Arial"/>
                <w:color w:val="auto"/>
                <w:sz w:val="21"/>
                <w:highlight w:val="none"/>
              </w:rPr>
            </w:pPr>
          </w:p>
        </w:tc>
        <w:tc>
          <w:tcPr>
            <w:tcW w:w="691" w:type="dxa"/>
            <w:vAlign w:val="top"/>
          </w:tcPr>
          <w:p w14:paraId="48EC0E63">
            <w:pPr>
              <w:rPr>
                <w:rFonts w:ascii="Arial"/>
                <w:color w:val="auto"/>
                <w:sz w:val="21"/>
                <w:highlight w:val="none"/>
              </w:rPr>
            </w:pPr>
          </w:p>
        </w:tc>
        <w:tc>
          <w:tcPr>
            <w:tcW w:w="686" w:type="dxa"/>
            <w:vAlign w:val="top"/>
          </w:tcPr>
          <w:p w14:paraId="5C0846C4">
            <w:pPr>
              <w:rPr>
                <w:rFonts w:ascii="Arial"/>
                <w:color w:val="auto"/>
                <w:sz w:val="21"/>
                <w:highlight w:val="none"/>
              </w:rPr>
            </w:pPr>
          </w:p>
        </w:tc>
        <w:tc>
          <w:tcPr>
            <w:tcW w:w="1128" w:type="dxa"/>
            <w:vAlign w:val="top"/>
          </w:tcPr>
          <w:p w14:paraId="00E8D6E7">
            <w:pPr>
              <w:rPr>
                <w:rFonts w:ascii="Arial"/>
                <w:color w:val="auto"/>
                <w:sz w:val="21"/>
                <w:highlight w:val="none"/>
              </w:rPr>
            </w:pPr>
          </w:p>
        </w:tc>
        <w:tc>
          <w:tcPr>
            <w:tcW w:w="1574" w:type="dxa"/>
            <w:vAlign w:val="top"/>
          </w:tcPr>
          <w:p w14:paraId="737D5838">
            <w:pPr>
              <w:rPr>
                <w:rFonts w:ascii="Arial"/>
                <w:color w:val="auto"/>
                <w:sz w:val="21"/>
                <w:highlight w:val="none"/>
              </w:rPr>
            </w:pPr>
          </w:p>
        </w:tc>
        <w:tc>
          <w:tcPr>
            <w:tcW w:w="830" w:type="dxa"/>
            <w:vAlign w:val="top"/>
          </w:tcPr>
          <w:p w14:paraId="108AF24C">
            <w:pPr>
              <w:rPr>
                <w:rFonts w:ascii="Arial"/>
                <w:color w:val="auto"/>
                <w:sz w:val="21"/>
                <w:highlight w:val="none"/>
              </w:rPr>
            </w:pPr>
          </w:p>
        </w:tc>
      </w:tr>
      <w:tr w14:paraId="73E83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1349AA8">
            <w:pPr>
              <w:rPr>
                <w:rFonts w:ascii="Arial"/>
                <w:color w:val="auto"/>
                <w:sz w:val="21"/>
                <w:highlight w:val="none"/>
              </w:rPr>
            </w:pPr>
          </w:p>
        </w:tc>
        <w:tc>
          <w:tcPr>
            <w:tcW w:w="1022" w:type="dxa"/>
            <w:vAlign w:val="top"/>
          </w:tcPr>
          <w:p w14:paraId="26FF372B">
            <w:pPr>
              <w:rPr>
                <w:rFonts w:ascii="Arial"/>
                <w:color w:val="auto"/>
                <w:sz w:val="21"/>
                <w:highlight w:val="none"/>
              </w:rPr>
            </w:pPr>
          </w:p>
        </w:tc>
        <w:tc>
          <w:tcPr>
            <w:tcW w:w="652" w:type="dxa"/>
            <w:vAlign w:val="top"/>
          </w:tcPr>
          <w:p w14:paraId="2004EDFD">
            <w:pPr>
              <w:rPr>
                <w:rFonts w:ascii="Arial"/>
                <w:color w:val="auto"/>
                <w:sz w:val="21"/>
                <w:highlight w:val="none"/>
              </w:rPr>
            </w:pPr>
          </w:p>
        </w:tc>
        <w:tc>
          <w:tcPr>
            <w:tcW w:w="984" w:type="dxa"/>
            <w:vAlign w:val="top"/>
          </w:tcPr>
          <w:p w14:paraId="4D385787">
            <w:pPr>
              <w:rPr>
                <w:rFonts w:ascii="Arial"/>
                <w:color w:val="auto"/>
                <w:sz w:val="21"/>
                <w:highlight w:val="none"/>
              </w:rPr>
            </w:pPr>
          </w:p>
        </w:tc>
        <w:tc>
          <w:tcPr>
            <w:tcW w:w="691" w:type="dxa"/>
            <w:vAlign w:val="top"/>
          </w:tcPr>
          <w:p w14:paraId="6B99DEBE">
            <w:pPr>
              <w:rPr>
                <w:rFonts w:ascii="Arial"/>
                <w:color w:val="auto"/>
                <w:sz w:val="21"/>
                <w:highlight w:val="none"/>
              </w:rPr>
            </w:pPr>
          </w:p>
        </w:tc>
        <w:tc>
          <w:tcPr>
            <w:tcW w:w="686" w:type="dxa"/>
            <w:vAlign w:val="top"/>
          </w:tcPr>
          <w:p w14:paraId="05A59DFD">
            <w:pPr>
              <w:rPr>
                <w:rFonts w:ascii="Arial"/>
                <w:color w:val="auto"/>
                <w:sz w:val="21"/>
                <w:highlight w:val="none"/>
              </w:rPr>
            </w:pPr>
          </w:p>
        </w:tc>
        <w:tc>
          <w:tcPr>
            <w:tcW w:w="1128" w:type="dxa"/>
            <w:vAlign w:val="top"/>
          </w:tcPr>
          <w:p w14:paraId="6BFD8E99">
            <w:pPr>
              <w:rPr>
                <w:rFonts w:ascii="Arial"/>
                <w:color w:val="auto"/>
                <w:sz w:val="21"/>
                <w:highlight w:val="none"/>
              </w:rPr>
            </w:pPr>
          </w:p>
        </w:tc>
        <w:tc>
          <w:tcPr>
            <w:tcW w:w="1574" w:type="dxa"/>
            <w:vAlign w:val="top"/>
          </w:tcPr>
          <w:p w14:paraId="6B3D3384">
            <w:pPr>
              <w:rPr>
                <w:rFonts w:ascii="Arial"/>
                <w:color w:val="auto"/>
                <w:sz w:val="21"/>
                <w:highlight w:val="none"/>
              </w:rPr>
            </w:pPr>
          </w:p>
        </w:tc>
        <w:tc>
          <w:tcPr>
            <w:tcW w:w="830" w:type="dxa"/>
            <w:vAlign w:val="top"/>
          </w:tcPr>
          <w:p w14:paraId="2973DE5B">
            <w:pPr>
              <w:rPr>
                <w:rFonts w:ascii="Arial"/>
                <w:color w:val="auto"/>
                <w:sz w:val="21"/>
                <w:highlight w:val="none"/>
              </w:rPr>
            </w:pPr>
          </w:p>
        </w:tc>
      </w:tr>
      <w:tr w14:paraId="690BD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27045E9B">
            <w:pPr>
              <w:rPr>
                <w:rFonts w:ascii="Arial"/>
                <w:color w:val="auto"/>
                <w:sz w:val="21"/>
                <w:highlight w:val="none"/>
              </w:rPr>
            </w:pPr>
          </w:p>
        </w:tc>
        <w:tc>
          <w:tcPr>
            <w:tcW w:w="1022" w:type="dxa"/>
            <w:vAlign w:val="top"/>
          </w:tcPr>
          <w:p w14:paraId="2BF9978C">
            <w:pPr>
              <w:rPr>
                <w:rFonts w:ascii="Arial"/>
                <w:color w:val="auto"/>
                <w:sz w:val="21"/>
                <w:highlight w:val="none"/>
              </w:rPr>
            </w:pPr>
          </w:p>
        </w:tc>
        <w:tc>
          <w:tcPr>
            <w:tcW w:w="652" w:type="dxa"/>
            <w:vAlign w:val="top"/>
          </w:tcPr>
          <w:p w14:paraId="1E3A1DD7">
            <w:pPr>
              <w:rPr>
                <w:rFonts w:ascii="Arial"/>
                <w:color w:val="auto"/>
                <w:sz w:val="21"/>
                <w:highlight w:val="none"/>
              </w:rPr>
            </w:pPr>
          </w:p>
        </w:tc>
        <w:tc>
          <w:tcPr>
            <w:tcW w:w="984" w:type="dxa"/>
            <w:vAlign w:val="top"/>
          </w:tcPr>
          <w:p w14:paraId="79A4FD54">
            <w:pPr>
              <w:rPr>
                <w:rFonts w:ascii="Arial"/>
                <w:color w:val="auto"/>
                <w:sz w:val="21"/>
                <w:highlight w:val="none"/>
              </w:rPr>
            </w:pPr>
          </w:p>
        </w:tc>
        <w:tc>
          <w:tcPr>
            <w:tcW w:w="691" w:type="dxa"/>
            <w:vAlign w:val="top"/>
          </w:tcPr>
          <w:p w14:paraId="72E03A0C">
            <w:pPr>
              <w:rPr>
                <w:rFonts w:ascii="Arial"/>
                <w:color w:val="auto"/>
                <w:sz w:val="21"/>
                <w:highlight w:val="none"/>
              </w:rPr>
            </w:pPr>
          </w:p>
        </w:tc>
        <w:tc>
          <w:tcPr>
            <w:tcW w:w="686" w:type="dxa"/>
            <w:vAlign w:val="top"/>
          </w:tcPr>
          <w:p w14:paraId="6B1DCA88">
            <w:pPr>
              <w:rPr>
                <w:rFonts w:ascii="Arial"/>
                <w:color w:val="auto"/>
                <w:sz w:val="21"/>
                <w:highlight w:val="none"/>
              </w:rPr>
            </w:pPr>
          </w:p>
        </w:tc>
        <w:tc>
          <w:tcPr>
            <w:tcW w:w="1128" w:type="dxa"/>
            <w:vAlign w:val="top"/>
          </w:tcPr>
          <w:p w14:paraId="76613904">
            <w:pPr>
              <w:rPr>
                <w:rFonts w:ascii="Arial"/>
                <w:color w:val="auto"/>
                <w:sz w:val="21"/>
                <w:highlight w:val="none"/>
              </w:rPr>
            </w:pPr>
          </w:p>
        </w:tc>
        <w:tc>
          <w:tcPr>
            <w:tcW w:w="1574" w:type="dxa"/>
            <w:vAlign w:val="top"/>
          </w:tcPr>
          <w:p w14:paraId="14C620B6">
            <w:pPr>
              <w:rPr>
                <w:rFonts w:ascii="Arial"/>
                <w:color w:val="auto"/>
                <w:sz w:val="21"/>
                <w:highlight w:val="none"/>
              </w:rPr>
            </w:pPr>
          </w:p>
        </w:tc>
        <w:tc>
          <w:tcPr>
            <w:tcW w:w="830" w:type="dxa"/>
            <w:vAlign w:val="top"/>
          </w:tcPr>
          <w:p w14:paraId="6434B7C0">
            <w:pPr>
              <w:rPr>
                <w:rFonts w:ascii="Arial"/>
                <w:color w:val="auto"/>
                <w:sz w:val="21"/>
                <w:highlight w:val="none"/>
              </w:rPr>
            </w:pPr>
          </w:p>
        </w:tc>
      </w:tr>
      <w:tr w14:paraId="692E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6082319">
            <w:pPr>
              <w:rPr>
                <w:rFonts w:ascii="Arial"/>
                <w:color w:val="auto"/>
                <w:sz w:val="21"/>
                <w:highlight w:val="none"/>
              </w:rPr>
            </w:pPr>
          </w:p>
        </w:tc>
        <w:tc>
          <w:tcPr>
            <w:tcW w:w="1022" w:type="dxa"/>
            <w:vAlign w:val="top"/>
          </w:tcPr>
          <w:p w14:paraId="4BC07C42">
            <w:pPr>
              <w:rPr>
                <w:rFonts w:ascii="Arial"/>
                <w:color w:val="auto"/>
                <w:sz w:val="21"/>
                <w:highlight w:val="none"/>
              </w:rPr>
            </w:pPr>
          </w:p>
        </w:tc>
        <w:tc>
          <w:tcPr>
            <w:tcW w:w="652" w:type="dxa"/>
            <w:vAlign w:val="top"/>
          </w:tcPr>
          <w:p w14:paraId="1E2A3E3C">
            <w:pPr>
              <w:rPr>
                <w:rFonts w:ascii="Arial"/>
                <w:color w:val="auto"/>
                <w:sz w:val="21"/>
                <w:highlight w:val="none"/>
              </w:rPr>
            </w:pPr>
          </w:p>
        </w:tc>
        <w:tc>
          <w:tcPr>
            <w:tcW w:w="984" w:type="dxa"/>
            <w:vAlign w:val="top"/>
          </w:tcPr>
          <w:p w14:paraId="3FC318A0">
            <w:pPr>
              <w:rPr>
                <w:rFonts w:ascii="Arial"/>
                <w:color w:val="auto"/>
                <w:sz w:val="21"/>
                <w:highlight w:val="none"/>
              </w:rPr>
            </w:pPr>
          </w:p>
        </w:tc>
        <w:tc>
          <w:tcPr>
            <w:tcW w:w="691" w:type="dxa"/>
            <w:vAlign w:val="top"/>
          </w:tcPr>
          <w:p w14:paraId="7D1879BF">
            <w:pPr>
              <w:rPr>
                <w:rFonts w:ascii="Arial"/>
                <w:color w:val="auto"/>
                <w:sz w:val="21"/>
                <w:highlight w:val="none"/>
              </w:rPr>
            </w:pPr>
          </w:p>
        </w:tc>
        <w:tc>
          <w:tcPr>
            <w:tcW w:w="686" w:type="dxa"/>
            <w:vAlign w:val="top"/>
          </w:tcPr>
          <w:p w14:paraId="1DB1C938">
            <w:pPr>
              <w:rPr>
                <w:rFonts w:ascii="Arial"/>
                <w:color w:val="auto"/>
                <w:sz w:val="21"/>
                <w:highlight w:val="none"/>
              </w:rPr>
            </w:pPr>
          </w:p>
        </w:tc>
        <w:tc>
          <w:tcPr>
            <w:tcW w:w="1128" w:type="dxa"/>
            <w:vAlign w:val="top"/>
          </w:tcPr>
          <w:p w14:paraId="04035CD3">
            <w:pPr>
              <w:rPr>
                <w:rFonts w:ascii="Arial"/>
                <w:color w:val="auto"/>
                <w:sz w:val="21"/>
                <w:highlight w:val="none"/>
              </w:rPr>
            </w:pPr>
          </w:p>
        </w:tc>
        <w:tc>
          <w:tcPr>
            <w:tcW w:w="1574" w:type="dxa"/>
            <w:vAlign w:val="top"/>
          </w:tcPr>
          <w:p w14:paraId="4470E409">
            <w:pPr>
              <w:rPr>
                <w:rFonts w:ascii="Arial"/>
                <w:color w:val="auto"/>
                <w:sz w:val="21"/>
                <w:highlight w:val="none"/>
              </w:rPr>
            </w:pPr>
          </w:p>
        </w:tc>
        <w:tc>
          <w:tcPr>
            <w:tcW w:w="830" w:type="dxa"/>
            <w:vAlign w:val="top"/>
          </w:tcPr>
          <w:p w14:paraId="4F91B094">
            <w:pPr>
              <w:rPr>
                <w:rFonts w:ascii="Arial"/>
                <w:color w:val="auto"/>
                <w:sz w:val="21"/>
                <w:highlight w:val="none"/>
              </w:rPr>
            </w:pPr>
          </w:p>
        </w:tc>
      </w:tr>
      <w:tr w14:paraId="08FF5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E2C54CA">
            <w:pPr>
              <w:rPr>
                <w:rFonts w:ascii="Arial"/>
                <w:color w:val="auto"/>
                <w:sz w:val="21"/>
                <w:highlight w:val="none"/>
              </w:rPr>
            </w:pPr>
          </w:p>
        </w:tc>
        <w:tc>
          <w:tcPr>
            <w:tcW w:w="1022" w:type="dxa"/>
            <w:vAlign w:val="top"/>
          </w:tcPr>
          <w:p w14:paraId="35866C17">
            <w:pPr>
              <w:rPr>
                <w:rFonts w:ascii="Arial"/>
                <w:color w:val="auto"/>
                <w:sz w:val="21"/>
                <w:highlight w:val="none"/>
              </w:rPr>
            </w:pPr>
          </w:p>
        </w:tc>
        <w:tc>
          <w:tcPr>
            <w:tcW w:w="652" w:type="dxa"/>
            <w:vAlign w:val="top"/>
          </w:tcPr>
          <w:p w14:paraId="294EF8B1">
            <w:pPr>
              <w:rPr>
                <w:rFonts w:ascii="Arial"/>
                <w:color w:val="auto"/>
                <w:sz w:val="21"/>
                <w:highlight w:val="none"/>
              </w:rPr>
            </w:pPr>
          </w:p>
        </w:tc>
        <w:tc>
          <w:tcPr>
            <w:tcW w:w="984" w:type="dxa"/>
            <w:vAlign w:val="top"/>
          </w:tcPr>
          <w:p w14:paraId="51AEB84A">
            <w:pPr>
              <w:rPr>
                <w:rFonts w:ascii="Arial"/>
                <w:color w:val="auto"/>
                <w:sz w:val="21"/>
                <w:highlight w:val="none"/>
              </w:rPr>
            </w:pPr>
          </w:p>
        </w:tc>
        <w:tc>
          <w:tcPr>
            <w:tcW w:w="691" w:type="dxa"/>
            <w:vAlign w:val="top"/>
          </w:tcPr>
          <w:p w14:paraId="5B6BE721">
            <w:pPr>
              <w:rPr>
                <w:rFonts w:ascii="Arial"/>
                <w:color w:val="auto"/>
                <w:sz w:val="21"/>
                <w:highlight w:val="none"/>
              </w:rPr>
            </w:pPr>
          </w:p>
        </w:tc>
        <w:tc>
          <w:tcPr>
            <w:tcW w:w="686" w:type="dxa"/>
            <w:vAlign w:val="top"/>
          </w:tcPr>
          <w:p w14:paraId="76645266">
            <w:pPr>
              <w:rPr>
                <w:rFonts w:ascii="Arial"/>
                <w:color w:val="auto"/>
                <w:sz w:val="21"/>
                <w:highlight w:val="none"/>
              </w:rPr>
            </w:pPr>
          </w:p>
        </w:tc>
        <w:tc>
          <w:tcPr>
            <w:tcW w:w="1128" w:type="dxa"/>
            <w:vAlign w:val="top"/>
          </w:tcPr>
          <w:p w14:paraId="045B380B">
            <w:pPr>
              <w:rPr>
                <w:rFonts w:ascii="Arial"/>
                <w:color w:val="auto"/>
                <w:sz w:val="21"/>
                <w:highlight w:val="none"/>
              </w:rPr>
            </w:pPr>
          </w:p>
        </w:tc>
        <w:tc>
          <w:tcPr>
            <w:tcW w:w="1574" w:type="dxa"/>
            <w:vAlign w:val="top"/>
          </w:tcPr>
          <w:p w14:paraId="1DE5F24A">
            <w:pPr>
              <w:rPr>
                <w:rFonts w:ascii="Arial"/>
                <w:color w:val="auto"/>
                <w:sz w:val="21"/>
                <w:highlight w:val="none"/>
              </w:rPr>
            </w:pPr>
          </w:p>
        </w:tc>
        <w:tc>
          <w:tcPr>
            <w:tcW w:w="830" w:type="dxa"/>
            <w:vAlign w:val="top"/>
          </w:tcPr>
          <w:p w14:paraId="75EBFAA6">
            <w:pPr>
              <w:rPr>
                <w:rFonts w:ascii="Arial"/>
                <w:color w:val="auto"/>
                <w:sz w:val="21"/>
                <w:highlight w:val="none"/>
              </w:rPr>
            </w:pPr>
          </w:p>
        </w:tc>
      </w:tr>
      <w:tr w14:paraId="4C5F6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D7F454B">
            <w:pPr>
              <w:rPr>
                <w:rFonts w:ascii="Arial"/>
                <w:color w:val="auto"/>
                <w:sz w:val="21"/>
                <w:highlight w:val="none"/>
              </w:rPr>
            </w:pPr>
          </w:p>
        </w:tc>
        <w:tc>
          <w:tcPr>
            <w:tcW w:w="1022" w:type="dxa"/>
            <w:vAlign w:val="top"/>
          </w:tcPr>
          <w:p w14:paraId="671B5AA2">
            <w:pPr>
              <w:rPr>
                <w:rFonts w:ascii="Arial"/>
                <w:color w:val="auto"/>
                <w:sz w:val="21"/>
                <w:highlight w:val="none"/>
              </w:rPr>
            </w:pPr>
          </w:p>
        </w:tc>
        <w:tc>
          <w:tcPr>
            <w:tcW w:w="652" w:type="dxa"/>
            <w:vAlign w:val="top"/>
          </w:tcPr>
          <w:p w14:paraId="6827728E">
            <w:pPr>
              <w:rPr>
                <w:rFonts w:ascii="Arial"/>
                <w:color w:val="auto"/>
                <w:sz w:val="21"/>
                <w:highlight w:val="none"/>
              </w:rPr>
            </w:pPr>
          </w:p>
        </w:tc>
        <w:tc>
          <w:tcPr>
            <w:tcW w:w="984" w:type="dxa"/>
            <w:vAlign w:val="top"/>
          </w:tcPr>
          <w:p w14:paraId="255584BD">
            <w:pPr>
              <w:rPr>
                <w:rFonts w:ascii="Arial"/>
                <w:color w:val="auto"/>
                <w:sz w:val="21"/>
                <w:highlight w:val="none"/>
              </w:rPr>
            </w:pPr>
          </w:p>
        </w:tc>
        <w:tc>
          <w:tcPr>
            <w:tcW w:w="691" w:type="dxa"/>
            <w:vAlign w:val="top"/>
          </w:tcPr>
          <w:p w14:paraId="2E4D4F17">
            <w:pPr>
              <w:rPr>
                <w:rFonts w:ascii="Arial"/>
                <w:color w:val="auto"/>
                <w:sz w:val="21"/>
                <w:highlight w:val="none"/>
              </w:rPr>
            </w:pPr>
          </w:p>
        </w:tc>
        <w:tc>
          <w:tcPr>
            <w:tcW w:w="686" w:type="dxa"/>
            <w:vAlign w:val="top"/>
          </w:tcPr>
          <w:p w14:paraId="10386D1B">
            <w:pPr>
              <w:rPr>
                <w:rFonts w:ascii="Arial"/>
                <w:color w:val="auto"/>
                <w:sz w:val="21"/>
                <w:highlight w:val="none"/>
              </w:rPr>
            </w:pPr>
          </w:p>
        </w:tc>
        <w:tc>
          <w:tcPr>
            <w:tcW w:w="1128" w:type="dxa"/>
            <w:vAlign w:val="top"/>
          </w:tcPr>
          <w:p w14:paraId="4CC6F1B4">
            <w:pPr>
              <w:rPr>
                <w:rFonts w:ascii="Arial"/>
                <w:color w:val="auto"/>
                <w:sz w:val="21"/>
                <w:highlight w:val="none"/>
              </w:rPr>
            </w:pPr>
          </w:p>
        </w:tc>
        <w:tc>
          <w:tcPr>
            <w:tcW w:w="1574" w:type="dxa"/>
            <w:vAlign w:val="top"/>
          </w:tcPr>
          <w:p w14:paraId="26C43690">
            <w:pPr>
              <w:rPr>
                <w:rFonts w:ascii="Arial"/>
                <w:color w:val="auto"/>
                <w:sz w:val="21"/>
                <w:highlight w:val="none"/>
              </w:rPr>
            </w:pPr>
          </w:p>
        </w:tc>
        <w:tc>
          <w:tcPr>
            <w:tcW w:w="830" w:type="dxa"/>
            <w:vAlign w:val="top"/>
          </w:tcPr>
          <w:p w14:paraId="7C03177B">
            <w:pPr>
              <w:rPr>
                <w:rFonts w:ascii="Arial"/>
                <w:color w:val="auto"/>
                <w:sz w:val="21"/>
                <w:highlight w:val="none"/>
              </w:rPr>
            </w:pPr>
          </w:p>
        </w:tc>
      </w:tr>
      <w:tr w14:paraId="3EC5C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E8D3E10">
            <w:pPr>
              <w:rPr>
                <w:rFonts w:ascii="Arial"/>
                <w:color w:val="auto"/>
                <w:sz w:val="21"/>
                <w:highlight w:val="none"/>
              </w:rPr>
            </w:pPr>
          </w:p>
        </w:tc>
        <w:tc>
          <w:tcPr>
            <w:tcW w:w="1022" w:type="dxa"/>
            <w:vAlign w:val="top"/>
          </w:tcPr>
          <w:p w14:paraId="44A6C11D">
            <w:pPr>
              <w:rPr>
                <w:rFonts w:ascii="Arial"/>
                <w:color w:val="auto"/>
                <w:sz w:val="21"/>
                <w:highlight w:val="none"/>
              </w:rPr>
            </w:pPr>
          </w:p>
        </w:tc>
        <w:tc>
          <w:tcPr>
            <w:tcW w:w="652" w:type="dxa"/>
            <w:vAlign w:val="top"/>
          </w:tcPr>
          <w:p w14:paraId="229B844F">
            <w:pPr>
              <w:rPr>
                <w:rFonts w:ascii="Arial"/>
                <w:color w:val="auto"/>
                <w:sz w:val="21"/>
                <w:highlight w:val="none"/>
              </w:rPr>
            </w:pPr>
          </w:p>
        </w:tc>
        <w:tc>
          <w:tcPr>
            <w:tcW w:w="984" w:type="dxa"/>
            <w:vAlign w:val="top"/>
          </w:tcPr>
          <w:p w14:paraId="423473F4">
            <w:pPr>
              <w:rPr>
                <w:rFonts w:ascii="Arial"/>
                <w:color w:val="auto"/>
                <w:sz w:val="21"/>
                <w:highlight w:val="none"/>
              </w:rPr>
            </w:pPr>
          </w:p>
        </w:tc>
        <w:tc>
          <w:tcPr>
            <w:tcW w:w="691" w:type="dxa"/>
            <w:vAlign w:val="top"/>
          </w:tcPr>
          <w:p w14:paraId="76ADA095">
            <w:pPr>
              <w:rPr>
                <w:rFonts w:ascii="Arial"/>
                <w:color w:val="auto"/>
                <w:sz w:val="21"/>
                <w:highlight w:val="none"/>
              </w:rPr>
            </w:pPr>
          </w:p>
        </w:tc>
        <w:tc>
          <w:tcPr>
            <w:tcW w:w="686" w:type="dxa"/>
            <w:vAlign w:val="top"/>
          </w:tcPr>
          <w:p w14:paraId="1E3A998D">
            <w:pPr>
              <w:rPr>
                <w:rFonts w:ascii="Arial"/>
                <w:color w:val="auto"/>
                <w:sz w:val="21"/>
                <w:highlight w:val="none"/>
              </w:rPr>
            </w:pPr>
          </w:p>
        </w:tc>
        <w:tc>
          <w:tcPr>
            <w:tcW w:w="1128" w:type="dxa"/>
            <w:vAlign w:val="top"/>
          </w:tcPr>
          <w:p w14:paraId="16189919">
            <w:pPr>
              <w:rPr>
                <w:rFonts w:ascii="Arial"/>
                <w:color w:val="auto"/>
                <w:sz w:val="21"/>
                <w:highlight w:val="none"/>
              </w:rPr>
            </w:pPr>
          </w:p>
        </w:tc>
        <w:tc>
          <w:tcPr>
            <w:tcW w:w="1574" w:type="dxa"/>
            <w:vAlign w:val="top"/>
          </w:tcPr>
          <w:p w14:paraId="02D984D6">
            <w:pPr>
              <w:rPr>
                <w:rFonts w:ascii="Arial"/>
                <w:color w:val="auto"/>
                <w:sz w:val="21"/>
                <w:highlight w:val="none"/>
              </w:rPr>
            </w:pPr>
          </w:p>
        </w:tc>
        <w:tc>
          <w:tcPr>
            <w:tcW w:w="830" w:type="dxa"/>
            <w:vAlign w:val="top"/>
          </w:tcPr>
          <w:p w14:paraId="53BF88DD">
            <w:pPr>
              <w:rPr>
                <w:rFonts w:ascii="Arial"/>
                <w:color w:val="auto"/>
                <w:sz w:val="21"/>
                <w:highlight w:val="none"/>
              </w:rPr>
            </w:pPr>
          </w:p>
        </w:tc>
      </w:tr>
      <w:tr w14:paraId="6BD1C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5BFBB25D">
            <w:pPr>
              <w:rPr>
                <w:rFonts w:ascii="Arial"/>
                <w:color w:val="auto"/>
                <w:sz w:val="21"/>
                <w:highlight w:val="none"/>
              </w:rPr>
            </w:pPr>
          </w:p>
        </w:tc>
        <w:tc>
          <w:tcPr>
            <w:tcW w:w="1022" w:type="dxa"/>
            <w:vAlign w:val="top"/>
          </w:tcPr>
          <w:p w14:paraId="2CBB688D">
            <w:pPr>
              <w:rPr>
                <w:rFonts w:ascii="Arial"/>
                <w:color w:val="auto"/>
                <w:sz w:val="21"/>
                <w:highlight w:val="none"/>
              </w:rPr>
            </w:pPr>
          </w:p>
        </w:tc>
        <w:tc>
          <w:tcPr>
            <w:tcW w:w="652" w:type="dxa"/>
            <w:vAlign w:val="top"/>
          </w:tcPr>
          <w:p w14:paraId="0EC10E32">
            <w:pPr>
              <w:rPr>
                <w:rFonts w:ascii="Arial"/>
                <w:color w:val="auto"/>
                <w:sz w:val="21"/>
                <w:highlight w:val="none"/>
              </w:rPr>
            </w:pPr>
          </w:p>
        </w:tc>
        <w:tc>
          <w:tcPr>
            <w:tcW w:w="984" w:type="dxa"/>
            <w:vAlign w:val="top"/>
          </w:tcPr>
          <w:p w14:paraId="1A7B59B5">
            <w:pPr>
              <w:rPr>
                <w:rFonts w:ascii="Arial"/>
                <w:color w:val="auto"/>
                <w:sz w:val="21"/>
                <w:highlight w:val="none"/>
              </w:rPr>
            </w:pPr>
          </w:p>
        </w:tc>
        <w:tc>
          <w:tcPr>
            <w:tcW w:w="691" w:type="dxa"/>
            <w:vAlign w:val="top"/>
          </w:tcPr>
          <w:p w14:paraId="424A17E0">
            <w:pPr>
              <w:rPr>
                <w:rFonts w:ascii="Arial"/>
                <w:color w:val="auto"/>
                <w:sz w:val="21"/>
                <w:highlight w:val="none"/>
              </w:rPr>
            </w:pPr>
          </w:p>
        </w:tc>
        <w:tc>
          <w:tcPr>
            <w:tcW w:w="686" w:type="dxa"/>
            <w:vAlign w:val="top"/>
          </w:tcPr>
          <w:p w14:paraId="40CD6678">
            <w:pPr>
              <w:rPr>
                <w:rFonts w:ascii="Arial"/>
                <w:color w:val="auto"/>
                <w:sz w:val="21"/>
                <w:highlight w:val="none"/>
              </w:rPr>
            </w:pPr>
          </w:p>
        </w:tc>
        <w:tc>
          <w:tcPr>
            <w:tcW w:w="1128" w:type="dxa"/>
            <w:vAlign w:val="top"/>
          </w:tcPr>
          <w:p w14:paraId="12DA8F86">
            <w:pPr>
              <w:rPr>
                <w:rFonts w:ascii="Arial"/>
                <w:color w:val="auto"/>
                <w:sz w:val="21"/>
                <w:highlight w:val="none"/>
              </w:rPr>
            </w:pPr>
          </w:p>
        </w:tc>
        <w:tc>
          <w:tcPr>
            <w:tcW w:w="1574" w:type="dxa"/>
            <w:vAlign w:val="top"/>
          </w:tcPr>
          <w:p w14:paraId="7BD331E9">
            <w:pPr>
              <w:rPr>
                <w:rFonts w:ascii="Arial"/>
                <w:color w:val="auto"/>
                <w:sz w:val="21"/>
                <w:highlight w:val="none"/>
              </w:rPr>
            </w:pPr>
          </w:p>
        </w:tc>
        <w:tc>
          <w:tcPr>
            <w:tcW w:w="830" w:type="dxa"/>
            <w:vAlign w:val="top"/>
          </w:tcPr>
          <w:p w14:paraId="61789EA2">
            <w:pPr>
              <w:rPr>
                <w:rFonts w:ascii="Arial"/>
                <w:color w:val="auto"/>
                <w:sz w:val="21"/>
                <w:highlight w:val="none"/>
              </w:rPr>
            </w:pPr>
          </w:p>
        </w:tc>
      </w:tr>
      <w:tr w14:paraId="7B36D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6D1D378">
            <w:pPr>
              <w:rPr>
                <w:rFonts w:ascii="Arial"/>
                <w:color w:val="auto"/>
                <w:sz w:val="21"/>
                <w:highlight w:val="none"/>
              </w:rPr>
            </w:pPr>
          </w:p>
        </w:tc>
        <w:tc>
          <w:tcPr>
            <w:tcW w:w="1022" w:type="dxa"/>
            <w:vAlign w:val="top"/>
          </w:tcPr>
          <w:p w14:paraId="049E9D46">
            <w:pPr>
              <w:rPr>
                <w:rFonts w:ascii="Arial"/>
                <w:color w:val="auto"/>
                <w:sz w:val="21"/>
                <w:highlight w:val="none"/>
              </w:rPr>
            </w:pPr>
          </w:p>
        </w:tc>
        <w:tc>
          <w:tcPr>
            <w:tcW w:w="652" w:type="dxa"/>
            <w:vAlign w:val="top"/>
          </w:tcPr>
          <w:p w14:paraId="00D4E115">
            <w:pPr>
              <w:rPr>
                <w:rFonts w:ascii="Arial"/>
                <w:color w:val="auto"/>
                <w:sz w:val="21"/>
                <w:highlight w:val="none"/>
              </w:rPr>
            </w:pPr>
          </w:p>
        </w:tc>
        <w:tc>
          <w:tcPr>
            <w:tcW w:w="984" w:type="dxa"/>
            <w:vAlign w:val="top"/>
          </w:tcPr>
          <w:p w14:paraId="36F8729E">
            <w:pPr>
              <w:rPr>
                <w:rFonts w:ascii="Arial"/>
                <w:color w:val="auto"/>
                <w:sz w:val="21"/>
                <w:highlight w:val="none"/>
              </w:rPr>
            </w:pPr>
          </w:p>
        </w:tc>
        <w:tc>
          <w:tcPr>
            <w:tcW w:w="691" w:type="dxa"/>
            <w:vAlign w:val="top"/>
          </w:tcPr>
          <w:p w14:paraId="6D80FC5A">
            <w:pPr>
              <w:rPr>
                <w:rFonts w:ascii="Arial"/>
                <w:color w:val="auto"/>
                <w:sz w:val="21"/>
                <w:highlight w:val="none"/>
              </w:rPr>
            </w:pPr>
          </w:p>
        </w:tc>
        <w:tc>
          <w:tcPr>
            <w:tcW w:w="686" w:type="dxa"/>
            <w:vAlign w:val="top"/>
          </w:tcPr>
          <w:p w14:paraId="58EFF2C8">
            <w:pPr>
              <w:rPr>
                <w:rFonts w:ascii="Arial"/>
                <w:color w:val="auto"/>
                <w:sz w:val="21"/>
                <w:highlight w:val="none"/>
              </w:rPr>
            </w:pPr>
          </w:p>
        </w:tc>
        <w:tc>
          <w:tcPr>
            <w:tcW w:w="1128" w:type="dxa"/>
            <w:vAlign w:val="top"/>
          </w:tcPr>
          <w:p w14:paraId="2F098F78">
            <w:pPr>
              <w:rPr>
                <w:rFonts w:ascii="Arial"/>
                <w:color w:val="auto"/>
                <w:sz w:val="21"/>
                <w:highlight w:val="none"/>
              </w:rPr>
            </w:pPr>
          </w:p>
        </w:tc>
        <w:tc>
          <w:tcPr>
            <w:tcW w:w="1574" w:type="dxa"/>
            <w:vAlign w:val="top"/>
          </w:tcPr>
          <w:p w14:paraId="3AF6097A">
            <w:pPr>
              <w:rPr>
                <w:rFonts w:ascii="Arial"/>
                <w:color w:val="auto"/>
                <w:sz w:val="21"/>
                <w:highlight w:val="none"/>
              </w:rPr>
            </w:pPr>
          </w:p>
        </w:tc>
        <w:tc>
          <w:tcPr>
            <w:tcW w:w="830" w:type="dxa"/>
            <w:vAlign w:val="top"/>
          </w:tcPr>
          <w:p w14:paraId="5085B3C3">
            <w:pPr>
              <w:rPr>
                <w:rFonts w:ascii="Arial"/>
                <w:color w:val="auto"/>
                <w:sz w:val="21"/>
                <w:highlight w:val="none"/>
              </w:rPr>
            </w:pPr>
          </w:p>
        </w:tc>
      </w:tr>
      <w:tr w14:paraId="4F6F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482178C">
            <w:pPr>
              <w:rPr>
                <w:rFonts w:ascii="Arial"/>
                <w:color w:val="auto"/>
                <w:sz w:val="21"/>
                <w:highlight w:val="none"/>
              </w:rPr>
            </w:pPr>
          </w:p>
        </w:tc>
        <w:tc>
          <w:tcPr>
            <w:tcW w:w="1022" w:type="dxa"/>
            <w:vAlign w:val="top"/>
          </w:tcPr>
          <w:p w14:paraId="48861D1A">
            <w:pPr>
              <w:rPr>
                <w:rFonts w:ascii="Arial"/>
                <w:color w:val="auto"/>
                <w:sz w:val="21"/>
                <w:highlight w:val="none"/>
              </w:rPr>
            </w:pPr>
          </w:p>
        </w:tc>
        <w:tc>
          <w:tcPr>
            <w:tcW w:w="652" w:type="dxa"/>
            <w:vAlign w:val="top"/>
          </w:tcPr>
          <w:p w14:paraId="49D633D5">
            <w:pPr>
              <w:rPr>
                <w:rFonts w:ascii="Arial"/>
                <w:color w:val="auto"/>
                <w:sz w:val="21"/>
                <w:highlight w:val="none"/>
              </w:rPr>
            </w:pPr>
          </w:p>
        </w:tc>
        <w:tc>
          <w:tcPr>
            <w:tcW w:w="984" w:type="dxa"/>
            <w:vAlign w:val="top"/>
          </w:tcPr>
          <w:p w14:paraId="4F2FA788">
            <w:pPr>
              <w:rPr>
                <w:rFonts w:ascii="Arial"/>
                <w:color w:val="auto"/>
                <w:sz w:val="21"/>
                <w:highlight w:val="none"/>
              </w:rPr>
            </w:pPr>
          </w:p>
        </w:tc>
        <w:tc>
          <w:tcPr>
            <w:tcW w:w="691" w:type="dxa"/>
            <w:vAlign w:val="top"/>
          </w:tcPr>
          <w:p w14:paraId="0EC21F9E">
            <w:pPr>
              <w:rPr>
                <w:rFonts w:ascii="Arial"/>
                <w:color w:val="auto"/>
                <w:sz w:val="21"/>
                <w:highlight w:val="none"/>
              </w:rPr>
            </w:pPr>
          </w:p>
        </w:tc>
        <w:tc>
          <w:tcPr>
            <w:tcW w:w="686" w:type="dxa"/>
            <w:vAlign w:val="top"/>
          </w:tcPr>
          <w:p w14:paraId="407FB718">
            <w:pPr>
              <w:rPr>
                <w:rFonts w:ascii="Arial"/>
                <w:color w:val="auto"/>
                <w:sz w:val="21"/>
                <w:highlight w:val="none"/>
              </w:rPr>
            </w:pPr>
          </w:p>
        </w:tc>
        <w:tc>
          <w:tcPr>
            <w:tcW w:w="1128" w:type="dxa"/>
            <w:vAlign w:val="top"/>
          </w:tcPr>
          <w:p w14:paraId="28B97D69">
            <w:pPr>
              <w:rPr>
                <w:rFonts w:ascii="Arial"/>
                <w:color w:val="auto"/>
                <w:sz w:val="21"/>
                <w:highlight w:val="none"/>
              </w:rPr>
            </w:pPr>
          </w:p>
        </w:tc>
        <w:tc>
          <w:tcPr>
            <w:tcW w:w="1574" w:type="dxa"/>
            <w:vAlign w:val="top"/>
          </w:tcPr>
          <w:p w14:paraId="3EC0CC17">
            <w:pPr>
              <w:rPr>
                <w:rFonts w:ascii="Arial"/>
                <w:color w:val="auto"/>
                <w:sz w:val="21"/>
                <w:highlight w:val="none"/>
              </w:rPr>
            </w:pPr>
          </w:p>
        </w:tc>
        <w:tc>
          <w:tcPr>
            <w:tcW w:w="830" w:type="dxa"/>
            <w:vAlign w:val="top"/>
          </w:tcPr>
          <w:p w14:paraId="73876CBE">
            <w:pPr>
              <w:rPr>
                <w:rFonts w:ascii="Arial"/>
                <w:color w:val="auto"/>
                <w:sz w:val="21"/>
                <w:highlight w:val="none"/>
              </w:rPr>
            </w:pPr>
          </w:p>
        </w:tc>
      </w:tr>
      <w:tr w14:paraId="77948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C080993">
            <w:pPr>
              <w:rPr>
                <w:rFonts w:ascii="Arial"/>
                <w:color w:val="auto"/>
                <w:sz w:val="21"/>
                <w:highlight w:val="none"/>
              </w:rPr>
            </w:pPr>
          </w:p>
        </w:tc>
        <w:tc>
          <w:tcPr>
            <w:tcW w:w="1022" w:type="dxa"/>
            <w:vAlign w:val="top"/>
          </w:tcPr>
          <w:p w14:paraId="62AE81A8">
            <w:pPr>
              <w:rPr>
                <w:rFonts w:ascii="Arial"/>
                <w:color w:val="auto"/>
                <w:sz w:val="21"/>
                <w:highlight w:val="none"/>
              </w:rPr>
            </w:pPr>
          </w:p>
        </w:tc>
        <w:tc>
          <w:tcPr>
            <w:tcW w:w="652" w:type="dxa"/>
            <w:vAlign w:val="top"/>
          </w:tcPr>
          <w:p w14:paraId="09C78B69">
            <w:pPr>
              <w:rPr>
                <w:rFonts w:ascii="Arial"/>
                <w:color w:val="auto"/>
                <w:sz w:val="21"/>
                <w:highlight w:val="none"/>
              </w:rPr>
            </w:pPr>
          </w:p>
        </w:tc>
        <w:tc>
          <w:tcPr>
            <w:tcW w:w="984" w:type="dxa"/>
            <w:vAlign w:val="top"/>
          </w:tcPr>
          <w:p w14:paraId="39664EE2">
            <w:pPr>
              <w:rPr>
                <w:rFonts w:ascii="Arial"/>
                <w:color w:val="auto"/>
                <w:sz w:val="21"/>
                <w:highlight w:val="none"/>
              </w:rPr>
            </w:pPr>
          </w:p>
        </w:tc>
        <w:tc>
          <w:tcPr>
            <w:tcW w:w="691" w:type="dxa"/>
            <w:vAlign w:val="top"/>
          </w:tcPr>
          <w:p w14:paraId="4374A33B">
            <w:pPr>
              <w:rPr>
                <w:rFonts w:ascii="Arial"/>
                <w:color w:val="auto"/>
                <w:sz w:val="21"/>
                <w:highlight w:val="none"/>
              </w:rPr>
            </w:pPr>
          </w:p>
        </w:tc>
        <w:tc>
          <w:tcPr>
            <w:tcW w:w="686" w:type="dxa"/>
            <w:vAlign w:val="top"/>
          </w:tcPr>
          <w:p w14:paraId="76069A95">
            <w:pPr>
              <w:rPr>
                <w:rFonts w:ascii="Arial"/>
                <w:color w:val="auto"/>
                <w:sz w:val="21"/>
                <w:highlight w:val="none"/>
              </w:rPr>
            </w:pPr>
          </w:p>
        </w:tc>
        <w:tc>
          <w:tcPr>
            <w:tcW w:w="1128" w:type="dxa"/>
            <w:vAlign w:val="top"/>
          </w:tcPr>
          <w:p w14:paraId="216B985B">
            <w:pPr>
              <w:rPr>
                <w:rFonts w:ascii="Arial"/>
                <w:color w:val="auto"/>
                <w:sz w:val="21"/>
                <w:highlight w:val="none"/>
              </w:rPr>
            </w:pPr>
          </w:p>
        </w:tc>
        <w:tc>
          <w:tcPr>
            <w:tcW w:w="1574" w:type="dxa"/>
            <w:vAlign w:val="top"/>
          </w:tcPr>
          <w:p w14:paraId="2F213F81">
            <w:pPr>
              <w:rPr>
                <w:rFonts w:ascii="Arial"/>
                <w:color w:val="auto"/>
                <w:sz w:val="21"/>
                <w:highlight w:val="none"/>
              </w:rPr>
            </w:pPr>
          </w:p>
        </w:tc>
        <w:tc>
          <w:tcPr>
            <w:tcW w:w="830" w:type="dxa"/>
            <w:vAlign w:val="top"/>
          </w:tcPr>
          <w:p w14:paraId="547955DE">
            <w:pPr>
              <w:rPr>
                <w:rFonts w:ascii="Arial"/>
                <w:color w:val="auto"/>
                <w:sz w:val="21"/>
                <w:highlight w:val="none"/>
              </w:rPr>
            </w:pPr>
          </w:p>
        </w:tc>
      </w:tr>
      <w:tr w14:paraId="326DE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786B9DDD">
            <w:pPr>
              <w:rPr>
                <w:rFonts w:ascii="Arial"/>
                <w:color w:val="auto"/>
                <w:sz w:val="21"/>
                <w:highlight w:val="none"/>
              </w:rPr>
            </w:pPr>
          </w:p>
        </w:tc>
        <w:tc>
          <w:tcPr>
            <w:tcW w:w="1022" w:type="dxa"/>
            <w:vAlign w:val="top"/>
          </w:tcPr>
          <w:p w14:paraId="7DD2D4E6">
            <w:pPr>
              <w:rPr>
                <w:rFonts w:ascii="Arial"/>
                <w:color w:val="auto"/>
                <w:sz w:val="21"/>
                <w:highlight w:val="none"/>
              </w:rPr>
            </w:pPr>
          </w:p>
        </w:tc>
        <w:tc>
          <w:tcPr>
            <w:tcW w:w="652" w:type="dxa"/>
            <w:vAlign w:val="top"/>
          </w:tcPr>
          <w:p w14:paraId="6568EF97">
            <w:pPr>
              <w:rPr>
                <w:rFonts w:ascii="Arial"/>
                <w:color w:val="auto"/>
                <w:sz w:val="21"/>
                <w:highlight w:val="none"/>
              </w:rPr>
            </w:pPr>
          </w:p>
        </w:tc>
        <w:tc>
          <w:tcPr>
            <w:tcW w:w="984" w:type="dxa"/>
            <w:vAlign w:val="top"/>
          </w:tcPr>
          <w:p w14:paraId="19B583D6">
            <w:pPr>
              <w:rPr>
                <w:rFonts w:ascii="Arial"/>
                <w:color w:val="auto"/>
                <w:sz w:val="21"/>
                <w:highlight w:val="none"/>
              </w:rPr>
            </w:pPr>
          </w:p>
        </w:tc>
        <w:tc>
          <w:tcPr>
            <w:tcW w:w="691" w:type="dxa"/>
            <w:vAlign w:val="top"/>
          </w:tcPr>
          <w:p w14:paraId="4E64F4EF">
            <w:pPr>
              <w:rPr>
                <w:rFonts w:ascii="Arial"/>
                <w:color w:val="auto"/>
                <w:sz w:val="21"/>
                <w:highlight w:val="none"/>
              </w:rPr>
            </w:pPr>
          </w:p>
        </w:tc>
        <w:tc>
          <w:tcPr>
            <w:tcW w:w="686" w:type="dxa"/>
            <w:vAlign w:val="top"/>
          </w:tcPr>
          <w:p w14:paraId="5F6072C1">
            <w:pPr>
              <w:rPr>
                <w:rFonts w:ascii="Arial"/>
                <w:color w:val="auto"/>
                <w:sz w:val="21"/>
                <w:highlight w:val="none"/>
              </w:rPr>
            </w:pPr>
          </w:p>
        </w:tc>
        <w:tc>
          <w:tcPr>
            <w:tcW w:w="1128" w:type="dxa"/>
            <w:vAlign w:val="top"/>
          </w:tcPr>
          <w:p w14:paraId="20DC18BD">
            <w:pPr>
              <w:rPr>
                <w:rFonts w:ascii="Arial"/>
                <w:color w:val="auto"/>
                <w:sz w:val="21"/>
                <w:highlight w:val="none"/>
              </w:rPr>
            </w:pPr>
          </w:p>
        </w:tc>
        <w:tc>
          <w:tcPr>
            <w:tcW w:w="1574" w:type="dxa"/>
            <w:vAlign w:val="top"/>
          </w:tcPr>
          <w:p w14:paraId="3860723D">
            <w:pPr>
              <w:rPr>
                <w:rFonts w:ascii="Arial"/>
                <w:color w:val="auto"/>
                <w:sz w:val="21"/>
                <w:highlight w:val="none"/>
              </w:rPr>
            </w:pPr>
          </w:p>
        </w:tc>
        <w:tc>
          <w:tcPr>
            <w:tcW w:w="830" w:type="dxa"/>
            <w:vAlign w:val="top"/>
          </w:tcPr>
          <w:p w14:paraId="43B65C0C">
            <w:pPr>
              <w:rPr>
                <w:rFonts w:ascii="Arial"/>
                <w:color w:val="auto"/>
                <w:sz w:val="21"/>
                <w:highlight w:val="none"/>
              </w:rPr>
            </w:pPr>
          </w:p>
        </w:tc>
      </w:tr>
      <w:tr w14:paraId="6E88E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47EBE44E">
            <w:pPr>
              <w:rPr>
                <w:rFonts w:ascii="Arial"/>
                <w:color w:val="auto"/>
                <w:sz w:val="21"/>
                <w:highlight w:val="none"/>
              </w:rPr>
            </w:pPr>
          </w:p>
        </w:tc>
        <w:tc>
          <w:tcPr>
            <w:tcW w:w="1022" w:type="dxa"/>
            <w:vAlign w:val="top"/>
          </w:tcPr>
          <w:p w14:paraId="39C86D4D">
            <w:pPr>
              <w:rPr>
                <w:rFonts w:ascii="Arial"/>
                <w:color w:val="auto"/>
                <w:sz w:val="21"/>
                <w:highlight w:val="none"/>
              </w:rPr>
            </w:pPr>
          </w:p>
        </w:tc>
        <w:tc>
          <w:tcPr>
            <w:tcW w:w="652" w:type="dxa"/>
            <w:vAlign w:val="top"/>
          </w:tcPr>
          <w:p w14:paraId="43A2B255">
            <w:pPr>
              <w:rPr>
                <w:rFonts w:ascii="Arial"/>
                <w:color w:val="auto"/>
                <w:sz w:val="21"/>
                <w:highlight w:val="none"/>
              </w:rPr>
            </w:pPr>
          </w:p>
        </w:tc>
        <w:tc>
          <w:tcPr>
            <w:tcW w:w="984" w:type="dxa"/>
            <w:vAlign w:val="top"/>
          </w:tcPr>
          <w:p w14:paraId="73737FDB">
            <w:pPr>
              <w:rPr>
                <w:rFonts w:ascii="Arial"/>
                <w:color w:val="auto"/>
                <w:sz w:val="21"/>
                <w:highlight w:val="none"/>
              </w:rPr>
            </w:pPr>
          </w:p>
        </w:tc>
        <w:tc>
          <w:tcPr>
            <w:tcW w:w="691" w:type="dxa"/>
            <w:vAlign w:val="top"/>
          </w:tcPr>
          <w:p w14:paraId="0B66547A">
            <w:pPr>
              <w:rPr>
                <w:rFonts w:ascii="Arial"/>
                <w:color w:val="auto"/>
                <w:sz w:val="21"/>
                <w:highlight w:val="none"/>
              </w:rPr>
            </w:pPr>
          </w:p>
        </w:tc>
        <w:tc>
          <w:tcPr>
            <w:tcW w:w="686" w:type="dxa"/>
            <w:vAlign w:val="top"/>
          </w:tcPr>
          <w:p w14:paraId="54AD1A7B">
            <w:pPr>
              <w:rPr>
                <w:rFonts w:ascii="Arial"/>
                <w:color w:val="auto"/>
                <w:sz w:val="21"/>
                <w:highlight w:val="none"/>
              </w:rPr>
            </w:pPr>
          </w:p>
        </w:tc>
        <w:tc>
          <w:tcPr>
            <w:tcW w:w="1128" w:type="dxa"/>
            <w:vAlign w:val="top"/>
          </w:tcPr>
          <w:p w14:paraId="38AA65FF">
            <w:pPr>
              <w:rPr>
                <w:rFonts w:ascii="Arial"/>
                <w:color w:val="auto"/>
                <w:sz w:val="21"/>
                <w:highlight w:val="none"/>
              </w:rPr>
            </w:pPr>
          </w:p>
        </w:tc>
        <w:tc>
          <w:tcPr>
            <w:tcW w:w="1574" w:type="dxa"/>
            <w:vAlign w:val="top"/>
          </w:tcPr>
          <w:p w14:paraId="57BADF99">
            <w:pPr>
              <w:rPr>
                <w:rFonts w:ascii="Arial"/>
                <w:color w:val="auto"/>
                <w:sz w:val="21"/>
                <w:highlight w:val="none"/>
              </w:rPr>
            </w:pPr>
          </w:p>
        </w:tc>
        <w:tc>
          <w:tcPr>
            <w:tcW w:w="830" w:type="dxa"/>
            <w:vAlign w:val="top"/>
          </w:tcPr>
          <w:p w14:paraId="6E769AE0">
            <w:pPr>
              <w:rPr>
                <w:rFonts w:ascii="Arial"/>
                <w:color w:val="auto"/>
                <w:sz w:val="21"/>
                <w:highlight w:val="none"/>
              </w:rPr>
            </w:pPr>
          </w:p>
        </w:tc>
      </w:tr>
      <w:tr w14:paraId="73312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2ADC50F9">
            <w:pPr>
              <w:rPr>
                <w:rFonts w:ascii="Arial"/>
                <w:color w:val="auto"/>
                <w:sz w:val="21"/>
                <w:highlight w:val="none"/>
              </w:rPr>
            </w:pPr>
          </w:p>
        </w:tc>
        <w:tc>
          <w:tcPr>
            <w:tcW w:w="1022" w:type="dxa"/>
            <w:vAlign w:val="top"/>
          </w:tcPr>
          <w:p w14:paraId="334C48BE">
            <w:pPr>
              <w:rPr>
                <w:rFonts w:ascii="Arial"/>
                <w:color w:val="auto"/>
                <w:sz w:val="21"/>
                <w:highlight w:val="none"/>
              </w:rPr>
            </w:pPr>
          </w:p>
        </w:tc>
        <w:tc>
          <w:tcPr>
            <w:tcW w:w="652" w:type="dxa"/>
            <w:vAlign w:val="top"/>
          </w:tcPr>
          <w:p w14:paraId="7C2924DE">
            <w:pPr>
              <w:rPr>
                <w:rFonts w:ascii="Arial"/>
                <w:color w:val="auto"/>
                <w:sz w:val="21"/>
                <w:highlight w:val="none"/>
              </w:rPr>
            </w:pPr>
          </w:p>
        </w:tc>
        <w:tc>
          <w:tcPr>
            <w:tcW w:w="984" w:type="dxa"/>
            <w:vAlign w:val="top"/>
          </w:tcPr>
          <w:p w14:paraId="10DE6A9A">
            <w:pPr>
              <w:rPr>
                <w:rFonts w:ascii="Arial"/>
                <w:color w:val="auto"/>
                <w:sz w:val="21"/>
                <w:highlight w:val="none"/>
              </w:rPr>
            </w:pPr>
          </w:p>
        </w:tc>
        <w:tc>
          <w:tcPr>
            <w:tcW w:w="691" w:type="dxa"/>
            <w:vAlign w:val="top"/>
          </w:tcPr>
          <w:p w14:paraId="43478005">
            <w:pPr>
              <w:rPr>
                <w:rFonts w:ascii="Arial"/>
                <w:color w:val="auto"/>
                <w:sz w:val="21"/>
                <w:highlight w:val="none"/>
              </w:rPr>
            </w:pPr>
          </w:p>
        </w:tc>
        <w:tc>
          <w:tcPr>
            <w:tcW w:w="686" w:type="dxa"/>
            <w:vAlign w:val="top"/>
          </w:tcPr>
          <w:p w14:paraId="6DE12E93">
            <w:pPr>
              <w:rPr>
                <w:rFonts w:ascii="Arial"/>
                <w:color w:val="auto"/>
                <w:sz w:val="21"/>
                <w:highlight w:val="none"/>
              </w:rPr>
            </w:pPr>
          </w:p>
        </w:tc>
        <w:tc>
          <w:tcPr>
            <w:tcW w:w="1128" w:type="dxa"/>
            <w:vAlign w:val="top"/>
          </w:tcPr>
          <w:p w14:paraId="771D9372">
            <w:pPr>
              <w:rPr>
                <w:rFonts w:ascii="Arial"/>
                <w:color w:val="auto"/>
                <w:sz w:val="21"/>
                <w:highlight w:val="none"/>
              </w:rPr>
            </w:pPr>
          </w:p>
        </w:tc>
        <w:tc>
          <w:tcPr>
            <w:tcW w:w="1574" w:type="dxa"/>
            <w:vAlign w:val="top"/>
          </w:tcPr>
          <w:p w14:paraId="0027D7EC">
            <w:pPr>
              <w:rPr>
                <w:rFonts w:ascii="Arial"/>
                <w:color w:val="auto"/>
                <w:sz w:val="21"/>
                <w:highlight w:val="none"/>
              </w:rPr>
            </w:pPr>
          </w:p>
        </w:tc>
        <w:tc>
          <w:tcPr>
            <w:tcW w:w="830" w:type="dxa"/>
            <w:vAlign w:val="top"/>
          </w:tcPr>
          <w:p w14:paraId="2C3012A6">
            <w:pPr>
              <w:rPr>
                <w:rFonts w:ascii="Arial"/>
                <w:color w:val="auto"/>
                <w:sz w:val="21"/>
                <w:highlight w:val="none"/>
              </w:rPr>
            </w:pPr>
          </w:p>
        </w:tc>
      </w:tr>
      <w:tr w14:paraId="04C3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4312D901">
            <w:pPr>
              <w:rPr>
                <w:rFonts w:ascii="Arial"/>
                <w:color w:val="auto"/>
                <w:sz w:val="21"/>
                <w:highlight w:val="none"/>
              </w:rPr>
            </w:pPr>
          </w:p>
        </w:tc>
        <w:tc>
          <w:tcPr>
            <w:tcW w:w="1022" w:type="dxa"/>
            <w:vAlign w:val="top"/>
          </w:tcPr>
          <w:p w14:paraId="599A84EF">
            <w:pPr>
              <w:rPr>
                <w:rFonts w:ascii="Arial"/>
                <w:color w:val="auto"/>
                <w:sz w:val="21"/>
                <w:highlight w:val="none"/>
              </w:rPr>
            </w:pPr>
          </w:p>
        </w:tc>
        <w:tc>
          <w:tcPr>
            <w:tcW w:w="652" w:type="dxa"/>
            <w:vAlign w:val="top"/>
          </w:tcPr>
          <w:p w14:paraId="5D1F20E0">
            <w:pPr>
              <w:rPr>
                <w:rFonts w:ascii="Arial"/>
                <w:color w:val="auto"/>
                <w:sz w:val="21"/>
                <w:highlight w:val="none"/>
              </w:rPr>
            </w:pPr>
          </w:p>
        </w:tc>
        <w:tc>
          <w:tcPr>
            <w:tcW w:w="984" w:type="dxa"/>
            <w:vAlign w:val="top"/>
          </w:tcPr>
          <w:p w14:paraId="76B72ECB">
            <w:pPr>
              <w:rPr>
                <w:rFonts w:ascii="Arial"/>
                <w:color w:val="auto"/>
                <w:sz w:val="21"/>
                <w:highlight w:val="none"/>
              </w:rPr>
            </w:pPr>
          </w:p>
        </w:tc>
        <w:tc>
          <w:tcPr>
            <w:tcW w:w="691" w:type="dxa"/>
            <w:vAlign w:val="top"/>
          </w:tcPr>
          <w:p w14:paraId="11550A36">
            <w:pPr>
              <w:rPr>
                <w:rFonts w:ascii="Arial"/>
                <w:color w:val="auto"/>
                <w:sz w:val="21"/>
                <w:highlight w:val="none"/>
              </w:rPr>
            </w:pPr>
          </w:p>
        </w:tc>
        <w:tc>
          <w:tcPr>
            <w:tcW w:w="686" w:type="dxa"/>
            <w:vAlign w:val="top"/>
          </w:tcPr>
          <w:p w14:paraId="328E185E">
            <w:pPr>
              <w:rPr>
                <w:rFonts w:ascii="Arial"/>
                <w:color w:val="auto"/>
                <w:sz w:val="21"/>
                <w:highlight w:val="none"/>
              </w:rPr>
            </w:pPr>
          </w:p>
        </w:tc>
        <w:tc>
          <w:tcPr>
            <w:tcW w:w="1128" w:type="dxa"/>
            <w:vAlign w:val="top"/>
          </w:tcPr>
          <w:p w14:paraId="78B42527">
            <w:pPr>
              <w:rPr>
                <w:rFonts w:ascii="Arial"/>
                <w:color w:val="auto"/>
                <w:sz w:val="21"/>
                <w:highlight w:val="none"/>
              </w:rPr>
            </w:pPr>
          </w:p>
        </w:tc>
        <w:tc>
          <w:tcPr>
            <w:tcW w:w="1574" w:type="dxa"/>
            <w:vAlign w:val="top"/>
          </w:tcPr>
          <w:p w14:paraId="11360BC8">
            <w:pPr>
              <w:rPr>
                <w:rFonts w:ascii="Arial"/>
                <w:color w:val="auto"/>
                <w:sz w:val="21"/>
                <w:highlight w:val="none"/>
              </w:rPr>
            </w:pPr>
          </w:p>
        </w:tc>
        <w:tc>
          <w:tcPr>
            <w:tcW w:w="830" w:type="dxa"/>
            <w:vAlign w:val="top"/>
          </w:tcPr>
          <w:p w14:paraId="470E99C6">
            <w:pPr>
              <w:rPr>
                <w:rFonts w:ascii="Arial"/>
                <w:color w:val="auto"/>
                <w:sz w:val="21"/>
                <w:highlight w:val="none"/>
              </w:rPr>
            </w:pPr>
          </w:p>
        </w:tc>
      </w:tr>
      <w:tr w14:paraId="5EB88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73AF0DDC">
            <w:pPr>
              <w:rPr>
                <w:rFonts w:ascii="Arial"/>
                <w:color w:val="auto"/>
                <w:sz w:val="21"/>
                <w:highlight w:val="none"/>
              </w:rPr>
            </w:pPr>
          </w:p>
        </w:tc>
        <w:tc>
          <w:tcPr>
            <w:tcW w:w="1022" w:type="dxa"/>
            <w:vAlign w:val="top"/>
          </w:tcPr>
          <w:p w14:paraId="0C338CC3">
            <w:pPr>
              <w:rPr>
                <w:rFonts w:ascii="Arial"/>
                <w:color w:val="auto"/>
                <w:sz w:val="21"/>
                <w:highlight w:val="none"/>
              </w:rPr>
            </w:pPr>
          </w:p>
        </w:tc>
        <w:tc>
          <w:tcPr>
            <w:tcW w:w="652" w:type="dxa"/>
            <w:vAlign w:val="top"/>
          </w:tcPr>
          <w:p w14:paraId="5422E0CC">
            <w:pPr>
              <w:rPr>
                <w:rFonts w:ascii="Arial"/>
                <w:color w:val="auto"/>
                <w:sz w:val="21"/>
                <w:highlight w:val="none"/>
              </w:rPr>
            </w:pPr>
          </w:p>
        </w:tc>
        <w:tc>
          <w:tcPr>
            <w:tcW w:w="984" w:type="dxa"/>
            <w:vAlign w:val="top"/>
          </w:tcPr>
          <w:p w14:paraId="56C1665D">
            <w:pPr>
              <w:rPr>
                <w:rFonts w:ascii="Arial"/>
                <w:color w:val="auto"/>
                <w:sz w:val="21"/>
                <w:highlight w:val="none"/>
              </w:rPr>
            </w:pPr>
          </w:p>
        </w:tc>
        <w:tc>
          <w:tcPr>
            <w:tcW w:w="691" w:type="dxa"/>
            <w:vAlign w:val="top"/>
          </w:tcPr>
          <w:p w14:paraId="618D373C">
            <w:pPr>
              <w:rPr>
                <w:rFonts w:ascii="Arial"/>
                <w:color w:val="auto"/>
                <w:sz w:val="21"/>
                <w:highlight w:val="none"/>
              </w:rPr>
            </w:pPr>
          </w:p>
        </w:tc>
        <w:tc>
          <w:tcPr>
            <w:tcW w:w="686" w:type="dxa"/>
            <w:vAlign w:val="top"/>
          </w:tcPr>
          <w:p w14:paraId="511E7138">
            <w:pPr>
              <w:rPr>
                <w:rFonts w:ascii="Arial"/>
                <w:color w:val="auto"/>
                <w:sz w:val="21"/>
                <w:highlight w:val="none"/>
              </w:rPr>
            </w:pPr>
          </w:p>
        </w:tc>
        <w:tc>
          <w:tcPr>
            <w:tcW w:w="1128" w:type="dxa"/>
            <w:vAlign w:val="top"/>
          </w:tcPr>
          <w:p w14:paraId="25F440B2">
            <w:pPr>
              <w:rPr>
                <w:rFonts w:ascii="Arial"/>
                <w:color w:val="auto"/>
                <w:sz w:val="21"/>
                <w:highlight w:val="none"/>
              </w:rPr>
            </w:pPr>
          </w:p>
        </w:tc>
        <w:tc>
          <w:tcPr>
            <w:tcW w:w="1574" w:type="dxa"/>
            <w:vAlign w:val="top"/>
          </w:tcPr>
          <w:p w14:paraId="1F9EB4A1">
            <w:pPr>
              <w:rPr>
                <w:rFonts w:ascii="Arial"/>
                <w:color w:val="auto"/>
                <w:sz w:val="21"/>
                <w:highlight w:val="none"/>
              </w:rPr>
            </w:pPr>
          </w:p>
        </w:tc>
        <w:tc>
          <w:tcPr>
            <w:tcW w:w="830" w:type="dxa"/>
            <w:vAlign w:val="top"/>
          </w:tcPr>
          <w:p w14:paraId="57D626CE">
            <w:pPr>
              <w:rPr>
                <w:rFonts w:ascii="Arial"/>
                <w:color w:val="auto"/>
                <w:sz w:val="21"/>
                <w:highlight w:val="none"/>
              </w:rPr>
            </w:pPr>
          </w:p>
        </w:tc>
      </w:tr>
      <w:tr w14:paraId="4954C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84D6264">
            <w:pPr>
              <w:rPr>
                <w:rFonts w:ascii="Arial"/>
                <w:color w:val="auto"/>
                <w:sz w:val="21"/>
                <w:highlight w:val="none"/>
              </w:rPr>
            </w:pPr>
          </w:p>
        </w:tc>
        <w:tc>
          <w:tcPr>
            <w:tcW w:w="1022" w:type="dxa"/>
            <w:vAlign w:val="top"/>
          </w:tcPr>
          <w:p w14:paraId="4B22F1DC">
            <w:pPr>
              <w:rPr>
                <w:rFonts w:ascii="Arial"/>
                <w:color w:val="auto"/>
                <w:sz w:val="21"/>
                <w:highlight w:val="none"/>
              </w:rPr>
            </w:pPr>
          </w:p>
        </w:tc>
        <w:tc>
          <w:tcPr>
            <w:tcW w:w="652" w:type="dxa"/>
            <w:vAlign w:val="top"/>
          </w:tcPr>
          <w:p w14:paraId="38BC39BD">
            <w:pPr>
              <w:rPr>
                <w:rFonts w:ascii="Arial"/>
                <w:color w:val="auto"/>
                <w:sz w:val="21"/>
                <w:highlight w:val="none"/>
              </w:rPr>
            </w:pPr>
          </w:p>
        </w:tc>
        <w:tc>
          <w:tcPr>
            <w:tcW w:w="984" w:type="dxa"/>
            <w:vAlign w:val="top"/>
          </w:tcPr>
          <w:p w14:paraId="682BC521">
            <w:pPr>
              <w:rPr>
                <w:rFonts w:ascii="Arial"/>
                <w:color w:val="auto"/>
                <w:sz w:val="21"/>
                <w:highlight w:val="none"/>
              </w:rPr>
            </w:pPr>
          </w:p>
        </w:tc>
        <w:tc>
          <w:tcPr>
            <w:tcW w:w="691" w:type="dxa"/>
            <w:vAlign w:val="top"/>
          </w:tcPr>
          <w:p w14:paraId="14ADCEFC">
            <w:pPr>
              <w:rPr>
                <w:rFonts w:ascii="Arial"/>
                <w:color w:val="auto"/>
                <w:sz w:val="21"/>
                <w:highlight w:val="none"/>
              </w:rPr>
            </w:pPr>
          </w:p>
        </w:tc>
        <w:tc>
          <w:tcPr>
            <w:tcW w:w="686" w:type="dxa"/>
            <w:vAlign w:val="top"/>
          </w:tcPr>
          <w:p w14:paraId="7DF0308B">
            <w:pPr>
              <w:rPr>
                <w:rFonts w:ascii="Arial"/>
                <w:color w:val="auto"/>
                <w:sz w:val="21"/>
                <w:highlight w:val="none"/>
              </w:rPr>
            </w:pPr>
          </w:p>
        </w:tc>
        <w:tc>
          <w:tcPr>
            <w:tcW w:w="1128" w:type="dxa"/>
            <w:vAlign w:val="top"/>
          </w:tcPr>
          <w:p w14:paraId="797C7EB5">
            <w:pPr>
              <w:rPr>
                <w:rFonts w:ascii="Arial"/>
                <w:color w:val="auto"/>
                <w:sz w:val="21"/>
                <w:highlight w:val="none"/>
              </w:rPr>
            </w:pPr>
          </w:p>
        </w:tc>
        <w:tc>
          <w:tcPr>
            <w:tcW w:w="1574" w:type="dxa"/>
            <w:vAlign w:val="top"/>
          </w:tcPr>
          <w:p w14:paraId="3F808AB0">
            <w:pPr>
              <w:rPr>
                <w:rFonts w:ascii="Arial"/>
                <w:color w:val="auto"/>
                <w:sz w:val="21"/>
                <w:highlight w:val="none"/>
              </w:rPr>
            </w:pPr>
          </w:p>
        </w:tc>
        <w:tc>
          <w:tcPr>
            <w:tcW w:w="830" w:type="dxa"/>
            <w:vAlign w:val="top"/>
          </w:tcPr>
          <w:p w14:paraId="41B5980D">
            <w:pPr>
              <w:rPr>
                <w:rFonts w:ascii="Arial"/>
                <w:color w:val="auto"/>
                <w:sz w:val="21"/>
                <w:highlight w:val="none"/>
              </w:rPr>
            </w:pPr>
          </w:p>
        </w:tc>
      </w:tr>
      <w:tr w14:paraId="4A57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ABBF16B">
            <w:pPr>
              <w:rPr>
                <w:rFonts w:ascii="Arial"/>
                <w:color w:val="auto"/>
                <w:sz w:val="21"/>
                <w:highlight w:val="none"/>
              </w:rPr>
            </w:pPr>
          </w:p>
        </w:tc>
        <w:tc>
          <w:tcPr>
            <w:tcW w:w="1022" w:type="dxa"/>
            <w:vAlign w:val="top"/>
          </w:tcPr>
          <w:p w14:paraId="17EC4688">
            <w:pPr>
              <w:rPr>
                <w:rFonts w:ascii="Arial"/>
                <w:color w:val="auto"/>
                <w:sz w:val="21"/>
                <w:highlight w:val="none"/>
              </w:rPr>
            </w:pPr>
          </w:p>
        </w:tc>
        <w:tc>
          <w:tcPr>
            <w:tcW w:w="652" w:type="dxa"/>
            <w:vAlign w:val="top"/>
          </w:tcPr>
          <w:p w14:paraId="41B82CF1">
            <w:pPr>
              <w:rPr>
                <w:rFonts w:ascii="Arial"/>
                <w:color w:val="auto"/>
                <w:sz w:val="21"/>
                <w:highlight w:val="none"/>
              </w:rPr>
            </w:pPr>
          </w:p>
        </w:tc>
        <w:tc>
          <w:tcPr>
            <w:tcW w:w="984" w:type="dxa"/>
            <w:vAlign w:val="top"/>
          </w:tcPr>
          <w:p w14:paraId="1CAE5859">
            <w:pPr>
              <w:rPr>
                <w:rFonts w:ascii="Arial"/>
                <w:color w:val="auto"/>
                <w:sz w:val="21"/>
                <w:highlight w:val="none"/>
              </w:rPr>
            </w:pPr>
          </w:p>
        </w:tc>
        <w:tc>
          <w:tcPr>
            <w:tcW w:w="691" w:type="dxa"/>
            <w:vAlign w:val="top"/>
          </w:tcPr>
          <w:p w14:paraId="2879BF80">
            <w:pPr>
              <w:rPr>
                <w:rFonts w:ascii="Arial"/>
                <w:color w:val="auto"/>
                <w:sz w:val="21"/>
                <w:highlight w:val="none"/>
              </w:rPr>
            </w:pPr>
          </w:p>
        </w:tc>
        <w:tc>
          <w:tcPr>
            <w:tcW w:w="686" w:type="dxa"/>
            <w:vAlign w:val="top"/>
          </w:tcPr>
          <w:p w14:paraId="6195E9EB">
            <w:pPr>
              <w:rPr>
                <w:rFonts w:ascii="Arial"/>
                <w:color w:val="auto"/>
                <w:sz w:val="21"/>
                <w:highlight w:val="none"/>
              </w:rPr>
            </w:pPr>
          </w:p>
        </w:tc>
        <w:tc>
          <w:tcPr>
            <w:tcW w:w="1128" w:type="dxa"/>
            <w:vAlign w:val="top"/>
          </w:tcPr>
          <w:p w14:paraId="3BF1C9A1">
            <w:pPr>
              <w:rPr>
                <w:rFonts w:ascii="Arial"/>
                <w:color w:val="auto"/>
                <w:sz w:val="21"/>
                <w:highlight w:val="none"/>
              </w:rPr>
            </w:pPr>
          </w:p>
        </w:tc>
        <w:tc>
          <w:tcPr>
            <w:tcW w:w="1574" w:type="dxa"/>
            <w:vAlign w:val="top"/>
          </w:tcPr>
          <w:p w14:paraId="4A16E262">
            <w:pPr>
              <w:rPr>
                <w:rFonts w:ascii="Arial"/>
                <w:color w:val="auto"/>
                <w:sz w:val="21"/>
                <w:highlight w:val="none"/>
              </w:rPr>
            </w:pPr>
          </w:p>
        </w:tc>
        <w:tc>
          <w:tcPr>
            <w:tcW w:w="830" w:type="dxa"/>
            <w:vAlign w:val="top"/>
          </w:tcPr>
          <w:p w14:paraId="3C769688">
            <w:pPr>
              <w:rPr>
                <w:rFonts w:ascii="Arial"/>
                <w:color w:val="auto"/>
                <w:sz w:val="21"/>
                <w:highlight w:val="none"/>
              </w:rPr>
            </w:pPr>
          </w:p>
        </w:tc>
      </w:tr>
      <w:tr w14:paraId="02846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F978F4A">
            <w:pPr>
              <w:rPr>
                <w:rFonts w:ascii="Arial"/>
                <w:color w:val="auto"/>
                <w:sz w:val="21"/>
                <w:highlight w:val="none"/>
              </w:rPr>
            </w:pPr>
          </w:p>
        </w:tc>
        <w:tc>
          <w:tcPr>
            <w:tcW w:w="1022" w:type="dxa"/>
            <w:vAlign w:val="top"/>
          </w:tcPr>
          <w:p w14:paraId="4DA1596C">
            <w:pPr>
              <w:rPr>
                <w:rFonts w:ascii="Arial"/>
                <w:color w:val="auto"/>
                <w:sz w:val="21"/>
                <w:highlight w:val="none"/>
              </w:rPr>
            </w:pPr>
          </w:p>
        </w:tc>
        <w:tc>
          <w:tcPr>
            <w:tcW w:w="652" w:type="dxa"/>
            <w:vAlign w:val="top"/>
          </w:tcPr>
          <w:p w14:paraId="525357C7">
            <w:pPr>
              <w:rPr>
                <w:rFonts w:ascii="Arial"/>
                <w:color w:val="auto"/>
                <w:sz w:val="21"/>
                <w:highlight w:val="none"/>
              </w:rPr>
            </w:pPr>
          </w:p>
        </w:tc>
        <w:tc>
          <w:tcPr>
            <w:tcW w:w="984" w:type="dxa"/>
            <w:vAlign w:val="top"/>
          </w:tcPr>
          <w:p w14:paraId="0BB3A77D">
            <w:pPr>
              <w:rPr>
                <w:rFonts w:ascii="Arial"/>
                <w:color w:val="auto"/>
                <w:sz w:val="21"/>
                <w:highlight w:val="none"/>
              </w:rPr>
            </w:pPr>
          </w:p>
        </w:tc>
        <w:tc>
          <w:tcPr>
            <w:tcW w:w="691" w:type="dxa"/>
            <w:vAlign w:val="top"/>
          </w:tcPr>
          <w:p w14:paraId="38B861CD">
            <w:pPr>
              <w:rPr>
                <w:rFonts w:ascii="Arial"/>
                <w:color w:val="auto"/>
                <w:sz w:val="21"/>
                <w:highlight w:val="none"/>
              </w:rPr>
            </w:pPr>
          </w:p>
        </w:tc>
        <w:tc>
          <w:tcPr>
            <w:tcW w:w="686" w:type="dxa"/>
            <w:vAlign w:val="top"/>
          </w:tcPr>
          <w:p w14:paraId="769AC028">
            <w:pPr>
              <w:rPr>
                <w:rFonts w:ascii="Arial"/>
                <w:color w:val="auto"/>
                <w:sz w:val="21"/>
                <w:highlight w:val="none"/>
              </w:rPr>
            </w:pPr>
          </w:p>
        </w:tc>
        <w:tc>
          <w:tcPr>
            <w:tcW w:w="1128" w:type="dxa"/>
            <w:vAlign w:val="top"/>
          </w:tcPr>
          <w:p w14:paraId="1F324C98">
            <w:pPr>
              <w:rPr>
                <w:rFonts w:ascii="Arial"/>
                <w:color w:val="auto"/>
                <w:sz w:val="21"/>
                <w:highlight w:val="none"/>
              </w:rPr>
            </w:pPr>
          </w:p>
        </w:tc>
        <w:tc>
          <w:tcPr>
            <w:tcW w:w="1574" w:type="dxa"/>
            <w:vAlign w:val="top"/>
          </w:tcPr>
          <w:p w14:paraId="1B6A3AFA">
            <w:pPr>
              <w:rPr>
                <w:rFonts w:ascii="Arial"/>
                <w:color w:val="auto"/>
                <w:sz w:val="21"/>
                <w:highlight w:val="none"/>
              </w:rPr>
            </w:pPr>
          </w:p>
        </w:tc>
        <w:tc>
          <w:tcPr>
            <w:tcW w:w="830" w:type="dxa"/>
            <w:vAlign w:val="top"/>
          </w:tcPr>
          <w:p w14:paraId="2685D387">
            <w:pPr>
              <w:rPr>
                <w:rFonts w:ascii="Arial"/>
                <w:color w:val="auto"/>
                <w:sz w:val="21"/>
                <w:highlight w:val="none"/>
              </w:rPr>
            </w:pPr>
          </w:p>
        </w:tc>
      </w:tr>
      <w:tr w14:paraId="4D272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BB22C35">
            <w:pPr>
              <w:rPr>
                <w:rFonts w:ascii="Arial"/>
                <w:color w:val="auto"/>
                <w:sz w:val="21"/>
                <w:highlight w:val="none"/>
              </w:rPr>
            </w:pPr>
          </w:p>
        </w:tc>
        <w:tc>
          <w:tcPr>
            <w:tcW w:w="1022" w:type="dxa"/>
            <w:vAlign w:val="top"/>
          </w:tcPr>
          <w:p w14:paraId="4E9DC37F">
            <w:pPr>
              <w:rPr>
                <w:rFonts w:ascii="Arial"/>
                <w:color w:val="auto"/>
                <w:sz w:val="21"/>
                <w:highlight w:val="none"/>
              </w:rPr>
            </w:pPr>
          </w:p>
        </w:tc>
        <w:tc>
          <w:tcPr>
            <w:tcW w:w="652" w:type="dxa"/>
            <w:vAlign w:val="top"/>
          </w:tcPr>
          <w:p w14:paraId="26AB8562">
            <w:pPr>
              <w:rPr>
                <w:rFonts w:ascii="Arial"/>
                <w:color w:val="auto"/>
                <w:sz w:val="21"/>
                <w:highlight w:val="none"/>
              </w:rPr>
            </w:pPr>
          </w:p>
        </w:tc>
        <w:tc>
          <w:tcPr>
            <w:tcW w:w="984" w:type="dxa"/>
            <w:vAlign w:val="top"/>
          </w:tcPr>
          <w:p w14:paraId="763E33C2">
            <w:pPr>
              <w:rPr>
                <w:rFonts w:ascii="Arial"/>
                <w:color w:val="auto"/>
                <w:sz w:val="21"/>
                <w:highlight w:val="none"/>
              </w:rPr>
            </w:pPr>
          </w:p>
        </w:tc>
        <w:tc>
          <w:tcPr>
            <w:tcW w:w="691" w:type="dxa"/>
            <w:vAlign w:val="top"/>
          </w:tcPr>
          <w:p w14:paraId="423491AF">
            <w:pPr>
              <w:rPr>
                <w:rFonts w:ascii="Arial"/>
                <w:color w:val="auto"/>
                <w:sz w:val="21"/>
                <w:highlight w:val="none"/>
              </w:rPr>
            </w:pPr>
          </w:p>
        </w:tc>
        <w:tc>
          <w:tcPr>
            <w:tcW w:w="686" w:type="dxa"/>
            <w:vAlign w:val="top"/>
          </w:tcPr>
          <w:p w14:paraId="60A70EB4">
            <w:pPr>
              <w:rPr>
                <w:rFonts w:ascii="Arial"/>
                <w:color w:val="auto"/>
                <w:sz w:val="21"/>
                <w:highlight w:val="none"/>
              </w:rPr>
            </w:pPr>
          </w:p>
        </w:tc>
        <w:tc>
          <w:tcPr>
            <w:tcW w:w="1128" w:type="dxa"/>
            <w:vAlign w:val="top"/>
          </w:tcPr>
          <w:p w14:paraId="7B79E37F">
            <w:pPr>
              <w:rPr>
                <w:rFonts w:ascii="Arial"/>
                <w:color w:val="auto"/>
                <w:sz w:val="21"/>
                <w:highlight w:val="none"/>
              </w:rPr>
            </w:pPr>
          </w:p>
        </w:tc>
        <w:tc>
          <w:tcPr>
            <w:tcW w:w="1574" w:type="dxa"/>
            <w:vAlign w:val="top"/>
          </w:tcPr>
          <w:p w14:paraId="51AE0B5F">
            <w:pPr>
              <w:rPr>
                <w:rFonts w:ascii="Arial"/>
                <w:color w:val="auto"/>
                <w:sz w:val="21"/>
                <w:highlight w:val="none"/>
              </w:rPr>
            </w:pPr>
          </w:p>
        </w:tc>
        <w:tc>
          <w:tcPr>
            <w:tcW w:w="830" w:type="dxa"/>
            <w:vAlign w:val="top"/>
          </w:tcPr>
          <w:p w14:paraId="61F4BF1F">
            <w:pPr>
              <w:rPr>
                <w:rFonts w:ascii="Arial"/>
                <w:color w:val="auto"/>
                <w:sz w:val="21"/>
                <w:highlight w:val="none"/>
              </w:rPr>
            </w:pPr>
          </w:p>
        </w:tc>
      </w:tr>
      <w:tr w14:paraId="56990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246DEC0">
            <w:pPr>
              <w:rPr>
                <w:rFonts w:ascii="Arial"/>
                <w:color w:val="auto"/>
                <w:sz w:val="21"/>
                <w:highlight w:val="none"/>
              </w:rPr>
            </w:pPr>
          </w:p>
        </w:tc>
        <w:tc>
          <w:tcPr>
            <w:tcW w:w="1022" w:type="dxa"/>
            <w:vAlign w:val="top"/>
          </w:tcPr>
          <w:p w14:paraId="6EEC2160">
            <w:pPr>
              <w:rPr>
                <w:rFonts w:ascii="Arial"/>
                <w:color w:val="auto"/>
                <w:sz w:val="21"/>
                <w:highlight w:val="none"/>
              </w:rPr>
            </w:pPr>
          </w:p>
        </w:tc>
        <w:tc>
          <w:tcPr>
            <w:tcW w:w="652" w:type="dxa"/>
            <w:vAlign w:val="top"/>
          </w:tcPr>
          <w:p w14:paraId="61B0C306">
            <w:pPr>
              <w:rPr>
                <w:rFonts w:ascii="Arial"/>
                <w:color w:val="auto"/>
                <w:sz w:val="21"/>
                <w:highlight w:val="none"/>
              </w:rPr>
            </w:pPr>
          </w:p>
        </w:tc>
        <w:tc>
          <w:tcPr>
            <w:tcW w:w="984" w:type="dxa"/>
            <w:vAlign w:val="top"/>
          </w:tcPr>
          <w:p w14:paraId="4BCE0F43">
            <w:pPr>
              <w:rPr>
                <w:rFonts w:ascii="Arial"/>
                <w:color w:val="auto"/>
                <w:sz w:val="21"/>
                <w:highlight w:val="none"/>
              </w:rPr>
            </w:pPr>
          </w:p>
        </w:tc>
        <w:tc>
          <w:tcPr>
            <w:tcW w:w="691" w:type="dxa"/>
            <w:vAlign w:val="top"/>
          </w:tcPr>
          <w:p w14:paraId="6393409C">
            <w:pPr>
              <w:rPr>
                <w:rFonts w:ascii="Arial"/>
                <w:color w:val="auto"/>
                <w:sz w:val="21"/>
                <w:highlight w:val="none"/>
              </w:rPr>
            </w:pPr>
          </w:p>
        </w:tc>
        <w:tc>
          <w:tcPr>
            <w:tcW w:w="686" w:type="dxa"/>
            <w:vAlign w:val="top"/>
          </w:tcPr>
          <w:p w14:paraId="06325D94">
            <w:pPr>
              <w:rPr>
                <w:rFonts w:ascii="Arial"/>
                <w:color w:val="auto"/>
                <w:sz w:val="21"/>
                <w:highlight w:val="none"/>
              </w:rPr>
            </w:pPr>
          </w:p>
        </w:tc>
        <w:tc>
          <w:tcPr>
            <w:tcW w:w="1128" w:type="dxa"/>
            <w:vAlign w:val="top"/>
          </w:tcPr>
          <w:p w14:paraId="20C47872">
            <w:pPr>
              <w:rPr>
                <w:rFonts w:ascii="Arial"/>
                <w:color w:val="auto"/>
                <w:sz w:val="21"/>
                <w:highlight w:val="none"/>
              </w:rPr>
            </w:pPr>
          </w:p>
        </w:tc>
        <w:tc>
          <w:tcPr>
            <w:tcW w:w="1574" w:type="dxa"/>
            <w:vAlign w:val="top"/>
          </w:tcPr>
          <w:p w14:paraId="38C0CC1B">
            <w:pPr>
              <w:rPr>
                <w:rFonts w:ascii="Arial"/>
                <w:color w:val="auto"/>
                <w:sz w:val="21"/>
                <w:highlight w:val="none"/>
              </w:rPr>
            </w:pPr>
          </w:p>
        </w:tc>
        <w:tc>
          <w:tcPr>
            <w:tcW w:w="830" w:type="dxa"/>
            <w:vAlign w:val="top"/>
          </w:tcPr>
          <w:p w14:paraId="759ABDA9">
            <w:pPr>
              <w:rPr>
                <w:rFonts w:ascii="Arial"/>
                <w:color w:val="auto"/>
                <w:sz w:val="21"/>
                <w:highlight w:val="none"/>
              </w:rPr>
            </w:pPr>
          </w:p>
        </w:tc>
      </w:tr>
    </w:tbl>
    <w:p w14:paraId="5303B7F5">
      <w:pPr>
        <w:pStyle w:val="5"/>
        <w:rPr>
          <w:color w:val="auto"/>
          <w:highlight w:val="none"/>
        </w:rPr>
      </w:pPr>
    </w:p>
    <w:p w14:paraId="790A0092">
      <w:pPr>
        <w:rPr>
          <w:color w:val="auto"/>
          <w:highlight w:val="none"/>
        </w:rPr>
        <w:sectPr>
          <w:footerReference r:id="rId190" w:type="default"/>
          <w:pgSz w:w="11905" w:h="16839"/>
          <w:pgMar w:top="400" w:right="1785" w:bottom="1004" w:left="1785" w:header="0" w:footer="828" w:gutter="0"/>
          <w:pgNumType w:fmt="decimal"/>
          <w:cols w:space="720" w:num="1"/>
        </w:sectPr>
      </w:pPr>
    </w:p>
    <w:p w14:paraId="7B9919AA">
      <w:pPr>
        <w:pStyle w:val="5"/>
        <w:spacing w:line="267" w:lineRule="auto"/>
        <w:rPr>
          <w:color w:val="auto"/>
          <w:highlight w:val="none"/>
        </w:rPr>
      </w:pPr>
    </w:p>
    <w:p w14:paraId="137408C5">
      <w:pPr>
        <w:pStyle w:val="5"/>
        <w:spacing w:line="267" w:lineRule="auto"/>
        <w:rPr>
          <w:color w:val="auto"/>
          <w:highlight w:val="none"/>
        </w:rPr>
      </w:pPr>
    </w:p>
    <w:p w14:paraId="68468CE7">
      <w:pPr>
        <w:pStyle w:val="5"/>
        <w:spacing w:line="268" w:lineRule="auto"/>
        <w:rPr>
          <w:color w:val="auto"/>
          <w:highlight w:val="none"/>
        </w:rPr>
      </w:pPr>
    </w:p>
    <w:p w14:paraId="5D1C0800">
      <w:pPr>
        <w:pStyle w:val="5"/>
        <w:spacing w:line="268" w:lineRule="auto"/>
        <w:rPr>
          <w:color w:val="auto"/>
          <w:highlight w:val="none"/>
        </w:rPr>
      </w:pPr>
    </w:p>
    <w:p w14:paraId="76AC233B">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附表三：劳动力计划表</w:t>
      </w:r>
    </w:p>
    <w:p w14:paraId="17D438A7">
      <w:pPr>
        <w:spacing w:before="157" w:line="221" w:lineRule="auto"/>
        <w:ind w:left="6761"/>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单位：人</w:t>
      </w:r>
    </w:p>
    <w:p w14:paraId="0B38E2BC">
      <w:pPr>
        <w:spacing w:line="126" w:lineRule="auto"/>
        <w:rPr>
          <w:rFonts w:ascii="Arial"/>
          <w:color w:val="auto"/>
          <w:sz w:val="2"/>
          <w:highlight w:val="none"/>
        </w:rPr>
      </w:pPr>
    </w:p>
    <w:tbl>
      <w:tblPr>
        <w:tblStyle w:val="17"/>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64BAE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61E55F9C">
            <w:pPr>
              <w:pStyle w:val="18"/>
              <w:spacing w:before="208" w:line="221" w:lineRule="auto"/>
              <w:ind w:left="145"/>
              <w:rPr>
                <w:color w:val="auto"/>
                <w:highlight w:val="none"/>
              </w:rPr>
            </w:pPr>
            <w:r>
              <w:rPr>
                <w:color w:val="auto"/>
                <w:spacing w:val="-3"/>
                <w:highlight w:val="none"/>
              </w:rPr>
              <w:t>工种</w:t>
            </w:r>
          </w:p>
        </w:tc>
        <w:tc>
          <w:tcPr>
            <w:tcW w:w="7505" w:type="dxa"/>
            <w:gridSpan w:val="7"/>
            <w:vAlign w:val="top"/>
          </w:tcPr>
          <w:p w14:paraId="21DAEF7F">
            <w:pPr>
              <w:pStyle w:val="18"/>
              <w:spacing w:before="207" w:line="221" w:lineRule="auto"/>
              <w:ind w:left="2285"/>
              <w:rPr>
                <w:color w:val="auto"/>
                <w:highlight w:val="none"/>
              </w:rPr>
            </w:pPr>
            <w:r>
              <w:rPr>
                <w:color w:val="auto"/>
                <w:spacing w:val="-1"/>
                <w:highlight w:val="none"/>
              </w:rPr>
              <w:t>按工程施工阶段投入劳动力情况</w:t>
            </w:r>
          </w:p>
        </w:tc>
      </w:tr>
      <w:tr w14:paraId="0BEF8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3B5E4004">
            <w:pPr>
              <w:rPr>
                <w:rFonts w:ascii="Arial"/>
                <w:color w:val="auto"/>
                <w:sz w:val="21"/>
                <w:highlight w:val="none"/>
              </w:rPr>
            </w:pPr>
          </w:p>
        </w:tc>
        <w:tc>
          <w:tcPr>
            <w:tcW w:w="1363" w:type="dxa"/>
            <w:vAlign w:val="top"/>
          </w:tcPr>
          <w:p w14:paraId="575B30FB">
            <w:pPr>
              <w:rPr>
                <w:rFonts w:ascii="Arial"/>
                <w:color w:val="auto"/>
                <w:sz w:val="21"/>
                <w:highlight w:val="none"/>
              </w:rPr>
            </w:pPr>
          </w:p>
        </w:tc>
        <w:tc>
          <w:tcPr>
            <w:tcW w:w="1022" w:type="dxa"/>
            <w:vAlign w:val="top"/>
          </w:tcPr>
          <w:p w14:paraId="1C2AC81E">
            <w:pPr>
              <w:rPr>
                <w:rFonts w:ascii="Arial"/>
                <w:color w:val="auto"/>
                <w:sz w:val="21"/>
                <w:highlight w:val="none"/>
              </w:rPr>
            </w:pPr>
          </w:p>
        </w:tc>
        <w:tc>
          <w:tcPr>
            <w:tcW w:w="1022" w:type="dxa"/>
            <w:vAlign w:val="top"/>
          </w:tcPr>
          <w:p w14:paraId="31EFA60B">
            <w:pPr>
              <w:rPr>
                <w:rFonts w:ascii="Arial"/>
                <w:color w:val="auto"/>
                <w:sz w:val="21"/>
                <w:highlight w:val="none"/>
              </w:rPr>
            </w:pPr>
          </w:p>
        </w:tc>
        <w:tc>
          <w:tcPr>
            <w:tcW w:w="1022" w:type="dxa"/>
            <w:vAlign w:val="top"/>
          </w:tcPr>
          <w:p w14:paraId="06302AC7">
            <w:pPr>
              <w:rPr>
                <w:rFonts w:ascii="Arial"/>
                <w:color w:val="auto"/>
                <w:sz w:val="21"/>
                <w:highlight w:val="none"/>
              </w:rPr>
            </w:pPr>
          </w:p>
        </w:tc>
        <w:tc>
          <w:tcPr>
            <w:tcW w:w="1022" w:type="dxa"/>
            <w:vAlign w:val="top"/>
          </w:tcPr>
          <w:p w14:paraId="5867EDC1">
            <w:pPr>
              <w:rPr>
                <w:rFonts w:ascii="Arial"/>
                <w:color w:val="auto"/>
                <w:sz w:val="21"/>
                <w:highlight w:val="none"/>
              </w:rPr>
            </w:pPr>
          </w:p>
        </w:tc>
        <w:tc>
          <w:tcPr>
            <w:tcW w:w="1027" w:type="dxa"/>
            <w:vAlign w:val="top"/>
          </w:tcPr>
          <w:p w14:paraId="25546C4D">
            <w:pPr>
              <w:rPr>
                <w:rFonts w:ascii="Arial"/>
                <w:color w:val="auto"/>
                <w:sz w:val="21"/>
                <w:highlight w:val="none"/>
              </w:rPr>
            </w:pPr>
          </w:p>
        </w:tc>
        <w:tc>
          <w:tcPr>
            <w:tcW w:w="1027" w:type="dxa"/>
            <w:vAlign w:val="top"/>
          </w:tcPr>
          <w:p w14:paraId="2232B7F2">
            <w:pPr>
              <w:rPr>
                <w:rFonts w:ascii="Arial"/>
                <w:color w:val="auto"/>
                <w:sz w:val="21"/>
                <w:highlight w:val="none"/>
              </w:rPr>
            </w:pPr>
          </w:p>
        </w:tc>
      </w:tr>
      <w:tr w14:paraId="7A5CA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9E89FCC">
            <w:pPr>
              <w:rPr>
                <w:rFonts w:ascii="Arial"/>
                <w:color w:val="auto"/>
                <w:sz w:val="21"/>
                <w:highlight w:val="none"/>
              </w:rPr>
            </w:pPr>
          </w:p>
        </w:tc>
        <w:tc>
          <w:tcPr>
            <w:tcW w:w="1363" w:type="dxa"/>
            <w:vAlign w:val="top"/>
          </w:tcPr>
          <w:p w14:paraId="6F8EF820">
            <w:pPr>
              <w:rPr>
                <w:rFonts w:ascii="Arial"/>
                <w:color w:val="auto"/>
                <w:sz w:val="21"/>
                <w:highlight w:val="none"/>
              </w:rPr>
            </w:pPr>
          </w:p>
        </w:tc>
        <w:tc>
          <w:tcPr>
            <w:tcW w:w="1022" w:type="dxa"/>
            <w:vAlign w:val="top"/>
          </w:tcPr>
          <w:p w14:paraId="58753498">
            <w:pPr>
              <w:rPr>
                <w:rFonts w:ascii="Arial"/>
                <w:color w:val="auto"/>
                <w:sz w:val="21"/>
                <w:highlight w:val="none"/>
              </w:rPr>
            </w:pPr>
          </w:p>
        </w:tc>
        <w:tc>
          <w:tcPr>
            <w:tcW w:w="1022" w:type="dxa"/>
            <w:vAlign w:val="top"/>
          </w:tcPr>
          <w:p w14:paraId="0F787890">
            <w:pPr>
              <w:rPr>
                <w:rFonts w:ascii="Arial"/>
                <w:color w:val="auto"/>
                <w:sz w:val="21"/>
                <w:highlight w:val="none"/>
              </w:rPr>
            </w:pPr>
          </w:p>
        </w:tc>
        <w:tc>
          <w:tcPr>
            <w:tcW w:w="1022" w:type="dxa"/>
            <w:vAlign w:val="top"/>
          </w:tcPr>
          <w:p w14:paraId="15D0A860">
            <w:pPr>
              <w:rPr>
                <w:rFonts w:ascii="Arial"/>
                <w:color w:val="auto"/>
                <w:sz w:val="21"/>
                <w:highlight w:val="none"/>
              </w:rPr>
            </w:pPr>
          </w:p>
        </w:tc>
        <w:tc>
          <w:tcPr>
            <w:tcW w:w="1022" w:type="dxa"/>
            <w:vAlign w:val="top"/>
          </w:tcPr>
          <w:p w14:paraId="013ABF5B">
            <w:pPr>
              <w:rPr>
                <w:rFonts w:ascii="Arial"/>
                <w:color w:val="auto"/>
                <w:sz w:val="21"/>
                <w:highlight w:val="none"/>
              </w:rPr>
            </w:pPr>
          </w:p>
        </w:tc>
        <w:tc>
          <w:tcPr>
            <w:tcW w:w="1027" w:type="dxa"/>
            <w:vAlign w:val="top"/>
          </w:tcPr>
          <w:p w14:paraId="79EBEC7B">
            <w:pPr>
              <w:rPr>
                <w:rFonts w:ascii="Arial"/>
                <w:color w:val="auto"/>
                <w:sz w:val="21"/>
                <w:highlight w:val="none"/>
              </w:rPr>
            </w:pPr>
          </w:p>
        </w:tc>
        <w:tc>
          <w:tcPr>
            <w:tcW w:w="1027" w:type="dxa"/>
            <w:vAlign w:val="top"/>
          </w:tcPr>
          <w:p w14:paraId="5583937C">
            <w:pPr>
              <w:rPr>
                <w:rFonts w:ascii="Arial"/>
                <w:color w:val="auto"/>
                <w:sz w:val="21"/>
                <w:highlight w:val="none"/>
              </w:rPr>
            </w:pPr>
          </w:p>
        </w:tc>
      </w:tr>
      <w:tr w14:paraId="42B12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2C9D6FDE">
            <w:pPr>
              <w:rPr>
                <w:rFonts w:ascii="Arial"/>
                <w:color w:val="auto"/>
                <w:sz w:val="21"/>
                <w:highlight w:val="none"/>
              </w:rPr>
            </w:pPr>
          </w:p>
        </w:tc>
        <w:tc>
          <w:tcPr>
            <w:tcW w:w="1363" w:type="dxa"/>
            <w:vAlign w:val="top"/>
          </w:tcPr>
          <w:p w14:paraId="6669E7BA">
            <w:pPr>
              <w:rPr>
                <w:rFonts w:ascii="Arial"/>
                <w:color w:val="auto"/>
                <w:sz w:val="21"/>
                <w:highlight w:val="none"/>
              </w:rPr>
            </w:pPr>
          </w:p>
        </w:tc>
        <w:tc>
          <w:tcPr>
            <w:tcW w:w="1022" w:type="dxa"/>
            <w:vAlign w:val="top"/>
          </w:tcPr>
          <w:p w14:paraId="4EC01EF5">
            <w:pPr>
              <w:rPr>
                <w:rFonts w:ascii="Arial"/>
                <w:color w:val="auto"/>
                <w:sz w:val="21"/>
                <w:highlight w:val="none"/>
              </w:rPr>
            </w:pPr>
          </w:p>
        </w:tc>
        <w:tc>
          <w:tcPr>
            <w:tcW w:w="1022" w:type="dxa"/>
            <w:vAlign w:val="top"/>
          </w:tcPr>
          <w:p w14:paraId="04246096">
            <w:pPr>
              <w:rPr>
                <w:rFonts w:ascii="Arial"/>
                <w:color w:val="auto"/>
                <w:sz w:val="21"/>
                <w:highlight w:val="none"/>
              </w:rPr>
            </w:pPr>
          </w:p>
        </w:tc>
        <w:tc>
          <w:tcPr>
            <w:tcW w:w="1022" w:type="dxa"/>
            <w:vAlign w:val="top"/>
          </w:tcPr>
          <w:p w14:paraId="241AAA37">
            <w:pPr>
              <w:rPr>
                <w:rFonts w:ascii="Arial"/>
                <w:color w:val="auto"/>
                <w:sz w:val="21"/>
                <w:highlight w:val="none"/>
              </w:rPr>
            </w:pPr>
          </w:p>
        </w:tc>
        <w:tc>
          <w:tcPr>
            <w:tcW w:w="1022" w:type="dxa"/>
            <w:vAlign w:val="top"/>
          </w:tcPr>
          <w:p w14:paraId="56FE659D">
            <w:pPr>
              <w:rPr>
                <w:rFonts w:ascii="Arial"/>
                <w:color w:val="auto"/>
                <w:sz w:val="21"/>
                <w:highlight w:val="none"/>
              </w:rPr>
            </w:pPr>
          </w:p>
        </w:tc>
        <w:tc>
          <w:tcPr>
            <w:tcW w:w="1027" w:type="dxa"/>
            <w:vAlign w:val="top"/>
          </w:tcPr>
          <w:p w14:paraId="64C0D87F">
            <w:pPr>
              <w:rPr>
                <w:rFonts w:ascii="Arial"/>
                <w:color w:val="auto"/>
                <w:sz w:val="21"/>
                <w:highlight w:val="none"/>
              </w:rPr>
            </w:pPr>
          </w:p>
        </w:tc>
        <w:tc>
          <w:tcPr>
            <w:tcW w:w="1027" w:type="dxa"/>
            <w:vAlign w:val="top"/>
          </w:tcPr>
          <w:p w14:paraId="7D753018">
            <w:pPr>
              <w:rPr>
                <w:rFonts w:ascii="Arial"/>
                <w:color w:val="auto"/>
                <w:sz w:val="21"/>
                <w:highlight w:val="none"/>
              </w:rPr>
            </w:pPr>
          </w:p>
        </w:tc>
      </w:tr>
      <w:tr w14:paraId="00F9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E5458A0">
            <w:pPr>
              <w:rPr>
                <w:rFonts w:ascii="Arial"/>
                <w:color w:val="auto"/>
                <w:sz w:val="21"/>
                <w:highlight w:val="none"/>
              </w:rPr>
            </w:pPr>
          </w:p>
        </w:tc>
        <w:tc>
          <w:tcPr>
            <w:tcW w:w="1363" w:type="dxa"/>
            <w:vAlign w:val="top"/>
          </w:tcPr>
          <w:p w14:paraId="4182B23D">
            <w:pPr>
              <w:rPr>
                <w:rFonts w:ascii="Arial"/>
                <w:color w:val="auto"/>
                <w:sz w:val="21"/>
                <w:highlight w:val="none"/>
              </w:rPr>
            </w:pPr>
          </w:p>
        </w:tc>
        <w:tc>
          <w:tcPr>
            <w:tcW w:w="1022" w:type="dxa"/>
            <w:vAlign w:val="top"/>
          </w:tcPr>
          <w:p w14:paraId="12D6C736">
            <w:pPr>
              <w:rPr>
                <w:rFonts w:ascii="Arial"/>
                <w:color w:val="auto"/>
                <w:sz w:val="21"/>
                <w:highlight w:val="none"/>
              </w:rPr>
            </w:pPr>
          </w:p>
        </w:tc>
        <w:tc>
          <w:tcPr>
            <w:tcW w:w="1022" w:type="dxa"/>
            <w:vAlign w:val="top"/>
          </w:tcPr>
          <w:p w14:paraId="44C3635B">
            <w:pPr>
              <w:rPr>
                <w:rFonts w:ascii="Arial"/>
                <w:color w:val="auto"/>
                <w:sz w:val="21"/>
                <w:highlight w:val="none"/>
              </w:rPr>
            </w:pPr>
          </w:p>
        </w:tc>
        <w:tc>
          <w:tcPr>
            <w:tcW w:w="1022" w:type="dxa"/>
            <w:vAlign w:val="top"/>
          </w:tcPr>
          <w:p w14:paraId="7A7AD339">
            <w:pPr>
              <w:rPr>
                <w:rFonts w:ascii="Arial"/>
                <w:color w:val="auto"/>
                <w:sz w:val="21"/>
                <w:highlight w:val="none"/>
              </w:rPr>
            </w:pPr>
          </w:p>
        </w:tc>
        <w:tc>
          <w:tcPr>
            <w:tcW w:w="1022" w:type="dxa"/>
            <w:vAlign w:val="top"/>
          </w:tcPr>
          <w:p w14:paraId="4CA86265">
            <w:pPr>
              <w:rPr>
                <w:rFonts w:ascii="Arial"/>
                <w:color w:val="auto"/>
                <w:sz w:val="21"/>
                <w:highlight w:val="none"/>
              </w:rPr>
            </w:pPr>
          </w:p>
        </w:tc>
        <w:tc>
          <w:tcPr>
            <w:tcW w:w="1027" w:type="dxa"/>
            <w:vAlign w:val="top"/>
          </w:tcPr>
          <w:p w14:paraId="72B081DB">
            <w:pPr>
              <w:rPr>
                <w:rFonts w:ascii="Arial"/>
                <w:color w:val="auto"/>
                <w:sz w:val="21"/>
                <w:highlight w:val="none"/>
              </w:rPr>
            </w:pPr>
          </w:p>
        </w:tc>
        <w:tc>
          <w:tcPr>
            <w:tcW w:w="1027" w:type="dxa"/>
            <w:vAlign w:val="top"/>
          </w:tcPr>
          <w:p w14:paraId="6F7ACAB2">
            <w:pPr>
              <w:rPr>
                <w:rFonts w:ascii="Arial"/>
                <w:color w:val="auto"/>
                <w:sz w:val="21"/>
                <w:highlight w:val="none"/>
              </w:rPr>
            </w:pPr>
          </w:p>
        </w:tc>
      </w:tr>
      <w:tr w14:paraId="1D9F0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F4F22CF">
            <w:pPr>
              <w:rPr>
                <w:rFonts w:ascii="Arial"/>
                <w:color w:val="auto"/>
                <w:sz w:val="21"/>
                <w:highlight w:val="none"/>
              </w:rPr>
            </w:pPr>
          </w:p>
        </w:tc>
        <w:tc>
          <w:tcPr>
            <w:tcW w:w="1363" w:type="dxa"/>
            <w:vAlign w:val="top"/>
          </w:tcPr>
          <w:p w14:paraId="6DFCA064">
            <w:pPr>
              <w:rPr>
                <w:rFonts w:ascii="Arial"/>
                <w:color w:val="auto"/>
                <w:sz w:val="21"/>
                <w:highlight w:val="none"/>
              </w:rPr>
            </w:pPr>
          </w:p>
        </w:tc>
        <w:tc>
          <w:tcPr>
            <w:tcW w:w="1022" w:type="dxa"/>
            <w:vAlign w:val="top"/>
          </w:tcPr>
          <w:p w14:paraId="7C4546B9">
            <w:pPr>
              <w:rPr>
                <w:rFonts w:ascii="Arial"/>
                <w:color w:val="auto"/>
                <w:sz w:val="21"/>
                <w:highlight w:val="none"/>
              </w:rPr>
            </w:pPr>
          </w:p>
        </w:tc>
        <w:tc>
          <w:tcPr>
            <w:tcW w:w="1022" w:type="dxa"/>
            <w:vAlign w:val="top"/>
          </w:tcPr>
          <w:p w14:paraId="24717ED4">
            <w:pPr>
              <w:rPr>
                <w:rFonts w:ascii="Arial"/>
                <w:color w:val="auto"/>
                <w:sz w:val="21"/>
                <w:highlight w:val="none"/>
              </w:rPr>
            </w:pPr>
          </w:p>
        </w:tc>
        <w:tc>
          <w:tcPr>
            <w:tcW w:w="1022" w:type="dxa"/>
            <w:vAlign w:val="top"/>
          </w:tcPr>
          <w:p w14:paraId="07901F93">
            <w:pPr>
              <w:rPr>
                <w:rFonts w:ascii="Arial"/>
                <w:color w:val="auto"/>
                <w:sz w:val="21"/>
                <w:highlight w:val="none"/>
              </w:rPr>
            </w:pPr>
          </w:p>
        </w:tc>
        <w:tc>
          <w:tcPr>
            <w:tcW w:w="1022" w:type="dxa"/>
            <w:vAlign w:val="top"/>
          </w:tcPr>
          <w:p w14:paraId="282F3D56">
            <w:pPr>
              <w:rPr>
                <w:rFonts w:ascii="Arial"/>
                <w:color w:val="auto"/>
                <w:sz w:val="21"/>
                <w:highlight w:val="none"/>
              </w:rPr>
            </w:pPr>
          </w:p>
        </w:tc>
        <w:tc>
          <w:tcPr>
            <w:tcW w:w="1027" w:type="dxa"/>
            <w:vAlign w:val="top"/>
          </w:tcPr>
          <w:p w14:paraId="362C9B19">
            <w:pPr>
              <w:rPr>
                <w:rFonts w:ascii="Arial"/>
                <w:color w:val="auto"/>
                <w:sz w:val="21"/>
                <w:highlight w:val="none"/>
              </w:rPr>
            </w:pPr>
          </w:p>
        </w:tc>
        <w:tc>
          <w:tcPr>
            <w:tcW w:w="1027" w:type="dxa"/>
            <w:vAlign w:val="top"/>
          </w:tcPr>
          <w:p w14:paraId="1BD09B20">
            <w:pPr>
              <w:rPr>
                <w:rFonts w:ascii="Arial"/>
                <w:color w:val="auto"/>
                <w:sz w:val="21"/>
                <w:highlight w:val="none"/>
              </w:rPr>
            </w:pPr>
          </w:p>
        </w:tc>
      </w:tr>
      <w:tr w14:paraId="111CE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57A638B">
            <w:pPr>
              <w:rPr>
                <w:rFonts w:ascii="Arial"/>
                <w:color w:val="auto"/>
                <w:sz w:val="21"/>
                <w:highlight w:val="none"/>
              </w:rPr>
            </w:pPr>
          </w:p>
        </w:tc>
        <w:tc>
          <w:tcPr>
            <w:tcW w:w="1363" w:type="dxa"/>
            <w:vAlign w:val="top"/>
          </w:tcPr>
          <w:p w14:paraId="5116AAAF">
            <w:pPr>
              <w:rPr>
                <w:rFonts w:ascii="Arial"/>
                <w:color w:val="auto"/>
                <w:sz w:val="21"/>
                <w:highlight w:val="none"/>
              </w:rPr>
            </w:pPr>
          </w:p>
        </w:tc>
        <w:tc>
          <w:tcPr>
            <w:tcW w:w="1022" w:type="dxa"/>
            <w:vAlign w:val="top"/>
          </w:tcPr>
          <w:p w14:paraId="0604C155">
            <w:pPr>
              <w:rPr>
                <w:rFonts w:ascii="Arial"/>
                <w:color w:val="auto"/>
                <w:sz w:val="21"/>
                <w:highlight w:val="none"/>
              </w:rPr>
            </w:pPr>
          </w:p>
        </w:tc>
        <w:tc>
          <w:tcPr>
            <w:tcW w:w="1022" w:type="dxa"/>
            <w:vAlign w:val="top"/>
          </w:tcPr>
          <w:p w14:paraId="16E075F0">
            <w:pPr>
              <w:rPr>
                <w:rFonts w:ascii="Arial"/>
                <w:color w:val="auto"/>
                <w:sz w:val="21"/>
                <w:highlight w:val="none"/>
              </w:rPr>
            </w:pPr>
          </w:p>
        </w:tc>
        <w:tc>
          <w:tcPr>
            <w:tcW w:w="1022" w:type="dxa"/>
            <w:vAlign w:val="top"/>
          </w:tcPr>
          <w:p w14:paraId="7A823C09">
            <w:pPr>
              <w:rPr>
                <w:rFonts w:ascii="Arial"/>
                <w:color w:val="auto"/>
                <w:sz w:val="21"/>
                <w:highlight w:val="none"/>
              </w:rPr>
            </w:pPr>
          </w:p>
        </w:tc>
        <w:tc>
          <w:tcPr>
            <w:tcW w:w="1022" w:type="dxa"/>
            <w:vAlign w:val="top"/>
          </w:tcPr>
          <w:p w14:paraId="428C8802">
            <w:pPr>
              <w:rPr>
                <w:rFonts w:ascii="Arial"/>
                <w:color w:val="auto"/>
                <w:sz w:val="21"/>
                <w:highlight w:val="none"/>
              </w:rPr>
            </w:pPr>
          </w:p>
        </w:tc>
        <w:tc>
          <w:tcPr>
            <w:tcW w:w="1027" w:type="dxa"/>
            <w:vAlign w:val="top"/>
          </w:tcPr>
          <w:p w14:paraId="1C2CD8DD">
            <w:pPr>
              <w:rPr>
                <w:rFonts w:ascii="Arial"/>
                <w:color w:val="auto"/>
                <w:sz w:val="21"/>
                <w:highlight w:val="none"/>
              </w:rPr>
            </w:pPr>
          </w:p>
        </w:tc>
        <w:tc>
          <w:tcPr>
            <w:tcW w:w="1027" w:type="dxa"/>
            <w:vAlign w:val="top"/>
          </w:tcPr>
          <w:p w14:paraId="1142DF34">
            <w:pPr>
              <w:rPr>
                <w:rFonts w:ascii="Arial"/>
                <w:color w:val="auto"/>
                <w:sz w:val="21"/>
                <w:highlight w:val="none"/>
              </w:rPr>
            </w:pPr>
          </w:p>
        </w:tc>
      </w:tr>
      <w:tr w14:paraId="5E127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8CADB58">
            <w:pPr>
              <w:rPr>
                <w:rFonts w:ascii="Arial"/>
                <w:color w:val="auto"/>
                <w:sz w:val="21"/>
                <w:highlight w:val="none"/>
              </w:rPr>
            </w:pPr>
          </w:p>
        </w:tc>
        <w:tc>
          <w:tcPr>
            <w:tcW w:w="1363" w:type="dxa"/>
            <w:vAlign w:val="top"/>
          </w:tcPr>
          <w:p w14:paraId="01255736">
            <w:pPr>
              <w:rPr>
                <w:rFonts w:ascii="Arial"/>
                <w:color w:val="auto"/>
                <w:sz w:val="21"/>
                <w:highlight w:val="none"/>
              </w:rPr>
            </w:pPr>
          </w:p>
        </w:tc>
        <w:tc>
          <w:tcPr>
            <w:tcW w:w="1022" w:type="dxa"/>
            <w:vAlign w:val="top"/>
          </w:tcPr>
          <w:p w14:paraId="5824945E">
            <w:pPr>
              <w:rPr>
                <w:rFonts w:ascii="Arial"/>
                <w:color w:val="auto"/>
                <w:sz w:val="21"/>
                <w:highlight w:val="none"/>
              </w:rPr>
            </w:pPr>
          </w:p>
        </w:tc>
        <w:tc>
          <w:tcPr>
            <w:tcW w:w="1022" w:type="dxa"/>
            <w:vAlign w:val="top"/>
          </w:tcPr>
          <w:p w14:paraId="602672A0">
            <w:pPr>
              <w:rPr>
                <w:rFonts w:ascii="Arial"/>
                <w:color w:val="auto"/>
                <w:sz w:val="21"/>
                <w:highlight w:val="none"/>
              </w:rPr>
            </w:pPr>
          </w:p>
        </w:tc>
        <w:tc>
          <w:tcPr>
            <w:tcW w:w="1022" w:type="dxa"/>
            <w:vAlign w:val="top"/>
          </w:tcPr>
          <w:p w14:paraId="0B7B9E17">
            <w:pPr>
              <w:rPr>
                <w:rFonts w:ascii="Arial"/>
                <w:color w:val="auto"/>
                <w:sz w:val="21"/>
                <w:highlight w:val="none"/>
              </w:rPr>
            </w:pPr>
          </w:p>
        </w:tc>
        <w:tc>
          <w:tcPr>
            <w:tcW w:w="1022" w:type="dxa"/>
            <w:vAlign w:val="top"/>
          </w:tcPr>
          <w:p w14:paraId="2E5CD08B">
            <w:pPr>
              <w:rPr>
                <w:rFonts w:ascii="Arial"/>
                <w:color w:val="auto"/>
                <w:sz w:val="21"/>
                <w:highlight w:val="none"/>
              </w:rPr>
            </w:pPr>
          </w:p>
        </w:tc>
        <w:tc>
          <w:tcPr>
            <w:tcW w:w="1027" w:type="dxa"/>
            <w:vAlign w:val="top"/>
          </w:tcPr>
          <w:p w14:paraId="62042D53">
            <w:pPr>
              <w:rPr>
                <w:rFonts w:ascii="Arial"/>
                <w:color w:val="auto"/>
                <w:sz w:val="21"/>
                <w:highlight w:val="none"/>
              </w:rPr>
            </w:pPr>
          </w:p>
        </w:tc>
        <w:tc>
          <w:tcPr>
            <w:tcW w:w="1027" w:type="dxa"/>
            <w:vAlign w:val="top"/>
          </w:tcPr>
          <w:p w14:paraId="2D15B399">
            <w:pPr>
              <w:rPr>
                <w:rFonts w:ascii="Arial"/>
                <w:color w:val="auto"/>
                <w:sz w:val="21"/>
                <w:highlight w:val="none"/>
              </w:rPr>
            </w:pPr>
          </w:p>
        </w:tc>
      </w:tr>
      <w:tr w14:paraId="2C66C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31AE267">
            <w:pPr>
              <w:rPr>
                <w:rFonts w:ascii="Arial"/>
                <w:color w:val="auto"/>
                <w:sz w:val="21"/>
                <w:highlight w:val="none"/>
              </w:rPr>
            </w:pPr>
          </w:p>
        </w:tc>
        <w:tc>
          <w:tcPr>
            <w:tcW w:w="1363" w:type="dxa"/>
            <w:vAlign w:val="top"/>
          </w:tcPr>
          <w:p w14:paraId="0C3CA1FF">
            <w:pPr>
              <w:rPr>
                <w:rFonts w:ascii="Arial"/>
                <w:color w:val="auto"/>
                <w:sz w:val="21"/>
                <w:highlight w:val="none"/>
              </w:rPr>
            </w:pPr>
          </w:p>
        </w:tc>
        <w:tc>
          <w:tcPr>
            <w:tcW w:w="1022" w:type="dxa"/>
            <w:vAlign w:val="top"/>
          </w:tcPr>
          <w:p w14:paraId="435B0849">
            <w:pPr>
              <w:rPr>
                <w:rFonts w:ascii="Arial"/>
                <w:color w:val="auto"/>
                <w:sz w:val="21"/>
                <w:highlight w:val="none"/>
              </w:rPr>
            </w:pPr>
          </w:p>
        </w:tc>
        <w:tc>
          <w:tcPr>
            <w:tcW w:w="1022" w:type="dxa"/>
            <w:vAlign w:val="top"/>
          </w:tcPr>
          <w:p w14:paraId="3B931E17">
            <w:pPr>
              <w:rPr>
                <w:rFonts w:ascii="Arial"/>
                <w:color w:val="auto"/>
                <w:sz w:val="21"/>
                <w:highlight w:val="none"/>
              </w:rPr>
            </w:pPr>
          </w:p>
        </w:tc>
        <w:tc>
          <w:tcPr>
            <w:tcW w:w="1022" w:type="dxa"/>
            <w:vAlign w:val="top"/>
          </w:tcPr>
          <w:p w14:paraId="0BB8189C">
            <w:pPr>
              <w:rPr>
                <w:rFonts w:ascii="Arial"/>
                <w:color w:val="auto"/>
                <w:sz w:val="21"/>
                <w:highlight w:val="none"/>
              </w:rPr>
            </w:pPr>
          </w:p>
        </w:tc>
        <w:tc>
          <w:tcPr>
            <w:tcW w:w="1022" w:type="dxa"/>
            <w:vAlign w:val="top"/>
          </w:tcPr>
          <w:p w14:paraId="17C21B78">
            <w:pPr>
              <w:rPr>
                <w:rFonts w:ascii="Arial"/>
                <w:color w:val="auto"/>
                <w:sz w:val="21"/>
                <w:highlight w:val="none"/>
              </w:rPr>
            </w:pPr>
          </w:p>
        </w:tc>
        <w:tc>
          <w:tcPr>
            <w:tcW w:w="1027" w:type="dxa"/>
            <w:vAlign w:val="top"/>
          </w:tcPr>
          <w:p w14:paraId="2E27C9A9">
            <w:pPr>
              <w:rPr>
                <w:rFonts w:ascii="Arial"/>
                <w:color w:val="auto"/>
                <w:sz w:val="21"/>
                <w:highlight w:val="none"/>
              </w:rPr>
            </w:pPr>
          </w:p>
        </w:tc>
        <w:tc>
          <w:tcPr>
            <w:tcW w:w="1027" w:type="dxa"/>
            <w:vAlign w:val="top"/>
          </w:tcPr>
          <w:p w14:paraId="02207AEF">
            <w:pPr>
              <w:rPr>
                <w:rFonts w:ascii="Arial"/>
                <w:color w:val="auto"/>
                <w:sz w:val="21"/>
                <w:highlight w:val="none"/>
              </w:rPr>
            </w:pPr>
          </w:p>
        </w:tc>
      </w:tr>
      <w:tr w14:paraId="18359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B282D6F">
            <w:pPr>
              <w:rPr>
                <w:rFonts w:ascii="Arial"/>
                <w:color w:val="auto"/>
                <w:sz w:val="21"/>
                <w:highlight w:val="none"/>
              </w:rPr>
            </w:pPr>
          </w:p>
        </w:tc>
        <w:tc>
          <w:tcPr>
            <w:tcW w:w="1363" w:type="dxa"/>
            <w:vAlign w:val="top"/>
          </w:tcPr>
          <w:p w14:paraId="6BD971FC">
            <w:pPr>
              <w:rPr>
                <w:rFonts w:ascii="Arial"/>
                <w:color w:val="auto"/>
                <w:sz w:val="21"/>
                <w:highlight w:val="none"/>
              </w:rPr>
            </w:pPr>
          </w:p>
        </w:tc>
        <w:tc>
          <w:tcPr>
            <w:tcW w:w="1022" w:type="dxa"/>
            <w:vAlign w:val="top"/>
          </w:tcPr>
          <w:p w14:paraId="5A972A78">
            <w:pPr>
              <w:rPr>
                <w:rFonts w:ascii="Arial"/>
                <w:color w:val="auto"/>
                <w:sz w:val="21"/>
                <w:highlight w:val="none"/>
              </w:rPr>
            </w:pPr>
          </w:p>
        </w:tc>
        <w:tc>
          <w:tcPr>
            <w:tcW w:w="1022" w:type="dxa"/>
            <w:vAlign w:val="top"/>
          </w:tcPr>
          <w:p w14:paraId="78F9A282">
            <w:pPr>
              <w:rPr>
                <w:rFonts w:ascii="Arial"/>
                <w:color w:val="auto"/>
                <w:sz w:val="21"/>
                <w:highlight w:val="none"/>
              </w:rPr>
            </w:pPr>
          </w:p>
        </w:tc>
        <w:tc>
          <w:tcPr>
            <w:tcW w:w="1022" w:type="dxa"/>
            <w:vAlign w:val="top"/>
          </w:tcPr>
          <w:p w14:paraId="323A378B">
            <w:pPr>
              <w:rPr>
                <w:rFonts w:ascii="Arial"/>
                <w:color w:val="auto"/>
                <w:sz w:val="21"/>
                <w:highlight w:val="none"/>
              </w:rPr>
            </w:pPr>
          </w:p>
        </w:tc>
        <w:tc>
          <w:tcPr>
            <w:tcW w:w="1022" w:type="dxa"/>
            <w:vAlign w:val="top"/>
          </w:tcPr>
          <w:p w14:paraId="0E284CF3">
            <w:pPr>
              <w:rPr>
                <w:rFonts w:ascii="Arial"/>
                <w:color w:val="auto"/>
                <w:sz w:val="21"/>
                <w:highlight w:val="none"/>
              </w:rPr>
            </w:pPr>
          </w:p>
        </w:tc>
        <w:tc>
          <w:tcPr>
            <w:tcW w:w="1027" w:type="dxa"/>
            <w:vAlign w:val="top"/>
          </w:tcPr>
          <w:p w14:paraId="46A90966">
            <w:pPr>
              <w:rPr>
                <w:rFonts w:ascii="Arial"/>
                <w:color w:val="auto"/>
                <w:sz w:val="21"/>
                <w:highlight w:val="none"/>
              </w:rPr>
            </w:pPr>
          </w:p>
        </w:tc>
        <w:tc>
          <w:tcPr>
            <w:tcW w:w="1027" w:type="dxa"/>
            <w:vAlign w:val="top"/>
          </w:tcPr>
          <w:p w14:paraId="1038EFA3">
            <w:pPr>
              <w:rPr>
                <w:rFonts w:ascii="Arial"/>
                <w:color w:val="auto"/>
                <w:sz w:val="21"/>
                <w:highlight w:val="none"/>
              </w:rPr>
            </w:pPr>
          </w:p>
        </w:tc>
      </w:tr>
      <w:tr w14:paraId="6CCCE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C76C865">
            <w:pPr>
              <w:rPr>
                <w:rFonts w:ascii="Arial"/>
                <w:color w:val="auto"/>
                <w:sz w:val="21"/>
                <w:highlight w:val="none"/>
              </w:rPr>
            </w:pPr>
          </w:p>
        </w:tc>
        <w:tc>
          <w:tcPr>
            <w:tcW w:w="1363" w:type="dxa"/>
            <w:vAlign w:val="top"/>
          </w:tcPr>
          <w:p w14:paraId="3A79A498">
            <w:pPr>
              <w:rPr>
                <w:rFonts w:ascii="Arial"/>
                <w:color w:val="auto"/>
                <w:sz w:val="21"/>
                <w:highlight w:val="none"/>
              </w:rPr>
            </w:pPr>
          </w:p>
        </w:tc>
        <w:tc>
          <w:tcPr>
            <w:tcW w:w="1022" w:type="dxa"/>
            <w:vAlign w:val="top"/>
          </w:tcPr>
          <w:p w14:paraId="24F7AF5A">
            <w:pPr>
              <w:rPr>
                <w:rFonts w:ascii="Arial"/>
                <w:color w:val="auto"/>
                <w:sz w:val="21"/>
                <w:highlight w:val="none"/>
              </w:rPr>
            </w:pPr>
          </w:p>
        </w:tc>
        <w:tc>
          <w:tcPr>
            <w:tcW w:w="1022" w:type="dxa"/>
            <w:vAlign w:val="top"/>
          </w:tcPr>
          <w:p w14:paraId="5981B515">
            <w:pPr>
              <w:rPr>
                <w:rFonts w:ascii="Arial"/>
                <w:color w:val="auto"/>
                <w:sz w:val="21"/>
                <w:highlight w:val="none"/>
              </w:rPr>
            </w:pPr>
          </w:p>
        </w:tc>
        <w:tc>
          <w:tcPr>
            <w:tcW w:w="1022" w:type="dxa"/>
            <w:vAlign w:val="top"/>
          </w:tcPr>
          <w:p w14:paraId="76F031D9">
            <w:pPr>
              <w:rPr>
                <w:rFonts w:ascii="Arial"/>
                <w:color w:val="auto"/>
                <w:sz w:val="21"/>
                <w:highlight w:val="none"/>
              </w:rPr>
            </w:pPr>
          </w:p>
        </w:tc>
        <w:tc>
          <w:tcPr>
            <w:tcW w:w="1022" w:type="dxa"/>
            <w:vAlign w:val="top"/>
          </w:tcPr>
          <w:p w14:paraId="6BDC280D">
            <w:pPr>
              <w:rPr>
                <w:rFonts w:ascii="Arial"/>
                <w:color w:val="auto"/>
                <w:sz w:val="21"/>
                <w:highlight w:val="none"/>
              </w:rPr>
            </w:pPr>
          </w:p>
        </w:tc>
        <w:tc>
          <w:tcPr>
            <w:tcW w:w="1027" w:type="dxa"/>
            <w:vAlign w:val="top"/>
          </w:tcPr>
          <w:p w14:paraId="534F9E73">
            <w:pPr>
              <w:rPr>
                <w:rFonts w:ascii="Arial"/>
                <w:color w:val="auto"/>
                <w:sz w:val="21"/>
                <w:highlight w:val="none"/>
              </w:rPr>
            </w:pPr>
          </w:p>
        </w:tc>
        <w:tc>
          <w:tcPr>
            <w:tcW w:w="1027" w:type="dxa"/>
            <w:vAlign w:val="top"/>
          </w:tcPr>
          <w:p w14:paraId="032C800C">
            <w:pPr>
              <w:rPr>
                <w:rFonts w:ascii="Arial"/>
                <w:color w:val="auto"/>
                <w:sz w:val="21"/>
                <w:highlight w:val="none"/>
              </w:rPr>
            </w:pPr>
          </w:p>
        </w:tc>
      </w:tr>
      <w:tr w14:paraId="6F3E8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89A3EE7">
            <w:pPr>
              <w:rPr>
                <w:rFonts w:ascii="Arial"/>
                <w:color w:val="auto"/>
                <w:sz w:val="21"/>
                <w:highlight w:val="none"/>
              </w:rPr>
            </w:pPr>
          </w:p>
        </w:tc>
        <w:tc>
          <w:tcPr>
            <w:tcW w:w="1363" w:type="dxa"/>
            <w:vAlign w:val="top"/>
          </w:tcPr>
          <w:p w14:paraId="332B1D37">
            <w:pPr>
              <w:rPr>
                <w:rFonts w:ascii="Arial"/>
                <w:color w:val="auto"/>
                <w:sz w:val="21"/>
                <w:highlight w:val="none"/>
              </w:rPr>
            </w:pPr>
          </w:p>
        </w:tc>
        <w:tc>
          <w:tcPr>
            <w:tcW w:w="1022" w:type="dxa"/>
            <w:vAlign w:val="top"/>
          </w:tcPr>
          <w:p w14:paraId="488546CB">
            <w:pPr>
              <w:rPr>
                <w:rFonts w:ascii="Arial"/>
                <w:color w:val="auto"/>
                <w:sz w:val="21"/>
                <w:highlight w:val="none"/>
              </w:rPr>
            </w:pPr>
          </w:p>
        </w:tc>
        <w:tc>
          <w:tcPr>
            <w:tcW w:w="1022" w:type="dxa"/>
            <w:vAlign w:val="top"/>
          </w:tcPr>
          <w:p w14:paraId="4AFCB534">
            <w:pPr>
              <w:rPr>
                <w:rFonts w:ascii="Arial"/>
                <w:color w:val="auto"/>
                <w:sz w:val="21"/>
                <w:highlight w:val="none"/>
              </w:rPr>
            </w:pPr>
          </w:p>
        </w:tc>
        <w:tc>
          <w:tcPr>
            <w:tcW w:w="1022" w:type="dxa"/>
            <w:vAlign w:val="top"/>
          </w:tcPr>
          <w:p w14:paraId="78E57475">
            <w:pPr>
              <w:rPr>
                <w:rFonts w:ascii="Arial"/>
                <w:color w:val="auto"/>
                <w:sz w:val="21"/>
                <w:highlight w:val="none"/>
              </w:rPr>
            </w:pPr>
          </w:p>
        </w:tc>
        <w:tc>
          <w:tcPr>
            <w:tcW w:w="1022" w:type="dxa"/>
            <w:vAlign w:val="top"/>
          </w:tcPr>
          <w:p w14:paraId="01D66666">
            <w:pPr>
              <w:rPr>
                <w:rFonts w:ascii="Arial"/>
                <w:color w:val="auto"/>
                <w:sz w:val="21"/>
                <w:highlight w:val="none"/>
              </w:rPr>
            </w:pPr>
          </w:p>
        </w:tc>
        <w:tc>
          <w:tcPr>
            <w:tcW w:w="1027" w:type="dxa"/>
            <w:vAlign w:val="top"/>
          </w:tcPr>
          <w:p w14:paraId="03DF47A2">
            <w:pPr>
              <w:rPr>
                <w:rFonts w:ascii="Arial"/>
                <w:color w:val="auto"/>
                <w:sz w:val="21"/>
                <w:highlight w:val="none"/>
              </w:rPr>
            </w:pPr>
          </w:p>
        </w:tc>
        <w:tc>
          <w:tcPr>
            <w:tcW w:w="1027" w:type="dxa"/>
            <w:vAlign w:val="top"/>
          </w:tcPr>
          <w:p w14:paraId="0DE2609E">
            <w:pPr>
              <w:rPr>
                <w:rFonts w:ascii="Arial"/>
                <w:color w:val="auto"/>
                <w:sz w:val="21"/>
                <w:highlight w:val="none"/>
              </w:rPr>
            </w:pPr>
          </w:p>
        </w:tc>
      </w:tr>
      <w:tr w14:paraId="1518C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E0736A">
            <w:pPr>
              <w:rPr>
                <w:rFonts w:ascii="Arial"/>
                <w:color w:val="auto"/>
                <w:sz w:val="21"/>
                <w:highlight w:val="none"/>
              </w:rPr>
            </w:pPr>
          </w:p>
        </w:tc>
        <w:tc>
          <w:tcPr>
            <w:tcW w:w="1363" w:type="dxa"/>
            <w:vAlign w:val="top"/>
          </w:tcPr>
          <w:p w14:paraId="25879EF6">
            <w:pPr>
              <w:rPr>
                <w:rFonts w:ascii="Arial"/>
                <w:color w:val="auto"/>
                <w:sz w:val="21"/>
                <w:highlight w:val="none"/>
              </w:rPr>
            </w:pPr>
          </w:p>
        </w:tc>
        <w:tc>
          <w:tcPr>
            <w:tcW w:w="1022" w:type="dxa"/>
            <w:vAlign w:val="top"/>
          </w:tcPr>
          <w:p w14:paraId="4DBAA94B">
            <w:pPr>
              <w:rPr>
                <w:rFonts w:ascii="Arial"/>
                <w:color w:val="auto"/>
                <w:sz w:val="21"/>
                <w:highlight w:val="none"/>
              </w:rPr>
            </w:pPr>
          </w:p>
        </w:tc>
        <w:tc>
          <w:tcPr>
            <w:tcW w:w="1022" w:type="dxa"/>
            <w:vAlign w:val="top"/>
          </w:tcPr>
          <w:p w14:paraId="0DA230D2">
            <w:pPr>
              <w:rPr>
                <w:rFonts w:ascii="Arial"/>
                <w:color w:val="auto"/>
                <w:sz w:val="21"/>
                <w:highlight w:val="none"/>
              </w:rPr>
            </w:pPr>
          </w:p>
        </w:tc>
        <w:tc>
          <w:tcPr>
            <w:tcW w:w="1022" w:type="dxa"/>
            <w:vAlign w:val="top"/>
          </w:tcPr>
          <w:p w14:paraId="1407BF4C">
            <w:pPr>
              <w:rPr>
                <w:rFonts w:ascii="Arial"/>
                <w:color w:val="auto"/>
                <w:sz w:val="21"/>
                <w:highlight w:val="none"/>
              </w:rPr>
            </w:pPr>
          </w:p>
        </w:tc>
        <w:tc>
          <w:tcPr>
            <w:tcW w:w="1022" w:type="dxa"/>
            <w:vAlign w:val="top"/>
          </w:tcPr>
          <w:p w14:paraId="6DE060A4">
            <w:pPr>
              <w:rPr>
                <w:rFonts w:ascii="Arial"/>
                <w:color w:val="auto"/>
                <w:sz w:val="21"/>
                <w:highlight w:val="none"/>
              </w:rPr>
            </w:pPr>
          </w:p>
        </w:tc>
        <w:tc>
          <w:tcPr>
            <w:tcW w:w="1027" w:type="dxa"/>
            <w:vAlign w:val="top"/>
          </w:tcPr>
          <w:p w14:paraId="1BBDCDEF">
            <w:pPr>
              <w:rPr>
                <w:rFonts w:ascii="Arial"/>
                <w:color w:val="auto"/>
                <w:sz w:val="21"/>
                <w:highlight w:val="none"/>
              </w:rPr>
            </w:pPr>
          </w:p>
        </w:tc>
        <w:tc>
          <w:tcPr>
            <w:tcW w:w="1027" w:type="dxa"/>
            <w:vAlign w:val="top"/>
          </w:tcPr>
          <w:p w14:paraId="6D163BFE">
            <w:pPr>
              <w:rPr>
                <w:rFonts w:ascii="Arial"/>
                <w:color w:val="auto"/>
                <w:sz w:val="21"/>
                <w:highlight w:val="none"/>
              </w:rPr>
            </w:pPr>
          </w:p>
        </w:tc>
      </w:tr>
      <w:tr w14:paraId="1566C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0E06D2A">
            <w:pPr>
              <w:rPr>
                <w:rFonts w:ascii="Arial"/>
                <w:color w:val="auto"/>
                <w:sz w:val="21"/>
                <w:highlight w:val="none"/>
              </w:rPr>
            </w:pPr>
          </w:p>
        </w:tc>
        <w:tc>
          <w:tcPr>
            <w:tcW w:w="1363" w:type="dxa"/>
            <w:vAlign w:val="top"/>
          </w:tcPr>
          <w:p w14:paraId="7CEEB0EA">
            <w:pPr>
              <w:rPr>
                <w:rFonts w:ascii="Arial"/>
                <w:color w:val="auto"/>
                <w:sz w:val="21"/>
                <w:highlight w:val="none"/>
              </w:rPr>
            </w:pPr>
          </w:p>
        </w:tc>
        <w:tc>
          <w:tcPr>
            <w:tcW w:w="1022" w:type="dxa"/>
            <w:vAlign w:val="top"/>
          </w:tcPr>
          <w:p w14:paraId="2F003CE6">
            <w:pPr>
              <w:rPr>
                <w:rFonts w:ascii="Arial"/>
                <w:color w:val="auto"/>
                <w:sz w:val="21"/>
                <w:highlight w:val="none"/>
              </w:rPr>
            </w:pPr>
          </w:p>
        </w:tc>
        <w:tc>
          <w:tcPr>
            <w:tcW w:w="1022" w:type="dxa"/>
            <w:vAlign w:val="top"/>
          </w:tcPr>
          <w:p w14:paraId="17A61DEA">
            <w:pPr>
              <w:rPr>
                <w:rFonts w:ascii="Arial"/>
                <w:color w:val="auto"/>
                <w:sz w:val="21"/>
                <w:highlight w:val="none"/>
              </w:rPr>
            </w:pPr>
          </w:p>
        </w:tc>
        <w:tc>
          <w:tcPr>
            <w:tcW w:w="1022" w:type="dxa"/>
            <w:vAlign w:val="top"/>
          </w:tcPr>
          <w:p w14:paraId="78A5E86E">
            <w:pPr>
              <w:rPr>
                <w:rFonts w:ascii="Arial"/>
                <w:color w:val="auto"/>
                <w:sz w:val="21"/>
                <w:highlight w:val="none"/>
              </w:rPr>
            </w:pPr>
          </w:p>
        </w:tc>
        <w:tc>
          <w:tcPr>
            <w:tcW w:w="1022" w:type="dxa"/>
            <w:vAlign w:val="top"/>
          </w:tcPr>
          <w:p w14:paraId="752BDE47">
            <w:pPr>
              <w:rPr>
                <w:rFonts w:ascii="Arial"/>
                <w:color w:val="auto"/>
                <w:sz w:val="21"/>
                <w:highlight w:val="none"/>
              </w:rPr>
            </w:pPr>
          </w:p>
        </w:tc>
        <w:tc>
          <w:tcPr>
            <w:tcW w:w="1027" w:type="dxa"/>
            <w:vAlign w:val="top"/>
          </w:tcPr>
          <w:p w14:paraId="1DB18999">
            <w:pPr>
              <w:rPr>
                <w:rFonts w:ascii="Arial"/>
                <w:color w:val="auto"/>
                <w:sz w:val="21"/>
                <w:highlight w:val="none"/>
              </w:rPr>
            </w:pPr>
          </w:p>
        </w:tc>
        <w:tc>
          <w:tcPr>
            <w:tcW w:w="1027" w:type="dxa"/>
            <w:vAlign w:val="top"/>
          </w:tcPr>
          <w:p w14:paraId="514A4F11">
            <w:pPr>
              <w:rPr>
                <w:rFonts w:ascii="Arial"/>
                <w:color w:val="auto"/>
                <w:sz w:val="21"/>
                <w:highlight w:val="none"/>
              </w:rPr>
            </w:pPr>
          </w:p>
        </w:tc>
      </w:tr>
      <w:tr w14:paraId="61A5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5F1C2B7A">
            <w:pPr>
              <w:rPr>
                <w:rFonts w:ascii="Arial"/>
                <w:color w:val="auto"/>
                <w:sz w:val="21"/>
                <w:highlight w:val="none"/>
              </w:rPr>
            </w:pPr>
          </w:p>
        </w:tc>
        <w:tc>
          <w:tcPr>
            <w:tcW w:w="1363" w:type="dxa"/>
            <w:vAlign w:val="top"/>
          </w:tcPr>
          <w:p w14:paraId="425DA467">
            <w:pPr>
              <w:rPr>
                <w:rFonts w:ascii="Arial"/>
                <w:color w:val="auto"/>
                <w:sz w:val="21"/>
                <w:highlight w:val="none"/>
              </w:rPr>
            </w:pPr>
          </w:p>
        </w:tc>
        <w:tc>
          <w:tcPr>
            <w:tcW w:w="1022" w:type="dxa"/>
            <w:vAlign w:val="top"/>
          </w:tcPr>
          <w:p w14:paraId="44F2D022">
            <w:pPr>
              <w:rPr>
                <w:rFonts w:ascii="Arial"/>
                <w:color w:val="auto"/>
                <w:sz w:val="21"/>
                <w:highlight w:val="none"/>
              </w:rPr>
            </w:pPr>
          </w:p>
        </w:tc>
        <w:tc>
          <w:tcPr>
            <w:tcW w:w="1022" w:type="dxa"/>
            <w:vAlign w:val="top"/>
          </w:tcPr>
          <w:p w14:paraId="56073908">
            <w:pPr>
              <w:rPr>
                <w:rFonts w:ascii="Arial"/>
                <w:color w:val="auto"/>
                <w:sz w:val="21"/>
                <w:highlight w:val="none"/>
              </w:rPr>
            </w:pPr>
          </w:p>
        </w:tc>
        <w:tc>
          <w:tcPr>
            <w:tcW w:w="1022" w:type="dxa"/>
            <w:vAlign w:val="top"/>
          </w:tcPr>
          <w:p w14:paraId="2A763172">
            <w:pPr>
              <w:rPr>
                <w:rFonts w:ascii="Arial"/>
                <w:color w:val="auto"/>
                <w:sz w:val="21"/>
                <w:highlight w:val="none"/>
              </w:rPr>
            </w:pPr>
          </w:p>
        </w:tc>
        <w:tc>
          <w:tcPr>
            <w:tcW w:w="1022" w:type="dxa"/>
            <w:vAlign w:val="top"/>
          </w:tcPr>
          <w:p w14:paraId="2758E0ED">
            <w:pPr>
              <w:rPr>
                <w:rFonts w:ascii="Arial"/>
                <w:color w:val="auto"/>
                <w:sz w:val="21"/>
                <w:highlight w:val="none"/>
              </w:rPr>
            </w:pPr>
          </w:p>
        </w:tc>
        <w:tc>
          <w:tcPr>
            <w:tcW w:w="1027" w:type="dxa"/>
            <w:vAlign w:val="top"/>
          </w:tcPr>
          <w:p w14:paraId="03EB263F">
            <w:pPr>
              <w:rPr>
                <w:rFonts w:ascii="Arial"/>
                <w:color w:val="auto"/>
                <w:sz w:val="21"/>
                <w:highlight w:val="none"/>
              </w:rPr>
            </w:pPr>
          </w:p>
        </w:tc>
        <w:tc>
          <w:tcPr>
            <w:tcW w:w="1027" w:type="dxa"/>
            <w:vAlign w:val="top"/>
          </w:tcPr>
          <w:p w14:paraId="21799EF1">
            <w:pPr>
              <w:rPr>
                <w:rFonts w:ascii="Arial"/>
                <w:color w:val="auto"/>
                <w:sz w:val="21"/>
                <w:highlight w:val="none"/>
              </w:rPr>
            </w:pPr>
          </w:p>
        </w:tc>
      </w:tr>
      <w:tr w14:paraId="1E6D3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8529862">
            <w:pPr>
              <w:rPr>
                <w:rFonts w:ascii="Arial"/>
                <w:color w:val="auto"/>
                <w:sz w:val="21"/>
                <w:highlight w:val="none"/>
              </w:rPr>
            </w:pPr>
          </w:p>
        </w:tc>
        <w:tc>
          <w:tcPr>
            <w:tcW w:w="1363" w:type="dxa"/>
            <w:vAlign w:val="top"/>
          </w:tcPr>
          <w:p w14:paraId="0A2C3BEF">
            <w:pPr>
              <w:rPr>
                <w:rFonts w:ascii="Arial"/>
                <w:color w:val="auto"/>
                <w:sz w:val="21"/>
                <w:highlight w:val="none"/>
              </w:rPr>
            </w:pPr>
          </w:p>
        </w:tc>
        <w:tc>
          <w:tcPr>
            <w:tcW w:w="1022" w:type="dxa"/>
            <w:vAlign w:val="top"/>
          </w:tcPr>
          <w:p w14:paraId="6677F95F">
            <w:pPr>
              <w:rPr>
                <w:rFonts w:ascii="Arial"/>
                <w:color w:val="auto"/>
                <w:sz w:val="21"/>
                <w:highlight w:val="none"/>
              </w:rPr>
            </w:pPr>
          </w:p>
        </w:tc>
        <w:tc>
          <w:tcPr>
            <w:tcW w:w="1022" w:type="dxa"/>
            <w:vAlign w:val="top"/>
          </w:tcPr>
          <w:p w14:paraId="04182334">
            <w:pPr>
              <w:rPr>
                <w:rFonts w:ascii="Arial"/>
                <w:color w:val="auto"/>
                <w:sz w:val="21"/>
                <w:highlight w:val="none"/>
              </w:rPr>
            </w:pPr>
          </w:p>
        </w:tc>
        <w:tc>
          <w:tcPr>
            <w:tcW w:w="1022" w:type="dxa"/>
            <w:vAlign w:val="top"/>
          </w:tcPr>
          <w:p w14:paraId="3CC302B7">
            <w:pPr>
              <w:rPr>
                <w:rFonts w:ascii="Arial"/>
                <w:color w:val="auto"/>
                <w:sz w:val="21"/>
                <w:highlight w:val="none"/>
              </w:rPr>
            </w:pPr>
          </w:p>
        </w:tc>
        <w:tc>
          <w:tcPr>
            <w:tcW w:w="1022" w:type="dxa"/>
            <w:vAlign w:val="top"/>
          </w:tcPr>
          <w:p w14:paraId="07E39965">
            <w:pPr>
              <w:rPr>
                <w:rFonts w:ascii="Arial"/>
                <w:color w:val="auto"/>
                <w:sz w:val="21"/>
                <w:highlight w:val="none"/>
              </w:rPr>
            </w:pPr>
          </w:p>
        </w:tc>
        <w:tc>
          <w:tcPr>
            <w:tcW w:w="1027" w:type="dxa"/>
            <w:vAlign w:val="top"/>
          </w:tcPr>
          <w:p w14:paraId="2FD92205">
            <w:pPr>
              <w:rPr>
                <w:rFonts w:ascii="Arial"/>
                <w:color w:val="auto"/>
                <w:sz w:val="21"/>
                <w:highlight w:val="none"/>
              </w:rPr>
            </w:pPr>
          </w:p>
        </w:tc>
        <w:tc>
          <w:tcPr>
            <w:tcW w:w="1027" w:type="dxa"/>
            <w:vAlign w:val="top"/>
          </w:tcPr>
          <w:p w14:paraId="5AB6AD23">
            <w:pPr>
              <w:rPr>
                <w:rFonts w:ascii="Arial"/>
                <w:color w:val="auto"/>
                <w:sz w:val="21"/>
                <w:highlight w:val="none"/>
              </w:rPr>
            </w:pPr>
          </w:p>
        </w:tc>
      </w:tr>
      <w:tr w14:paraId="0D1CE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2FD7B06">
            <w:pPr>
              <w:rPr>
                <w:rFonts w:ascii="Arial"/>
                <w:color w:val="auto"/>
                <w:sz w:val="21"/>
                <w:highlight w:val="none"/>
              </w:rPr>
            </w:pPr>
          </w:p>
        </w:tc>
        <w:tc>
          <w:tcPr>
            <w:tcW w:w="1363" w:type="dxa"/>
            <w:vAlign w:val="top"/>
          </w:tcPr>
          <w:p w14:paraId="008EBF28">
            <w:pPr>
              <w:rPr>
                <w:rFonts w:ascii="Arial"/>
                <w:color w:val="auto"/>
                <w:sz w:val="21"/>
                <w:highlight w:val="none"/>
              </w:rPr>
            </w:pPr>
          </w:p>
        </w:tc>
        <w:tc>
          <w:tcPr>
            <w:tcW w:w="1022" w:type="dxa"/>
            <w:vAlign w:val="top"/>
          </w:tcPr>
          <w:p w14:paraId="46E2E0D0">
            <w:pPr>
              <w:rPr>
                <w:rFonts w:ascii="Arial"/>
                <w:color w:val="auto"/>
                <w:sz w:val="21"/>
                <w:highlight w:val="none"/>
              </w:rPr>
            </w:pPr>
          </w:p>
        </w:tc>
        <w:tc>
          <w:tcPr>
            <w:tcW w:w="1022" w:type="dxa"/>
            <w:vAlign w:val="top"/>
          </w:tcPr>
          <w:p w14:paraId="488B7F1C">
            <w:pPr>
              <w:rPr>
                <w:rFonts w:ascii="Arial"/>
                <w:color w:val="auto"/>
                <w:sz w:val="21"/>
                <w:highlight w:val="none"/>
              </w:rPr>
            </w:pPr>
          </w:p>
        </w:tc>
        <w:tc>
          <w:tcPr>
            <w:tcW w:w="1022" w:type="dxa"/>
            <w:vAlign w:val="top"/>
          </w:tcPr>
          <w:p w14:paraId="38496EEE">
            <w:pPr>
              <w:rPr>
                <w:rFonts w:ascii="Arial"/>
                <w:color w:val="auto"/>
                <w:sz w:val="21"/>
                <w:highlight w:val="none"/>
              </w:rPr>
            </w:pPr>
          </w:p>
        </w:tc>
        <w:tc>
          <w:tcPr>
            <w:tcW w:w="1022" w:type="dxa"/>
            <w:vAlign w:val="top"/>
          </w:tcPr>
          <w:p w14:paraId="692615B0">
            <w:pPr>
              <w:rPr>
                <w:rFonts w:ascii="Arial"/>
                <w:color w:val="auto"/>
                <w:sz w:val="21"/>
                <w:highlight w:val="none"/>
              </w:rPr>
            </w:pPr>
          </w:p>
        </w:tc>
        <w:tc>
          <w:tcPr>
            <w:tcW w:w="1027" w:type="dxa"/>
            <w:vAlign w:val="top"/>
          </w:tcPr>
          <w:p w14:paraId="611443C8">
            <w:pPr>
              <w:rPr>
                <w:rFonts w:ascii="Arial"/>
                <w:color w:val="auto"/>
                <w:sz w:val="21"/>
                <w:highlight w:val="none"/>
              </w:rPr>
            </w:pPr>
          </w:p>
        </w:tc>
        <w:tc>
          <w:tcPr>
            <w:tcW w:w="1027" w:type="dxa"/>
            <w:vAlign w:val="top"/>
          </w:tcPr>
          <w:p w14:paraId="185FC040">
            <w:pPr>
              <w:rPr>
                <w:rFonts w:ascii="Arial"/>
                <w:color w:val="auto"/>
                <w:sz w:val="21"/>
                <w:highlight w:val="none"/>
              </w:rPr>
            </w:pPr>
          </w:p>
        </w:tc>
      </w:tr>
      <w:tr w14:paraId="644D2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D3FE1F8">
            <w:pPr>
              <w:rPr>
                <w:rFonts w:ascii="Arial"/>
                <w:color w:val="auto"/>
                <w:sz w:val="21"/>
                <w:highlight w:val="none"/>
              </w:rPr>
            </w:pPr>
          </w:p>
        </w:tc>
        <w:tc>
          <w:tcPr>
            <w:tcW w:w="1363" w:type="dxa"/>
            <w:vAlign w:val="top"/>
          </w:tcPr>
          <w:p w14:paraId="2D9847BA">
            <w:pPr>
              <w:rPr>
                <w:rFonts w:ascii="Arial"/>
                <w:color w:val="auto"/>
                <w:sz w:val="21"/>
                <w:highlight w:val="none"/>
              </w:rPr>
            </w:pPr>
          </w:p>
        </w:tc>
        <w:tc>
          <w:tcPr>
            <w:tcW w:w="1022" w:type="dxa"/>
            <w:vAlign w:val="top"/>
          </w:tcPr>
          <w:p w14:paraId="1B35FA75">
            <w:pPr>
              <w:rPr>
                <w:rFonts w:ascii="Arial"/>
                <w:color w:val="auto"/>
                <w:sz w:val="21"/>
                <w:highlight w:val="none"/>
              </w:rPr>
            </w:pPr>
          </w:p>
        </w:tc>
        <w:tc>
          <w:tcPr>
            <w:tcW w:w="1022" w:type="dxa"/>
            <w:vAlign w:val="top"/>
          </w:tcPr>
          <w:p w14:paraId="07764C6B">
            <w:pPr>
              <w:rPr>
                <w:rFonts w:ascii="Arial"/>
                <w:color w:val="auto"/>
                <w:sz w:val="21"/>
                <w:highlight w:val="none"/>
              </w:rPr>
            </w:pPr>
          </w:p>
        </w:tc>
        <w:tc>
          <w:tcPr>
            <w:tcW w:w="1022" w:type="dxa"/>
            <w:vAlign w:val="top"/>
          </w:tcPr>
          <w:p w14:paraId="66864173">
            <w:pPr>
              <w:rPr>
                <w:rFonts w:ascii="Arial"/>
                <w:color w:val="auto"/>
                <w:sz w:val="21"/>
                <w:highlight w:val="none"/>
              </w:rPr>
            </w:pPr>
          </w:p>
        </w:tc>
        <w:tc>
          <w:tcPr>
            <w:tcW w:w="1022" w:type="dxa"/>
            <w:vAlign w:val="top"/>
          </w:tcPr>
          <w:p w14:paraId="6FA002E1">
            <w:pPr>
              <w:rPr>
                <w:rFonts w:ascii="Arial"/>
                <w:color w:val="auto"/>
                <w:sz w:val="21"/>
                <w:highlight w:val="none"/>
              </w:rPr>
            </w:pPr>
          </w:p>
        </w:tc>
        <w:tc>
          <w:tcPr>
            <w:tcW w:w="1027" w:type="dxa"/>
            <w:vAlign w:val="top"/>
          </w:tcPr>
          <w:p w14:paraId="78E50888">
            <w:pPr>
              <w:rPr>
                <w:rFonts w:ascii="Arial"/>
                <w:color w:val="auto"/>
                <w:sz w:val="21"/>
                <w:highlight w:val="none"/>
              </w:rPr>
            </w:pPr>
          </w:p>
        </w:tc>
        <w:tc>
          <w:tcPr>
            <w:tcW w:w="1027" w:type="dxa"/>
            <w:vAlign w:val="top"/>
          </w:tcPr>
          <w:p w14:paraId="1B418916">
            <w:pPr>
              <w:rPr>
                <w:rFonts w:ascii="Arial"/>
                <w:color w:val="auto"/>
                <w:sz w:val="21"/>
                <w:highlight w:val="none"/>
              </w:rPr>
            </w:pPr>
          </w:p>
        </w:tc>
      </w:tr>
      <w:tr w14:paraId="511E7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66677740">
            <w:pPr>
              <w:rPr>
                <w:rFonts w:ascii="Arial"/>
                <w:color w:val="auto"/>
                <w:sz w:val="21"/>
                <w:highlight w:val="none"/>
              </w:rPr>
            </w:pPr>
          </w:p>
        </w:tc>
        <w:tc>
          <w:tcPr>
            <w:tcW w:w="1363" w:type="dxa"/>
            <w:vAlign w:val="top"/>
          </w:tcPr>
          <w:p w14:paraId="2C4D76C1">
            <w:pPr>
              <w:rPr>
                <w:rFonts w:ascii="Arial"/>
                <w:color w:val="auto"/>
                <w:sz w:val="21"/>
                <w:highlight w:val="none"/>
              </w:rPr>
            </w:pPr>
          </w:p>
        </w:tc>
        <w:tc>
          <w:tcPr>
            <w:tcW w:w="1022" w:type="dxa"/>
            <w:vAlign w:val="top"/>
          </w:tcPr>
          <w:p w14:paraId="2F1AA727">
            <w:pPr>
              <w:rPr>
                <w:rFonts w:ascii="Arial"/>
                <w:color w:val="auto"/>
                <w:sz w:val="21"/>
                <w:highlight w:val="none"/>
              </w:rPr>
            </w:pPr>
          </w:p>
        </w:tc>
        <w:tc>
          <w:tcPr>
            <w:tcW w:w="1022" w:type="dxa"/>
            <w:vAlign w:val="top"/>
          </w:tcPr>
          <w:p w14:paraId="4DC92384">
            <w:pPr>
              <w:rPr>
                <w:rFonts w:ascii="Arial"/>
                <w:color w:val="auto"/>
                <w:sz w:val="21"/>
                <w:highlight w:val="none"/>
              </w:rPr>
            </w:pPr>
          </w:p>
        </w:tc>
        <w:tc>
          <w:tcPr>
            <w:tcW w:w="1022" w:type="dxa"/>
            <w:vAlign w:val="top"/>
          </w:tcPr>
          <w:p w14:paraId="6A380EF1">
            <w:pPr>
              <w:rPr>
                <w:rFonts w:ascii="Arial"/>
                <w:color w:val="auto"/>
                <w:sz w:val="21"/>
                <w:highlight w:val="none"/>
              </w:rPr>
            </w:pPr>
          </w:p>
        </w:tc>
        <w:tc>
          <w:tcPr>
            <w:tcW w:w="1022" w:type="dxa"/>
            <w:vAlign w:val="top"/>
          </w:tcPr>
          <w:p w14:paraId="3C3BE418">
            <w:pPr>
              <w:rPr>
                <w:rFonts w:ascii="Arial"/>
                <w:color w:val="auto"/>
                <w:sz w:val="21"/>
                <w:highlight w:val="none"/>
              </w:rPr>
            </w:pPr>
          </w:p>
        </w:tc>
        <w:tc>
          <w:tcPr>
            <w:tcW w:w="1027" w:type="dxa"/>
            <w:vAlign w:val="top"/>
          </w:tcPr>
          <w:p w14:paraId="37BA7A4B">
            <w:pPr>
              <w:rPr>
                <w:rFonts w:ascii="Arial"/>
                <w:color w:val="auto"/>
                <w:sz w:val="21"/>
                <w:highlight w:val="none"/>
              </w:rPr>
            </w:pPr>
          </w:p>
        </w:tc>
        <w:tc>
          <w:tcPr>
            <w:tcW w:w="1027" w:type="dxa"/>
            <w:vAlign w:val="top"/>
          </w:tcPr>
          <w:p w14:paraId="46029C7C">
            <w:pPr>
              <w:rPr>
                <w:rFonts w:ascii="Arial"/>
                <w:color w:val="auto"/>
                <w:sz w:val="21"/>
                <w:highlight w:val="none"/>
              </w:rPr>
            </w:pPr>
          </w:p>
        </w:tc>
      </w:tr>
      <w:tr w14:paraId="43602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9B6B45B">
            <w:pPr>
              <w:rPr>
                <w:rFonts w:ascii="Arial"/>
                <w:color w:val="auto"/>
                <w:sz w:val="21"/>
                <w:highlight w:val="none"/>
              </w:rPr>
            </w:pPr>
          </w:p>
        </w:tc>
        <w:tc>
          <w:tcPr>
            <w:tcW w:w="1363" w:type="dxa"/>
            <w:vAlign w:val="top"/>
          </w:tcPr>
          <w:p w14:paraId="08C03620">
            <w:pPr>
              <w:rPr>
                <w:rFonts w:ascii="Arial"/>
                <w:color w:val="auto"/>
                <w:sz w:val="21"/>
                <w:highlight w:val="none"/>
              </w:rPr>
            </w:pPr>
          </w:p>
        </w:tc>
        <w:tc>
          <w:tcPr>
            <w:tcW w:w="1022" w:type="dxa"/>
            <w:vAlign w:val="top"/>
          </w:tcPr>
          <w:p w14:paraId="30A7A1F6">
            <w:pPr>
              <w:rPr>
                <w:rFonts w:ascii="Arial"/>
                <w:color w:val="auto"/>
                <w:sz w:val="21"/>
                <w:highlight w:val="none"/>
              </w:rPr>
            </w:pPr>
          </w:p>
        </w:tc>
        <w:tc>
          <w:tcPr>
            <w:tcW w:w="1022" w:type="dxa"/>
            <w:vAlign w:val="top"/>
          </w:tcPr>
          <w:p w14:paraId="2EB8200A">
            <w:pPr>
              <w:rPr>
                <w:rFonts w:ascii="Arial"/>
                <w:color w:val="auto"/>
                <w:sz w:val="21"/>
                <w:highlight w:val="none"/>
              </w:rPr>
            </w:pPr>
          </w:p>
        </w:tc>
        <w:tc>
          <w:tcPr>
            <w:tcW w:w="1022" w:type="dxa"/>
            <w:vAlign w:val="top"/>
          </w:tcPr>
          <w:p w14:paraId="4C0EBE65">
            <w:pPr>
              <w:rPr>
                <w:rFonts w:ascii="Arial"/>
                <w:color w:val="auto"/>
                <w:sz w:val="21"/>
                <w:highlight w:val="none"/>
              </w:rPr>
            </w:pPr>
          </w:p>
        </w:tc>
        <w:tc>
          <w:tcPr>
            <w:tcW w:w="1022" w:type="dxa"/>
            <w:vAlign w:val="top"/>
          </w:tcPr>
          <w:p w14:paraId="75E8E3E7">
            <w:pPr>
              <w:rPr>
                <w:rFonts w:ascii="Arial"/>
                <w:color w:val="auto"/>
                <w:sz w:val="21"/>
                <w:highlight w:val="none"/>
              </w:rPr>
            </w:pPr>
          </w:p>
        </w:tc>
        <w:tc>
          <w:tcPr>
            <w:tcW w:w="1027" w:type="dxa"/>
            <w:vAlign w:val="top"/>
          </w:tcPr>
          <w:p w14:paraId="564457BA">
            <w:pPr>
              <w:rPr>
                <w:rFonts w:ascii="Arial"/>
                <w:color w:val="auto"/>
                <w:sz w:val="21"/>
                <w:highlight w:val="none"/>
              </w:rPr>
            </w:pPr>
          </w:p>
        </w:tc>
        <w:tc>
          <w:tcPr>
            <w:tcW w:w="1027" w:type="dxa"/>
            <w:vAlign w:val="top"/>
          </w:tcPr>
          <w:p w14:paraId="68D86FC0">
            <w:pPr>
              <w:rPr>
                <w:rFonts w:ascii="Arial"/>
                <w:color w:val="auto"/>
                <w:sz w:val="21"/>
                <w:highlight w:val="none"/>
              </w:rPr>
            </w:pPr>
          </w:p>
        </w:tc>
      </w:tr>
      <w:tr w14:paraId="1623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8BCFFD9">
            <w:pPr>
              <w:rPr>
                <w:rFonts w:ascii="Arial"/>
                <w:color w:val="auto"/>
                <w:sz w:val="21"/>
                <w:highlight w:val="none"/>
              </w:rPr>
            </w:pPr>
          </w:p>
        </w:tc>
        <w:tc>
          <w:tcPr>
            <w:tcW w:w="1363" w:type="dxa"/>
            <w:vAlign w:val="top"/>
          </w:tcPr>
          <w:p w14:paraId="4A7C846C">
            <w:pPr>
              <w:rPr>
                <w:rFonts w:ascii="Arial"/>
                <w:color w:val="auto"/>
                <w:sz w:val="21"/>
                <w:highlight w:val="none"/>
              </w:rPr>
            </w:pPr>
          </w:p>
        </w:tc>
        <w:tc>
          <w:tcPr>
            <w:tcW w:w="1022" w:type="dxa"/>
            <w:vAlign w:val="top"/>
          </w:tcPr>
          <w:p w14:paraId="6747BF69">
            <w:pPr>
              <w:rPr>
                <w:rFonts w:ascii="Arial"/>
                <w:color w:val="auto"/>
                <w:sz w:val="21"/>
                <w:highlight w:val="none"/>
              </w:rPr>
            </w:pPr>
          </w:p>
        </w:tc>
        <w:tc>
          <w:tcPr>
            <w:tcW w:w="1022" w:type="dxa"/>
            <w:vAlign w:val="top"/>
          </w:tcPr>
          <w:p w14:paraId="000F9772">
            <w:pPr>
              <w:rPr>
                <w:rFonts w:ascii="Arial"/>
                <w:color w:val="auto"/>
                <w:sz w:val="21"/>
                <w:highlight w:val="none"/>
              </w:rPr>
            </w:pPr>
          </w:p>
        </w:tc>
        <w:tc>
          <w:tcPr>
            <w:tcW w:w="1022" w:type="dxa"/>
            <w:vAlign w:val="top"/>
          </w:tcPr>
          <w:p w14:paraId="3933C692">
            <w:pPr>
              <w:rPr>
                <w:rFonts w:ascii="Arial"/>
                <w:color w:val="auto"/>
                <w:sz w:val="21"/>
                <w:highlight w:val="none"/>
              </w:rPr>
            </w:pPr>
          </w:p>
        </w:tc>
        <w:tc>
          <w:tcPr>
            <w:tcW w:w="1022" w:type="dxa"/>
            <w:vAlign w:val="top"/>
          </w:tcPr>
          <w:p w14:paraId="4FD83D16">
            <w:pPr>
              <w:rPr>
                <w:rFonts w:ascii="Arial"/>
                <w:color w:val="auto"/>
                <w:sz w:val="21"/>
                <w:highlight w:val="none"/>
              </w:rPr>
            </w:pPr>
          </w:p>
        </w:tc>
        <w:tc>
          <w:tcPr>
            <w:tcW w:w="1027" w:type="dxa"/>
            <w:vAlign w:val="top"/>
          </w:tcPr>
          <w:p w14:paraId="2BC31418">
            <w:pPr>
              <w:rPr>
                <w:rFonts w:ascii="Arial"/>
                <w:color w:val="auto"/>
                <w:sz w:val="21"/>
                <w:highlight w:val="none"/>
              </w:rPr>
            </w:pPr>
          </w:p>
        </w:tc>
        <w:tc>
          <w:tcPr>
            <w:tcW w:w="1027" w:type="dxa"/>
            <w:vAlign w:val="top"/>
          </w:tcPr>
          <w:p w14:paraId="52B97750">
            <w:pPr>
              <w:rPr>
                <w:rFonts w:ascii="Arial"/>
                <w:color w:val="auto"/>
                <w:sz w:val="21"/>
                <w:highlight w:val="none"/>
              </w:rPr>
            </w:pPr>
          </w:p>
        </w:tc>
      </w:tr>
      <w:tr w14:paraId="494AD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D850663">
            <w:pPr>
              <w:rPr>
                <w:rFonts w:ascii="Arial"/>
                <w:color w:val="auto"/>
                <w:sz w:val="21"/>
                <w:highlight w:val="none"/>
              </w:rPr>
            </w:pPr>
          </w:p>
        </w:tc>
        <w:tc>
          <w:tcPr>
            <w:tcW w:w="1363" w:type="dxa"/>
            <w:vAlign w:val="top"/>
          </w:tcPr>
          <w:p w14:paraId="730607EC">
            <w:pPr>
              <w:rPr>
                <w:rFonts w:ascii="Arial"/>
                <w:color w:val="auto"/>
                <w:sz w:val="21"/>
                <w:highlight w:val="none"/>
              </w:rPr>
            </w:pPr>
          </w:p>
        </w:tc>
        <w:tc>
          <w:tcPr>
            <w:tcW w:w="1022" w:type="dxa"/>
            <w:vAlign w:val="top"/>
          </w:tcPr>
          <w:p w14:paraId="4E18711F">
            <w:pPr>
              <w:rPr>
                <w:rFonts w:ascii="Arial"/>
                <w:color w:val="auto"/>
                <w:sz w:val="21"/>
                <w:highlight w:val="none"/>
              </w:rPr>
            </w:pPr>
          </w:p>
        </w:tc>
        <w:tc>
          <w:tcPr>
            <w:tcW w:w="1022" w:type="dxa"/>
            <w:vAlign w:val="top"/>
          </w:tcPr>
          <w:p w14:paraId="2F65A41B">
            <w:pPr>
              <w:rPr>
                <w:rFonts w:ascii="Arial"/>
                <w:color w:val="auto"/>
                <w:sz w:val="21"/>
                <w:highlight w:val="none"/>
              </w:rPr>
            </w:pPr>
          </w:p>
        </w:tc>
        <w:tc>
          <w:tcPr>
            <w:tcW w:w="1022" w:type="dxa"/>
            <w:vAlign w:val="top"/>
          </w:tcPr>
          <w:p w14:paraId="0CCB8032">
            <w:pPr>
              <w:rPr>
                <w:rFonts w:ascii="Arial"/>
                <w:color w:val="auto"/>
                <w:sz w:val="21"/>
                <w:highlight w:val="none"/>
              </w:rPr>
            </w:pPr>
          </w:p>
        </w:tc>
        <w:tc>
          <w:tcPr>
            <w:tcW w:w="1022" w:type="dxa"/>
            <w:vAlign w:val="top"/>
          </w:tcPr>
          <w:p w14:paraId="4BE7F740">
            <w:pPr>
              <w:rPr>
                <w:rFonts w:ascii="Arial"/>
                <w:color w:val="auto"/>
                <w:sz w:val="21"/>
                <w:highlight w:val="none"/>
              </w:rPr>
            </w:pPr>
          </w:p>
        </w:tc>
        <w:tc>
          <w:tcPr>
            <w:tcW w:w="1027" w:type="dxa"/>
            <w:vAlign w:val="top"/>
          </w:tcPr>
          <w:p w14:paraId="172038BF">
            <w:pPr>
              <w:rPr>
                <w:rFonts w:ascii="Arial"/>
                <w:color w:val="auto"/>
                <w:sz w:val="21"/>
                <w:highlight w:val="none"/>
              </w:rPr>
            </w:pPr>
          </w:p>
        </w:tc>
        <w:tc>
          <w:tcPr>
            <w:tcW w:w="1027" w:type="dxa"/>
            <w:vAlign w:val="top"/>
          </w:tcPr>
          <w:p w14:paraId="603FDF32">
            <w:pPr>
              <w:rPr>
                <w:rFonts w:ascii="Arial"/>
                <w:color w:val="auto"/>
                <w:sz w:val="21"/>
                <w:highlight w:val="none"/>
              </w:rPr>
            </w:pPr>
          </w:p>
        </w:tc>
      </w:tr>
      <w:tr w14:paraId="3B5B6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57AC5C0">
            <w:pPr>
              <w:rPr>
                <w:rFonts w:ascii="Arial"/>
                <w:color w:val="auto"/>
                <w:sz w:val="21"/>
                <w:highlight w:val="none"/>
              </w:rPr>
            </w:pPr>
          </w:p>
        </w:tc>
        <w:tc>
          <w:tcPr>
            <w:tcW w:w="1363" w:type="dxa"/>
            <w:vAlign w:val="top"/>
          </w:tcPr>
          <w:p w14:paraId="106D5E24">
            <w:pPr>
              <w:rPr>
                <w:rFonts w:ascii="Arial"/>
                <w:color w:val="auto"/>
                <w:sz w:val="21"/>
                <w:highlight w:val="none"/>
              </w:rPr>
            </w:pPr>
          </w:p>
        </w:tc>
        <w:tc>
          <w:tcPr>
            <w:tcW w:w="1022" w:type="dxa"/>
            <w:vAlign w:val="top"/>
          </w:tcPr>
          <w:p w14:paraId="005D2307">
            <w:pPr>
              <w:rPr>
                <w:rFonts w:ascii="Arial"/>
                <w:color w:val="auto"/>
                <w:sz w:val="21"/>
                <w:highlight w:val="none"/>
              </w:rPr>
            </w:pPr>
          </w:p>
        </w:tc>
        <w:tc>
          <w:tcPr>
            <w:tcW w:w="1022" w:type="dxa"/>
            <w:vAlign w:val="top"/>
          </w:tcPr>
          <w:p w14:paraId="72A20AA4">
            <w:pPr>
              <w:rPr>
                <w:rFonts w:ascii="Arial"/>
                <w:color w:val="auto"/>
                <w:sz w:val="21"/>
                <w:highlight w:val="none"/>
              </w:rPr>
            </w:pPr>
          </w:p>
        </w:tc>
        <w:tc>
          <w:tcPr>
            <w:tcW w:w="1022" w:type="dxa"/>
            <w:vAlign w:val="top"/>
          </w:tcPr>
          <w:p w14:paraId="62D13553">
            <w:pPr>
              <w:rPr>
                <w:rFonts w:ascii="Arial"/>
                <w:color w:val="auto"/>
                <w:sz w:val="21"/>
                <w:highlight w:val="none"/>
              </w:rPr>
            </w:pPr>
          </w:p>
        </w:tc>
        <w:tc>
          <w:tcPr>
            <w:tcW w:w="1022" w:type="dxa"/>
            <w:vAlign w:val="top"/>
          </w:tcPr>
          <w:p w14:paraId="6CA83970">
            <w:pPr>
              <w:rPr>
                <w:rFonts w:ascii="Arial"/>
                <w:color w:val="auto"/>
                <w:sz w:val="21"/>
                <w:highlight w:val="none"/>
              </w:rPr>
            </w:pPr>
          </w:p>
        </w:tc>
        <w:tc>
          <w:tcPr>
            <w:tcW w:w="1027" w:type="dxa"/>
            <w:vAlign w:val="top"/>
          </w:tcPr>
          <w:p w14:paraId="0D99269E">
            <w:pPr>
              <w:rPr>
                <w:rFonts w:ascii="Arial"/>
                <w:color w:val="auto"/>
                <w:sz w:val="21"/>
                <w:highlight w:val="none"/>
              </w:rPr>
            </w:pPr>
          </w:p>
        </w:tc>
        <w:tc>
          <w:tcPr>
            <w:tcW w:w="1027" w:type="dxa"/>
            <w:vAlign w:val="top"/>
          </w:tcPr>
          <w:p w14:paraId="7F68E913">
            <w:pPr>
              <w:rPr>
                <w:rFonts w:ascii="Arial"/>
                <w:color w:val="auto"/>
                <w:sz w:val="21"/>
                <w:highlight w:val="none"/>
              </w:rPr>
            </w:pPr>
          </w:p>
        </w:tc>
      </w:tr>
      <w:tr w14:paraId="3DE0A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C404E03">
            <w:pPr>
              <w:rPr>
                <w:rFonts w:ascii="Arial"/>
                <w:color w:val="auto"/>
                <w:sz w:val="21"/>
                <w:highlight w:val="none"/>
              </w:rPr>
            </w:pPr>
          </w:p>
        </w:tc>
        <w:tc>
          <w:tcPr>
            <w:tcW w:w="1363" w:type="dxa"/>
            <w:vAlign w:val="top"/>
          </w:tcPr>
          <w:p w14:paraId="0D70434F">
            <w:pPr>
              <w:rPr>
                <w:rFonts w:ascii="Arial"/>
                <w:color w:val="auto"/>
                <w:sz w:val="21"/>
                <w:highlight w:val="none"/>
              </w:rPr>
            </w:pPr>
          </w:p>
        </w:tc>
        <w:tc>
          <w:tcPr>
            <w:tcW w:w="1022" w:type="dxa"/>
            <w:vAlign w:val="top"/>
          </w:tcPr>
          <w:p w14:paraId="5F90EB09">
            <w:pPr>
              <w:rPr>
                <w:rFonts w:ascii="Arial"/>
                <w:color w:val="auto"/>
                <w:sz w:val="21"/>
                <w:highlight w:val="none"/>
              </w:rPr>
            </w:pPr>
          </w:p>
        </w:tc>
        <w:tc>
          <w:tcPr>
            <w:tcW w:w="1022" w:type="dxa"/>
            <w:vAlign w:val="top"/>
          </w:tcPr>
          <w:p w14:paraId="352FA7C2">
            <w:pPr>
              <w:rPr>
                <w:rFonts w:ascii="Arial"/>
                <w:color w:val="auto"/>
                <w:sz w:val="21"/>
                <w:highlight w:val="none"/>
              </w:rPr>
            </w:pPr>
          </w:p>
        </w:tc>
        <w:tc>
          <w:tcPr>
            <w:tcW w:w="1022" w:type="dxa"/>
            <w:vAlign w:val="top"/>
          </w:tcPr>
          <w:p w14:paraId="36663789">
            <w:pPr>
              <w:rPr>
                <w:rFonts w:ascii="Arial"/>
                <w:color w:val="auto"/>
                <w:sz w:val="21"/>
                <w:highlight w:val="none"/>
              </w:rPr>
            </w:pPr>
          </w:p>
        </w:tc>
        <w:tc>
          <w:tcPr>
            <w:tcW w:w="1022" w:type="dxa"/>
            <w:vAlign w:val="top"/>
          </w:tcPr>
          <w:p w14:paraId="22EEC69A">
            <w:pPr>
              <w:rPr>
                <w:rFonts w:ascii="Arial"/>
                <w:color w:val="auto"/>
                <w:sz w:val="21"/>
                <w:highlight w:val="none"/>
              </w:rPr>
            </w:pPr>
          </w:p>
        </w:tc>
        <w:tc>
          <w:tcPr>
            <w:tcW w:w="1027" w:type="dxa"/>
            <w:vAlign w:val="top"/>
          </w:tcPr>
          <w:p w14:paraId="09410AEF">
            <w:pPr>
              <w:rPr>
                <w:rFonts w:ascii="Arial"/>
                <w:color w:val="auto"/>
                <w:sz w:val="21"/>
                <w:highlight w:val="none"/>
              </w:rPr>
            </w:pPr>
          </w:p>
        </w:tc>
        <w:tc>
          <w:tcPr>
            <w:tcW w:w="1027" w:type="dxa"/>
            <w:vAlign w:val="top"/>
          </w:tcPr>
          <w:p w14:paraId="1FD5613B">
            <w:pPr>
              <w:rPr>
                <w:rFonts w:ascii="Arial"/>
                <w:color w:val="auto"/>
                <w:sz w:val="21"/>
                <w:highlight w:val="none"/>
              </w:rPr>
            </w:pPr>
          </w:p>
        </w:tc>
      </w:tr>
      <w:tr w14:paraId="7AC46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8A4B85">
            <w:pPr>
              <w:rPr>
                <w:rFonts w:ascii="Arial"/>
                <w:color w:val="auto"/>
                <w:sz w:val="21"/>
                <w:highlight w:val="none"/>
              </w:rPr>
            </w:pPr>
          </w:p>
        </w:tc>
        <w:tc>
          <w:tcPr>
            <w:tcW w:w="1363" w:type="dxa"/>
            <w:vAlign w:val="top"/>
          </w:tcPr>
          <w:p w14:paraId="7ACFC648">
            <w:pPr>
              <w:rPr>
                <w:rFonts w:ascii="Arial"/>
                <w:color w:val="auto"/>
                <w:sz w:val="21"/>
                <w:highlight w:val="none"/>
              </w:rPr>
            </w:pPr>
          </w:p>
        </w:tc>
        <w:tc>
          <w:tcPr>
            <w:tcW w:w="1022" w:type="dxa"/>
            <w:vAlign w:val="top"/>
          </w:tcPr>
          <w:p w14:paraId="2040D084">
            <w:pPr>
              <w:rPr>
                <w:rFonts w:ascii="Arial"/>
                <w:color w:val="auto"/>
                <w:sz w:val="21"/>
                <w:highlight w:val="none"/>
              </w:rPr>
            </w:pPr>
          </w:p>
        </w:tc>
        <w:tc>
          <w:tcPr>
            <w:tcW w:w="1022" w:type="dxa"/>
            <w:vAlign w:val="top"/>
          </w:tcPr>
          <w:p w14:paraId="775B36C6">
            <w:pPr>
              <w:rPr>
                <w:rFonts w:ascii="Arial"/>
                <w:color w:val="auto"/>
                <w:sz w:val="21"/>
                <w:highlight w:val="none"/>
              </w:rPr>
            </w:pPr>
          </w:p>
        </w:tc>
        <w:tc>
          <w:tcPr>
            <w:tcW w:w="1022" w:type="dxa"/>
            <w:vAlign w:val="top"/>
          </w:tcPr>
          <w:p w14:paraId="322D3715">
            <w:pPr>
              <w:rPr>
                <w:rFonts w:ascii="Arial"/>
                <w:color w:val="auto"/>
                <w:sz w:val="21"/>
                <w:highlight w:val="none"/>
              </w:rPr>
            </w:pPr>
          </w:p>
        </w:tc>
        <w:tc>
          <w:tcPr>
            <w:tcW w:w="1022" w:type="dxa"/>
            <w:vAlign w:val="top"/>
          </w:tcPr>
          <w:p w14:paraId="62C536DB">
            <w:pPr>
              <w:rPr>
                <w:rFonts w:ascii="Arial"/>
                <w:color w:val="auto"/>
                <w:sz w:val="21"/>
                <w:highlight w:val="none"/>
              </w:rPr>
            </w:pPr>
          </w:p>
        </w:tc>
        <w:tc>
          <w:tcPr>
            <w:tcW w:w="1027" w:type="dxa"/>
            <w:vAlign w:val="top"/>
          </w:tcPr>
          <w:p w14:paraId="1C5F51F3">
            <w:pPr>
              <w:rPr>
                <w:rFonts w:ascii="Arial"/>
                <w:color w:val="auto"/>
                <w:sz w:val="21"/>
                <w:highlight w:val="none"/>
              </w:rPr>
            </w:pPr>
          </w:p>
        </w:tc>
        <w:tc>
          <w:tcPr>
            <w:tcW w:w="1027" w:type="dxa"/>
            <w:vAlign w:val="top"/>
          </w:tcPr>
          <w:p w14:paraId="2D4F6D23">
            <w:pPr>
              <w:rPr>
                <w:rFonts w:ascii="Arial"/>
                <w:color w:val="auto"/>
                <w:sz w:val="21"/>
                <w:highlight w:val="none"/>
              </w:rPr>
            </w:pPr>
          </w:p>
        </w:tc>
      </w:tr>
      <w:tr w14:paraId="308E4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5C8070">
            <w:pPr>
              <w:rPr>
                <w:rFonts w:ascii="Arial"/>
                <w:color w:val="auto"/>
                <w:sz w:val="21"/>
                <w:highlight w:val="none"/>
              </w:rPr>
            </w:pPr>
          </w:p>
        </w:tc>
        <w:tc>
          <w:tcPr>
            <w:tcW w:w="1363" w:type="dxa"/>
            <w:vAlign w:val="top"/>
          </w:tcPr>
          <w:p w14:paraId="324F41BC">
            <w:pPr>
              <w:rPr>
                <w:rFonts w:ascii="Arial"/>
                <w:color w:val="auto"/>
                <w:sz w:val="21"/>
                <w:highlight w:val="none"/>
              </w:rPr>
            </w:pPr>
          </w:p>
        </w:tc>
        <w:tc>
          <w:tcPr>
            <w:tcW w:w="1022" w:type="dxa"/>
            <w:vAlign w:val="top"/>
          </w:tcPr>
          <w:p w14:paraId="037BBE25">
            <w:pPr>
              <w:rPr>
                <w:rFonts w:ascii="Arial"/>
                <w:color w:val="auto"/>
                <w:sz w:val="21"/>
                <w:highlight w:val="none"/>
              </w:rPr>
            </w:pPr>
          </w:p>
        </w:tc>
        <w:tc>
          <w:tcPr>
            <w:tcW w:w="1022" w:type="dxa"/>
            <w:vAlign w:val="top"/>
          </w:tcPr>
          <w:p w14:paraId="24ECABF2">
            <w:pPr>
              <w:rPr>
                <w:rFonts w:ascii="Arial"/>
                <w:color w:val="auto"/>
                <w:sz w:val="21"/>
                <w:highlight w:val="none"/>
              </w:rPr>
            </w:pPr>
          </w:p>
        </w:tc>
        <w:tc>
          <w:tcPr>
            <w:tcW w:w="1022" w:type="dxa"/>
            <w:vAlign w:val="top"/>
          </w:tcPr>
          <w:p w14:paraId="6808D587">
            <w:pPr>
              <w:rPr>
                <w:rFonts w:ascii="Arial"/>
                <w:color w:val="auto"/>
                <w:sz w:val="21"/>
                <w:highlight w:val="none"/>
              </w:rPr>
            </w:pPr>
          </w:p>
        </w:tc>
        <w:tc>
          <w:tcPr>
            <w:tcW w:w="1022" w:type="dxa"/>
            <w:vAlign w:val="top"/>
          </w:tcPr>
          <w:p w14:paraId="707463AE">
            <w:pPr>
              <w:rPr>
                <w:rFonts w:ascii="Arial"/>
                <w:color w:val="auto"/>
                <w:sz w:val="21"/>
                <w:highlight w:val="none"/>
              </w:rPr>
            </w:pPr>
          </w:p>
        </w:tc>
        <w:tc>
          <w:tcPr>
            <w:tcW w:w="1027" w:type="dxa"/>
            <w:vAlign w:val="top"/>
          </w:tcPr>
          <w:p w14:paraId="59529EB0">
            <w:pPr>
              <w:rPr>
                <w:rFonts w:ascii="Arial"/>
                <w:color w:val="auto"/>
                <w:sz w:val="21"/>
                <w:highlight w:val="none"/>
              </w:rPr>
            </w:pPr>
          </w:p>
        </w:tc>
        <w:tc>
          <w:tcPr>
            <w:tcW w:w="1027" w:type="dxa"/>
            <w:vAlign w:val="top"/>
          </w:tcPr>
          <w:p w14:paraId="64DFC968">
            <w:pPr>
              <w:rPr>
                <w:rFonts w:ascii="Arial"/>
                <w:color w:val="auto"/>
                <w:sz w:val="21"/>
                <w:highlight w:val="none"/>
              </w:rPr>
            </w:pPr>
          </w:p>
        </w:tc>
      </w:tr>
    </w:tbl>
    <w:p w14:paraId="787F8D89">
      <w:pPr>
        <w:pStyle w:val="5"/>
        <w:rPr>
          <w:color w:val="auto"/>
          <w:highlight w:val="none"/>
        </w:rPr>
      </w:pPr>
    </w:p>
    <w:p w14:paraId="730F6C8B">
      <w:pPr>
        <w:rPr>
          <w:color w:val="auto"/>
          <w:highlight w:val="none"/>
        </w:rPr>
        <w:sectPr>
          <w:footerReference r:id="rId191" w:type="default"/>
          <w:pgSz w:w="11905" w:h="16839"/>
          <w:pgMar w:top="400" w:right="1785" w:bottom="1004" w:left="1785" w:header="0" w:footer="828" w:gutter="0"/>
          <w:pgNumType w:fmt="decimal"/>
          <w:cols w:space="720" w:num="1"/>
        </w:sectPr>
      </w:pPr>
    </w:p>
    <w:p w14:paraId="2FE564D1">
      <w:pPr>
        <w:pStyle w:val="5"/>
        <w:spacing w:line="267" w:lineRule="auto"/>
        <w:rPr>
          <w:color w:val="auto"/>
          <w:highlight w:val="none"/>
        </w:rPr>
      </w:pPr>
    </w:p>
    <w:p w14:paraId="146B35FE">
      <w:pPr>
        <w:pStyle w:val="5"/>
        <w:spacing w:line="268" w:lineRule="auto"/>
        <w:rPr>
          <w:color w:val="auto"/>
          <w:highlight w:val="none"/>
        </w:rPr>
      </w:pPr>
    </w:p>
    <w:p w14:paraId="434FA094">
      <w:pPr>
        <w:pStyle w:val="5"/>
        <w:spacing w:line="268" w:lineRule="auto"/>
        <w:rPr>
          <w:color w:val="auto"/>
          <w:highlight w:val="none"/>
        </w:rPr>
      </w:pPr>
    </w:p>
    <w:p w14:paraId="6524BF9C">
      <w:pPr>
        <w:pStyle w:val="5"/>
        <w:spacing w:line="268" w:lineRule="auto"/>
        <w:rPr>
          <w:color w:val="auto"/>
          <w:highlight w:val="none"/>
        </w:rPr>
      </w:pPr>
    </w:p>
    <w:p w14:paraId="45A60497">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附表四：计划开、竣工日期和施工进度网络图</w:t>
      </w:r>
    </w:p>
    <w:p w14:paraId="32C97FF3">
      <w:pPr>
        <w:spacing w:before="158" w:line="418" w:lineRule="exact"/>
        <w:ind w:right="6"/>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1.投标人应递交施工进度网络图或施工进度表， 说明按招标文件要求</w:t>
      </w:r>
      <w:r>
        <w:rPr>
          <w:rFonts w:ascii="宋体" w:hAnsi="宋体" w:eastAsia="宋体" w:cs="宋体"/>
          <w:color w:val="auto"/>
          <w:spacing w:val="-1"/>
          <w:position w:val="15"/>
          <w:sz w:val="21"/>
          <w:szCs w:val="21"/>
          <w:highlight w:val="none"/>
        </w:rPr>
        <w:t>的计划工期进行</w:t>
      </w:r>
    </w:p>
    <w:p w14:paraId="41B5F1FF">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施工的各个关键日期。</w:t>
      </w:r>
    </w:p>
    <w:p w14:paraId="2F5C5FAE">
      <w:pPr>
        <w:spacing w:before="171"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2.施工进度表可采用网络图和（或）横道图表示。</w:t>
      </w:r>
    </w:p>
    <w:p w14:paraId="5EBA2299">
      <w:pPr>
        <w:spacing w:line="220" w:lineRule="auto"/>
        <w:rPr>
          <w:rFonts w:ascii="宋体" w:hAnsi="宋体" w:eastAsia="宋体" w:cs="宋体"/>
          <w:color w:val="auto"/>
          <w:sz w:val="21"/>
          <w:szCs w:val="21"/>
          <w:highlight w:val="none"/>
        </w:rPr>
        <w:sectPr>
          <w:footerReference r:id="rId192" w:type="default"/>
          <w:pgSz w:w="11905" w:h="16839"/>
          <w:pgMar w:top="400" w:right="1785" w:bottom="1004" w:left="1785" w:header="0" w:footer="828" w:gutter="0"/>
          <w:pgNumType w:fmt="decimal"/>
          <w:cols w:space="720" w:num="1"/>
        </w:sectPr>
      </w:pPr>
    </w:p>
    <w:p w14:paraId="5F0AAB2E">
      <w:pPr>
        <w:pStyle w:val="5"/>
        <w:spacing w:line="267" w:lineRule="auto"/>
        <w:rPr>
          <w:color w:val="auto"/>
          <w:highlight w:val="none"/>
        </w:rPr>
      </w:pPr>
    </w:p>
    <w:p w14:paraId="00E0BB02">
      <w:pPr>
        <w:pStyle w:val="5"/>
        <w:spacing w:line="267" w:lineRule="auto"/>
        <w:rPr>
          <w:color w:val="auto"/>
          <w:highlight w:val="none"/>
        </w:rPr>
      </w:pPr>
    </w:p>
    <w:p w14:paraId="7F57A064">
      <w:pPr>
        <w:pStyle w:val="5"/>
        <w:spacing w:line="268" w:lineRule="auto"/>
        <w:rPr>
          <w:color w:val="auto"/>
          <w:highlight w:val="none"/>
        </w:rPr>
      </w:pPr>
    </w:p>
    <w:p w14:paraId="1E98FC59">
      <w:pPr>
        <w:pStyle w:val="5"/>
        <w:spacing w:line="268" w:lineRule="auto"/>
        <w:rPr>
          <w:color w:val="auto"/>
          <w:highlight w:val="none"/>
        </w:rPr>
      </w:pPr>
    </w:p>
    <w:p w14:paraId="0DB9C303">
      <w:pPr>
        <w:spacing w:before="78" w:line="220"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附表五：施工总平面图</w:t>
      </w:r>
    </w:p>
    <w:p w14:paraId="1DB11DC0">
      <w:pPr>
        <w:spacing w:before="158" w:line="369" w:lineRule="auto"/>
        <w:ind w:left="28" w:right="6" w:firstLine="41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投标人应递交一份施工总平面图，绘出现场临时设施布置图表并附文字说明，说明临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时设施、加工车间、现场办公、设备及仓储、供电、</w:t>
      </w:r>
      <w:r>
        <w:rPr>
          <w:rFonts w:ascii="宋体" w:hAnsi="宋体" w:eastAsia="宋体" w:cs="宋体"/>
          <w:color w:val="auto"/>
          <w:spacing w:val="2"/>
          <w:sz w:val="21"/>
          <w:szCs w:val="21"/>
          <w:highlight w:val="none"/>
        </w:rPr>
        <w:t>供水、卫生、生活、道路、消防等设</w:t>
      </w:r>
    </w:p>
    <w:p w14:paraId="3916B641">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施的情况和布置。</w:t>
      </w:r>
    </w:p>
    <w:p w14:paraId="6E18DCE1">
      <w:pPr>
        <w:spacing w:line="219" w:lineRule="auto"/>
        <w:rPr>
          <w:rFonts w:ascii="宋体" w:hAnsi="宋体" w:eastAsia="宋体" w:cs="宋体"/>
          <w:color w:val="auto"/>
          <w:sz w:val="21"/>
          <w:szCs w:val="21"/>
          <w:highlight w:val="none"/>
        </w:rPr>
        <w:sectPr>
          <w:footerReference r:id="rId193" w:type="default"/>
          <w:pgSz w:w="11905" w:h="16839"/>
          <w:pgMar w:top="400" w:right="1785" w:bottom="1004" w:left="1785" w:header="0" w:footer="828" w:gutter="0"/>
          <w:pgNumType w:fmt="decimal"/>
          <w:cols w:space="720" w:num="1"/>
        </w:sectPr>
      </w:pPr>
    </w:p>
    <w:p w14:paraId="668388F2">
      <w:pPr>
        <w:pStyle w:val="5"/>
        <w:spacing w:line="267" w:lineRule="auto"/>
        <w:rPr>
          <w:color w:val="auto"/>
          <w:highlight w:val="none"/>
        </w:rPr>
      </w:pPr>
    </w:p>
    <w:p w14:paraId="085EAAB4">
      <w:pPr>
        <w:pStyle w:val="5"/>
        <w:spacing w:line="267" w:lineRule="auto"/>
        <w:rPr>
          <w:color w:val="auto"/>
          <w:highlight w:val="none"/>
        </w:rPr>
      </w:pPr>
    </w:p>
    <w:p w14:paraId="49270BC5">
      <w:pPr>
        <w:pStyle w:val="5"/>
        <w:spacing w:line="268" w:lineRule="auto"/>
        <w:rPr>
          <w:color w:val="auto"/>
          <w:highlight w:val="none"/>
        </w:rPr>
      </w:pPr>
    </w:p>
    <w:p w14:paraId="4FB07804">
      <w:pPr>
        <w:pStyle w:val="5"/>
        <w:spacing w:line="268" w:lineRule="auto"/>
        <w:rPr>
          <w:color w:val="auto"/>
          <w:highlight w:val="none"/>
        </w:rPr>
      </w:pPr>
    </w:p>
    <w:p w14:paraId="2B6812E5">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附表六：临时用地表</w:t>
      </w:r>
    </w:p>
    <w:tbl>
      <w:tblPr>
        <w:tblStyle w:val="17"/>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23C8E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3DC0F474">
            <w:pPr>
              <w:pStyle w:val="18"/>
              <w:spacing w:before="96" w:line="222" w:lineRule="auto"/>
              <w:ind w:left="782"/>
              <w:rPr>
                <w:color w:val="auto"/>
                <w:highlight w:val="none"/>
              </w:rPr>
            </w:pPr>
            <w:r>
              <w:rPr>
                <w:color w:val="auto"/>
                <w:spacing w:val="-5"/>
                <w:highlight w:val="none"/>
              </w:rPr>
              <w:t>用</w:t>
            </w:r>
            <w:r>
              <w:rPr>
                <w:color w:val="auto"/>
                <w:spacing w:val="5"/>
                <w:highlight w:val="none"/>
              </w:rPr>
              <w:t xml:space="preserve">  </w:t>
            </w:r>
            <w:r>
              <w:rPr>
                <w:color w:val="auto"/>
                <w:spacing w:val="-5"/>
                <w:highlight w:val="none"/>
              </w:rPr>
              <w:t>途</w:t>
            </w:r>
          </w:p>
        </w:tc>
        <w:tc>
          <w:tcPr>
            <w:tcW w:w="2011" w:type="dxa"/>
            <w:vAlign w:val="top"/>
          </w:tcPr>
          <w:p w14:paraId="0947EAC4">
            <w:pPr>
              <w:pStyle w:val="18"/>
              <w:spacing w:before="96" w:line="221" w:lineRule="auto"/>
              <w:ind w:left="226"/>
              <w:rPr>
                <w:color w:val="auto"/>
                <w:highlight w:val="none"/>
              </w:rPr>
            </w:pPr>
            <w:r>
              <w:rPr>
                <w:color w:val="auto"/>
                <w:spacing w:val="-2"/>
                <w:highlight w:val="none"/>
              </w:rPr>
              <w:t>面 积（平方米）</w:t>
            </w:r>
          </w:p>
        </w:tc>
        <w:tc>
          <w:tcPr>
            <w:tcW w:w="2001" w:type="dxa"/>
            <w:vAlign w:val="top"/>
          </w:tcPr>
          <w:p w14:paraId="13B5255C">
            <w:pPr>
              <w:pStyle w:val="18"/>
              <w:spacing w:before="96" w:line="222" w:lineRule="auto"/>
              <w:ind w:left="692"/>
              <w:rPr>
                <w:color w:val="auto"/>
                <w:highlight w:val="none"/>
              </w:rPr>
            </w:pPr>
            <w:r>
              <w:rPr>
                <w:color w:val="auto"/>
                <w:spacing w:val="-4"/>
                <w:highlight w:val="none"/>
              </w:rPr>
              <w:t>位</w:t>
            </w:r>
            <w:r>
              <w:rPr>
                <w:color w:val="auto"/>
                <w:spacing w:val="3"/>
                <w:highlight w:val="none"/>
              </w:rPr>
              <w:t xml:space="preserve">  </w:t>
            </w:r>
            <w:r>
              <w:rPr>
                <w:color w:val="auto"/>
                <w:spacing w:val="-4"/>
                <w:highlight w:val="none"/>
              </w:rPr>
              <w:t>置</w:t>
            </w:r>
          </w:p>
        </w:tc>
        <w:tc>
          <w:tcPr>
            <w:tcW w:w="2006" w:type="dxa"/>
            <w:vAlign w:val="top"/>
          </w:tcPr>
          <w:p w14:paraId="2AE7B9A9">
            <w:pPr>
              <w:pStyle w:val="18"/>
              <w:spacing w:before="97" w:line="221" w:lineRule="auto"/>
              <w:ind w:left="599"/>
              <w:rPr>
                <w:color w:val="auto"/>
                <w:highlight w:val="none"/>
              </w:rPr>
            </w:pPr>
            <w:r>
              <w:rPr>
                <w:color w:val="auto"/>
                <w:spacing w:val="-3"/>
                <w:highlight w:val="none"/>
              </w:rPr>
              <w:t>需用时间</w:t>
            </w:r>
          </w:p>
        </w:tc>
      </w:tr>
      <w:tr w14:paraId="43E0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3936F9A">
            <w:pPr>
              <w:rPr>
                <w:rFonts w:ascii="Arial"/>
                <w:color w:val="auto"/>
                <w:sz w:val="21"/>
                <w:highlight w:val="none"/>
              </w:rPr>
            </w:pPr>
          </w:p>
        </w:tc>
        <w:tc>
          <w:tcPr>
            <w:tcW w:w="2011" w:type="dxa"/>
            <w:vAlign w:val="top"/>
          </w:tcPr>
          <w:p w14:paraId="0A5A2542">
            <w:pPr>
              <w:rPr>
                <w:rFonts w:ascii="Arial"/>
                <w:color w:val="auto"/>
                <w:sz w:val="21"/>
                <w:highlight w:val="none"/>
              </w:rPr>
            </w:pPr>
          </w:p>
        </w:tc>
        <w:tc>
          <w:tcPr>
            <w:tcW w:w="2001" w:type="dxa"/>
            <w:vAlign w:val="top"/>
          </w:tcPr>
          <w:p w14:paraId="27043C58">
            <w:pPr>
              <w:rPr>
                <w:rFonts w:ascii="Arial"/>
                <w:color w:val="auto"/>
                <w:sz w:val="21"/>
                <w:highlight w:val="none"/>
              </w:rPr>
            </w:pPr>
          </w:p>
        </w:tc>
        <w:tc>
          <w:tcPr>
            <w:tcW w:w="2006" w:type="dxa"/>
            <w:vAlign w:val="top"/>
          </w:tcPr>
          <w:p w14:paraId="4AE14291">
            <w:pPr>
              <w:rPr>
                <w:rFonts w:ascii="Arial"/>
                <w:color w:val="auto"/>
                <w:sz w:val="21"/>
                <w:highlight w:val="none"/>
              </w:rPr>
            </w:pPr>
          </w:p>
        </w:tc>
      </w:tr>
      <w:tr w14:paraId="3DC8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610BCC8">
            <w:pPr>
              <w:rPr>
                <w:rFonts w:ascii="Arial"/>
                <w:color w:val="auto"/>
                <w:sz w:val="21"/>
                <w:highlight w:val="none"/>
              </w:rPr>
            </w:pPr>
          </w:p>
        </w:tc>
        <w:tc>
          <w:tcPr>
            <w:tcW w:w="2011" w:type="dxa"/>
            <w:vAlign w:val="top"/>
          </w:tcPr>
          <w:p w14:paraId="7886298D">
            <w:pPr>
              <w:rPr>
                <w:rFonts w:ascii="Arial"/>
                <w:color w:val="auto"/>
                <w:sz w:val="21"/>
                <w:highlight w:val="none"/>
              </w:rPr>
            </w:pPr>
          </w:p>
        </w:tc>
        <w:tc>
          <w:tcPr>
            <w:tcW w:w="2001" w:type="dxa"/>
            <w:vAlign w:val="top"/>
          </w:tcPr>
          <w:p w14:paraId="2F7CD122">
            <w:pPr>
              <w:rPr>
                <w:rFonts w:ascii="Arial"/>
                <w:color w:val="auto"/>
                <w:sz w:val="21"/>
                <w:highlight w:val="none"/>
              </w:rPr>
            </w:pPr>
          </w:p>
        </w:tc>
        <w:tc>
          <w:tcPr>
            <w:tcW w:w="2006" w:type="dxa"/>
            <w:vAlign w:val="top"/>
          </w:tcPr>
          <w:p w14:paraId="78E37E9D">
            <w:pPr>
              <w:rPr>
                <w:rFonts w:ascii="Arial"/>
                <w:color w:val="auto"/>
                <w:sz w:val="21"/>
                <w:highlight w:val="none"/>
              </w:rPr>
            </w:pPr>
          </w:p>
        </w:tc>
      </w:tr>
      <w:tr w14:paraId="140EA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4DC4EE">
            <w:pPr>
              <w:rPr>
                <w:rFonts w:ascii="Arial"/>
                <w:color w:val="auto"/>
                <w:sz w:val="21"/>
                <w:highlight w:val="none"/>
              </w:rPr>
            </w:pPr>
          </w:p>
        </w:tc>
        <w:tc>
          <w:tcPr>
            <w:tcW w:w="2011" w:type="dxa"/>
            <w:vAlign w:val="top"/>
          </w:tcPr>
          <w:p w14:paraId="5B9DE087">
            <w:pPr>
              <w:rPr>
                <w:rFonts w:ascii="Arial"/>
                <w:color w:val="auto"/>
                <w:sz w:val="21"/>
                <w:highlight w:val="none"/>
              </w:rPr>
            </w:pPr>
          </w:p>
        </w:tc>
        <w:tc>
          <w:tcPr>
            <w:tcW w:w="2001" w:type="dxa"/>
            <w:vAlign w:val="top"/>
          </w:tcPr>
          <w:p w14:paraId="7F898ECD">
            <w:pPr>
              <w:rPr>
                <w:rFonts w:ascii="Arial"/>
                <w:color w:val="auto"/>
                <w:sz w:val="21"/>
                <w:highlight w:val="none"/>
              </w:rPr>
            </w:pPr>
          </w:p>
        </w:tc>
        <w:tc>
          <w:tcPr>
            <w:tcW w:w="2006" w:type="dxa"/>
            <w:vAlign w:val="top"/>
          </w:tcPr>
          <w:p w14:paraId="6B17BAD7">
            <w:pPr>
              <w:rPr>
                <w:rFonts w:ascii="Arial"/>
                <w:color w:val="auto"/>
                <w:sz w:val="21"/>
                <w:highlight w:val="none"/>
              </w:rPr>
            </w:pPr>
          </w:p>
        </w:tc>
      </w:tr>
      <w:tr w14:paraId="364A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5926340B">
            <w:pPr>
              <w:rPr>
                <w:rFonts w:ascii="Arial"/>
                <w:color w:val="auto"/>
                <w:sz w:val="21"/>
                <w:highlight w:val="none"/>
              </w:rPr>
            </w:pPr>
          </w:p>
        </w:tc>
        <w:tc>
          <w:tcPr>
            <w:tcW w:w="2011" w:type="dxa"/>
            <w:vAlign w:val="top"/>
          </w:tcPr>
          <w:p w14:paraId="62AA92AF">
            <w:pPr>
              <w:rPr>
                <w:rFonts w:ascii="Arial"/>
                <w:color w:val="auto"/>
                <w:sz w:val="21"/>
                <w:highlight w:val="none"/>
              </w:rPr>
            </w:pPr>
          </w:p>
        </w:tc>
        <w:tc>
          <w:tcPr>
            <w:tcW w:w="2001" w:type="dxa"/>
            <w:vAlign w:val="top"/>
          </w:tcPr>
          <w:p w14:paraId="566A460B">
            <w:pPr>
              <w:rPr>
                <w:rFonts w:ascii="Arial"/>
                <w:color w:val="auto"/>
                <w:sz w:val="21"/>
                <w:highlight w:val="none"/>
              </w:rPr>
            </w:pPr>
          </w:p>
        </w:tc>
        <w:tc>
          <w:tcPr>
            <w:tcW w:w="2006" w:type="dxa"/>
            <w:vAlign w:val="top"/>
          </w:tcPr>
          <w:p w14:paraId="588A0472">
            <w:pPr>
              <w:rPr>
                <w:rFonts w:ascii="Arial"/>
                <w:color w:val="auto"/>
                <w:sz w:val="21"/>
                <w:highlight w:val="none"/>
              </w:rPr>
            </w:pPr>
          </w:p>
        </w:tc>
      </w:tr>
      <w:tr w14:paraId="45034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6C5AFA2">
            <w:pPr>
              <w:rPr>
                <w:rFonts w:ascii="Arial"/>
                <w:color w:val="auto"/>
                <w:sz w:val="21"/>
                <w:highlight w:val="none"/>
              </w:rPr>
            </w:pPr>
          </w:p>
        </w:tc>
        <w:tc>
          <w:tcPr>
            <w:tcW w:w="2011" w:type="dxa"/>
            <w:vAlign w:val="top"/>
          </w:tcPr>
          <w:p w14:paraId="7DBEBEA2">
            <w:pPr>
              <w:rPr>
                <w:rFonts w:ascii="Arial"/>
                <w:color w:val="auto"/>
                <w:sz w:val="21"/>
                <w:highlight w:val="none"/>
              </w:rPr>
            </w:pPr>
          </w:p>
        </w:tc>
        <w:tc>
          <w:tcPr>
            <w:tcW w:w="2001" w:type="dxa"/>
            <w:vAlign w:val="top"/>
          </w:tcPr>
          <w:p w14:paraId="0E82BECF">
            <w:pPr>
              <w:rPr>
                <w:rFonts w:ascii="Arial"/>
                <w:color w:val="auto"/>
                <w:sz w:val="21"/>
                <w:highlight w:val="none"/>
              </w:rPr>
            </w:pPr>
          </w:p>
        </w:tc>
        <w:tc>
          <w:tcPr>
            <w:tcW w:w="2006" w:type="dxa"/>
            <w:vAlign w:val="top"/>
          </w:tcPr>
          <w:p w14:paraId="16E67472">
            <w:pPr>
              <w:rPr>
                <w:rFonts w:ascii="Arial"/>
                <w:color w:val="auto"/>
                <w:sz w:val="21"/>
                <w:highlight w:val="none"/>
              </w:rPr>
            </w:pPr>
          </w:p>
        </w:tc>
      </w:tr>
      <w:tr w14:paraId="6AA33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BC4199F">
            <w:pPr>
              <w:rPr>
                <w:rFonts w:ascii="Arial"/>
                <w:color w:val="auto"/>
                <w:sz w:val="21"/>
                <w:highlight w:val="none"/>
              </w:rPr>
            </w:pPr>
          </w:p>
        </w:tc>
        <w:tc>
          <w:tcPr>
            <w:tcW w:w="2011" w:type="dxa"/>
            <w:vAlign w:val="top"/>
          </w:tcPr>
          <w:p w14:paraId="74897885">
            <w:pPr>
              <w:rPr>
                <w:rFonts w:ascii="Arial"/>
                <w:color w:val="auto"/>
                <w:sz w:val="21"/>
                <w:highlight w:val="none"/>
              </w:rPr>
            </w:pPr>
          </w:p>
        </w:tc>
        <w:tc>
          <w:tcPr>
            <w:tcW w:w="2001" w:type="dxa"/>
            <w:vAlign w:val="top"/>
          </w:tcPr>
          <w:p w14:paraId="4AAFEB13">
            <w:pPr>
              <w:rPr>
                <w:rFonts w:ascii="Arial"/>
                <w:color w:val="auto"/>
                <w:sz w:val="21"/>
                <w:highlight w:val="none"/>
              </w:rPr>
            </w:pPr>
          </w:p>
        </w:tc>
        <w:tc>
          <w:tcPr>
            <w:tcW w:w="2006" w:type="dxa"/>
            <w:vAlign w:val="top"/>
          </w:tcPr>
          <w:p w14:paraId="01028C47">
            <w:pPr>
              <w:rPr>
                <w:rFonts w:ascii="Arial"/>
                <w:color w:val="auto"/>
                <w:sz w:val="21"/>
                <w:highlight w:val="none"/>
              </w:rPr>
            </w:pPr>
          </w:p>
        </w:tc>
      </w:tr>
      <w:tr w14:paraId="0749A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CF8E82E">
            <w:pPr>
              <w:rPr>
                <w:rFonts w:ascii="Arial"/>
                <w:color w:val="auto"/>
                <w:sz w:val="21"/>
                <w:highlight w:val="none"/>
              </w:rPr>
            </w:pPr>
          </w:p>
        </w:tc>
        <w:tc>
          <w:tcPr>
            <w:tcW w:w="2011" w:type="dxa"/>
            <w:vAlign w:val="top"/>
          </w:tcPr>
          <w:p w14:paraId="251D84C0">
            <w:pPr>
              <w:rPr>
                <w:rFonts w:ascii="Arial"/>
                <w:color w:val="auto"/>
                <w:sz w:val="21"/>
                <w:highlight w:val="none"/>
              </w:rPr>
            </w:pPr>
          </w:p>
        </w:tc>
        <w:tc>
          <w:tcPr>
            <w:tcW w:w="2001" w:type="dxa"/>
            <w:vAlign w:val="top"/>
          </w:tcPr>
          <w:p w14:paraId="2C683D85">
            <w:pPr>
              <w:rPr>
                <w:rFonts w:ascii="Arial"/>
                <w:color w:val="auto"/>
                <w:sz w:val="21"/>
                <w:highlight w:val="none"/>
              </w:rPr>
            </w:pPr>
          </w:p>
        </w:tc>
        <w:tc>
          <w:tcPr>
            <w:tcW w:w="2006" w:type="dxa"/>
            <w:vAlign w:val="top"/>
          </w:tcPr>
          <w:p w14:paraId="3E6B4358">
            <w:pPr>
              <w:rPr>
                <w:rFonts w:ascii="Arial"/>
                <w:color w:val="auto"/>
                <w:sz w:val="21"/>
                <w:highlight w:val="none"/>
              </w:rPr>
            </w:pPr>
          </w:p>
        </w:tc>
      </w:tr>
      <w:tr w14:paraId="56DB6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9FBAEF0">
            <w:pPr>
              <w:rPr>
                <w:rFonts w:ascii="Arial"/>
                <w:color w:val="auto"/>
                <w:sz w:val="21"/>
                <w:highlight w:val="none"/>
              </w:rPr>
            </w:pPr>
          </w:p>
        </w:tc>
        <w:tc>
          <w:tcPr>
            <w:tcW w:w="2011" w:type="dxa"/>
            <w:vAlign w:val="top"/>
          </w:tcPr>
          <w:p w14:paraId="20561D18">
            <w:pPr>
              <w:rPr>
                <w:rFonts w:ascii="Arial"/>
                <w:color w:val="auto"/>
                <w:sz w:val="21"/>
                <w:highlight w:val="none"/>
              </w:rPr>
            </w:pPr>
          </w:p>
        </w:tc>
        <w:tc>
          <w:tcPr>
            <w:tcW w:w="2001" w:type="dxa"/>
            <w:vAlign w:val="top"/>
          </w:tcPr>
          <w:p w14:paraId="19AD5F90">
            <w:pPr>
              <w:rPr>
                <w:rFonts w:ascii="Arial"/>
                <w:color w:val="auto"/>
                <w:sz w:val="21"/>
                <w:highlight w:val="none"/>
              </w:rPr>
            </w:pPr>
          </w:p>
        </w:tc>
        <w:tc>
          <w:tcPr>
            <w:tcW w:w="2006" w:type="dxa"/>
            <w:vAlign w:val="top"/>
          </w:tcPr>
          <w:p w14:paraId="3D8E8784">
            <w:pPr>
              <w:rPr>
                <w:rFonts w:ascii="Arial"/>
                <w:color w:val="auto"/>
                <w:sz w:val="21"/>
                <w:highlight w:val="none"/>
              </w:rPr>
            </w:pPr>
          </w:p>
        </w:tc>
      </w:tr>
      <w:tr w14:paraId="140A1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7883327">
            <w:pPr>
              <w:rPr>
                <w:rFonts w:ascii="Arial"/>
                <w:color w:val="auto"/>
                <w:sz w:val="21"/>
                <w:highlight w:val="none"/>
              </w:rPr>
            </w:pPr>
          </w:p>
        </w:tc>
        <w:tc>
          <w:tcPr>
            <w:tcW w:w="2011" w:type="dxa"/>
            <w:vAlign w:val="top"/>
          </w:tcPr>
          <w:p w14:paraId="728A1F5C">
            <w:pPr>
              <w:rPr>
                <w:rFonts w:ascii="Arial"/>
                <w:color w:val="auto"/>
                <w:sz w:val="21"/>
                <w:highlight w:val="none"/>
              </w:rPr>
            </w:pPr>
          </w:p>
        </w:tc>
        <w:tc>
          <w:tcPr>
            <w:tcW w:w="2001" w:type="dxa"/>
            <w:vAlign w:val="top"/>
          </w:tcPr>
          <w:p w14:paraId="22342E91">
            <w:pPr>
              <w:rPr>
                <w:rFonts w:ascii="Arial"/>
                <w:color w:val="auto"/>
                <w:sz w:val="21"/>
                <w:highlight w:val="none"/>
              </w:rPr>
            </w:pPr>
          </w:p>
        </w:tc>
        <w:tc>
          <w:tcPr>
            <w:tcW w:w="2006" w:type="dxa"/>
            <w:vAlign w:val="top"/>
          </w:tcPr>
          <w:p w14:paraId="740CE722">
            <w:pPr>
              <w:rPr>
                <w:rFonts w:ascii="Arial"/>
                <w:color w:val="auto"/>
                <w:sz w:val="21"/>
                <w:highlight w:val="none"/>
              </w:rPr>
            </w:pPr>
          </w:p>
        </w:tc>
      </w:tr>
      <w:tr w14:paraId="2CF0F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9568685">
            <w:pPr>
              <w:rPr>
                <w:rFonts w:ascii="Arial"/>
                <w:color w:val="auto"/>
                <w:sz w:val="21"/>
                <w:highlight w:val="none"/>
              </w:rPr>
            </w:pPr>
          </w:p>
        </w:tc>
        <w:tc>
          <w:tcPr>
            <w:tcW w:w="2011" w:type="dxa"/>
            <w:vAlign w:val="top"/>
          </w:tcPr>
          <w:p w14:paraId="466E7623">
            <w:pPr>
              <w:rPr>
                <w:rFonts w:ascii="Arial"/>
                <w:color w:val="auto"/>
                <w:sz w:val="21"/>
                <w:highlight w:val="none"/>
              </w:rPr>
            </w:pPr>
          </w:p>
        </w:tc>
        <w:tc>
          <w:tcPr>
            <w:tcW w:w="2001" w:type="dxa"/>
            <w:vAlign w:val="top"/>
          </w:tcPr>
          <w:p w14:paraId="2D16B25D">
            <w:pPr>
              <w:rPr>
                <w:rFonts w:ascii="Arial"/>
                <w:color w:val="auto"/>
                <w:sz w:val="21"/>
                <w:highlight w:val="none"/>
              </w:rPr>
            </w:pPr>
          </w:p>
        </w:tc>
        <w:tc>
          <w:tcPr>
            <w:tcW w:w="2006" w:type="dxa"/>
            <w:vAlign w:val="top"/>
          </w:tcPr>
          <w:p w14:paraId="1B16CA41">
            <w:pPr>
              <w:rPr>
                <w:rFonts w:ascii="Arial"/>
                <w:color w:val="auto"/>
                <w:sz w:val="21"/>
                <w:highlight w:val="none"/>
              </w:rPr>
            </w:pPr>
          </w:p>
        </w:tc>
      </w:tr>
      <w:tr w14:paraId="69E77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6AC29E5">
            <w:pPr>
              <w:rPr>
                <w:rFonts w:ascii="Arial"/>
                <w:color w:val="auto"/>
                <w:sz w:val="21"/>
                <w:highlight w:val="none"/>
              </w:rPr>
            </w:pPr>
          </w:p>
        </w:tc>
        <w:tc>
          <w:tcPr>
            <w:tcW w:w="2011" w:type="dxa"/>
            <w:vAlign w:val="top"/>
          </w:tcPr>
          <w:p w14:paraId="408F64BE">
            <w:pPr>
              <w:rPr>
                <w:rFonts w:ascii="Arial"/>
                <w:color w:val="auto"/>
                <w:sz w:val="21"/>
                <w:highlight w:val="none"/>
              </w:rPr>
            </w:pPr>
          </w:p>
        </w:tc>
        <w:tc>
          <w:tcPr>
            <w:tcW w:w="2001" w:type="dxa"/>
            <w:vAlign w:val="top"/>
          </w:tcPr>
          <w:p w14:paraId="1038B6EC">
            <w:pPr>
              <w:rPr>
                <w:rFonts w:ascii="Arial"/>
                <w:color w:val="auto"/>
                <w:sz w:val="21"/>
                <w:highlight w:val="none"/>
              </w:rPr>
            </w:pPr>
          </w:p>
        </w:tc>
        <w:tc>
          <w:tcPr>
            <w:tcW w:w="2006" w:type="dxa"/>
            <w:vAlign w:val="top"/>
          </w:tcPr>
          <w:p w14:paraId="7D012A8A">
            <w:pPr>
              <w:rPr>
                <w:rFonts w:ascii="Arial"/>
                <w:color w:val="auto"/>
                <w:sz w:val="21"/>
                <w:highlight w:val="none"/>
              </w:rPr>
            </w:pPr>
          </w:p>
        </w:tc>
      </w:tr>
      <w:tr w14:paraId="6AC7A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B701A84">
            <w:pPr>
              <w:rPr>
                <w:rFonts w:ascii="Arial"/>
                <w:color w:val="auto"/>
                <w:sz w:val="21"/>
                <w:highlight w:val="none"/>
              </w:rPr>
            </w:pPr>
          </w:p>
        </w:tc>
        <w:tc>
          <w:tcPr>
            <w:tcW w:w="2011" w:type="dxa"/>
            <w:vAlign w:val="top"/>
          </w:tcPr>
          <w:p w14:paraId="2E9ACFCA">
            <w:pPr>
              <w:rPr>
                <w:rFonts w:ascii="Arial"/>
                <w:color w:val="auto"/>
                <w:sz w:val="21"/>
                <w:highlight w:val="none"/>
              </w:rPr>
            </w:pPr>
          </w:p>
        </w:tc>
        <w:tc>
          <w:tcPr>
            <w:tcW w:w="2001" w:type="dxa"/>
            <w:vAlign w:val="top"/>
          </w:tcPr>
          <w:p w14:paraId="2FAED9C6">
            <w:pPr>
              <w:rPr>
                <w:rFonts w:ascii="Arial"/>
                <w:color w:val="auto"/>
                <w:sz w:val="21"/>
                <w:highlight w:val="none"/>
              </w:rPr>
            </w:pPr>
          </w:p>
        </w:tc>
        <w:tc>
          <w:tcPr>
            <w:tcW w:w="2006" w:type="dxa"/>
            <w:vAlign w:val="top"/>
          </w:tcPr>
          <w:p w14:paraId="7DC3CEB3">
            <w:pPr>
              <w:rPr>
                <w:rFonts w:ascii="Arial"/>
                <w:color w:val="auto"/>
                <w:sz w:val="21"/>
                <w:highlight w:val="none"/>
              </w:rPr>
            </w:pPr>
          </w:p>
        </w:tc>
      </w:tr>
      <w:tr w14:paraId="58041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5415C78">
            <w:pPr>
              <w:rPr>
                <w:rFonts w:ascii="Arial"/>
                <w:color w:val="auto"/>
                <w:sz w:val="21"/>
                <w:highlight w:val="none"/>
              </w:rPr>
            </w:pPr>
          </w:p>
        </w:tc>
        <w:tc>
          <w:tcPr>
            <w:tcW w:w="2011" w:type="dxa"/>
            <w:vAlign w:val="top"/>
          </w:tcPr>
          <w:p w14:paraId="798E62BC">
            <w:pPr>
              <w:rPr>
                <w:rFonts w:ascii="Arial"/>
                <w:color w:val="auto"/>
                <w:sz w:val="21"/>
                <w:highlight w:val="none"/>
              </w:rPr>
            </w:pPr>
          </w:p>
        </w:tc>
        <w:tc>
          <w:tcPr>
            <w:tcW w:w="2001" w:type="dxa"/>
            <w:vAlign w:val="top"/>
          </w:tcPr>
          <w:p w14:paraId="46E40644">
            <w:pPr>
              <w:rPr>
                <w:rFonts w:ascii="Arial"/>
                <w:color w:val="auto"/>
                <w:sz w:val="21"/>
                <w:highlight w:val="none"/>
              </w:rPr>
            </w:pPr>
          </w:p>
        </w:tc>
        <w:tc>
          <w:tcPr>
            <w:tcW w:w="2006" w:type="dxa"/>
            <w:vAlign w:val="top"/>
          </w:tcPr>
          <w:p w14:paraId="2442D6B8">
            <w:pPr>
              <w:rPr>
                <w:rFonts w:ascii="Arial"/>
                <w:color w:val="auto"/>
                <w:sz w:val="21"/>
                <w:highlight w:val="none"/>
              </w:rPr>
            </w:pPr>
          </w:p>
        </w:tc>
      </w:tr>
      <w:tr w14:paraId="53253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87560FB">
            <w:pPr>
              <w:rPr>
                <w:rFonts w:ascii="Arial"/>
                <w:color w:val="auto"/>
                <w:sz w:val="21"/>
                <w:highlight w:val="none"/>
              </w:rPr>
            </w:pPr>
          </w:p>
        </w:tc>
        <w:tc>
          <w:tcPr>
            <w:tcW w:w="2011" w:type="dxa"/>
            <w:vAlign w:val="top"/>
          </w:tcPr>
          <w:p w14:paraId="66277175">
            <w:pPr>
              <w:rPr>
                <w:rFonts w:ascii="Arial"/>
                <w:color w:val="auto"/>
                <w:sz w:val="21"/>
                <w:highlight w:val="none"/>
              </w:rPr>
            </w:pPr>
          </w:p>
        </w:tc>
        <w:tc>
          <w:tcPr>
            <w:tcW w:w="2001" w:type="dxa"/>
            <w:vAlign w:val="top"/>
          </w:tcPr>
          <w:p w14:paraId="5C5084B8">
            <w:pPr>
              <w:rPr>
                <w:rFonts w:ascii="Arial"/>
                <w:color w:val="auto"/>
                <w:sz w:val="21"/>
                <w:highlight w:val="none"/>
              </w:rPr>
            </w:pPr>
          </w:p>
        </w:tc>
        <w:tc>
          <w:tcPr>
            <w:tcW w:w="2006" w:type="dxa"/>
            <w:vAlign w:val="top"/>
          </w:tcPr>
          <w:p w14:paraId="36B69D86">
            <w:pPr>
              <w:rPr>
                <w:rFonts w:ascii="Arial"/>
                <w:color w:val="auto"/>
                <w:sz w:val="21"/>
                <w:highlight w:val="none"/>
              </w:rPr>
            </w:pPr>
          </w:p>
        </w:tc>
      </w:tr>
      <w:tr w14:paraId="7FE2F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FA430F1">
            <w:pPr>
              <w:rPr>
                <w:rFonts w:ascii="Arial"/>
                <w:color w:val="auto"/>
                <w:sz w:val="21"/>
                <w:highlight w:val="none"/>
              </w:rPr>
            </w:pPr>
          </w:p>
        </w:tc>
        <w:tc>
          <w:tcPr>
            <w:tcW w:w="2011" w:type="dxa"/>
            <w:vAlign w:val="top"/>
          </w:tcPr>
          <w:p w14:paraId="4038E017">
            <w:pPr>
              <w:rPr>
                <w:rFonts w:ascii="Arial"/>
                <w:color w:val="auto"/>
                <w:sz w:val="21"/>
                <w:highlight w:val="none"/>
              </w:rPr>
            </w:pPr>
          </w:p>
        </w:tc>
        <w:tc>
          <w:tcPr>
            <w:tcW w:w="2001" w:type="dxa"/>
            <w:vAlign w:val="top"/>
          </w:tcPr>
          <w:p w14:paraId="2A77DADE">
            <w:pPr>
              <w:rPr>
                <w:rFonts w:ascii="Arial"/>
                <w:color w:val="auto"/>
                <w:sz w:val="21"/>
                <w:highlight w:val="none"/>
              </w:rPr>
            </w:pPr>
          </w:p>
        </w:tc>
        <w:tc>
          <w:tcPr>
            <w:tcW w:w="2006" w:type="dxa"/>
            <w:vAlign w:val="top"/>
          </w:tcPr>
          <w:p w14:paraId="144342D6">
            <w:pPr>
              <w:rPr>
                <w:rFonts w:ascii="Arial"/>
                <w:color w:val="auto"/>
                <w:sz w:val="21"/>
                <w:highlight w:val="none"/>
              </w:rPr>
            </w:pPr>
          </w:p>
        </w:tc>
      </w:tr>
      <w:tr w14:paraId="705C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8DE647A">
            <w:pPr>
              <w:rPr>
                <w:rFonts w:ascii="Arial"/>
                <w:color w:val="auto"/>
                <w:sz w:val="21"/>
                <w:highlight w:val="none"/>
              </w:rPr>
            </w:pPr>
          </w:p>
        </w:tc>
        <w:tc>
          <w:tcPr>
            <w:tcW w:w="2011" w:type="dxa"/>
            <w:vAlign w:val="top"/>
          </w:tcPr>
          <w:p w14:paraId="41E4F10B">
            <w:pPr>
              <w:rPr>
                <w:rFonts w:ascii="Arial"/>
                <w:color w:val="auto"/>
                <w:sz w:val="21"/>
                <w:highlight w:val="none"/>
              </w:rPr>
            </w:pPr>
          </w:p>
        </w:tc>
        <w:tc>
          <w:tcPr>
            <w:tcW w:w="2001" w:type="dxa"/>
            <w:vAlign w:val="top"/>
          </w:tcPr>
          <w:p w14:paraId="26277B69">
            <w:pPr>
              <w:rPr>
                <w:rFonts w:ascii="Arial"/>
                <w:color w:val="auto"/>
                <w:sz w:val="21"/>
                <w:highlight w:val="none"/>
              </w:rPr>
            </w:pPr>
          </w:p>
        </w:tc>
        <w:tc>
          <w:tcPr>
            <w:tcW w:w="2006" w:type="dxa"/>
            <w:vAlign w:val="top"/>
          </w:tcPr>
          <w:p w14:paraId="14CBD2F8">
            <w:pPr>
              <w:rPr>
                <w:rFonts w:ascii="Arial"/>
                <w:color w:val="auto"/>
                <w:sz w:val="21"/>
                <w:highlight w:val="none"/>
              </w:rPr>
            </w:pPr>
          </w:p>
        </w:tc>
      </w:tr>
      <w:tr w14:paraId="713DF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5F730F3">
            <w:pPr>
              <w:rPr>
                <w:rFonts w:ascii="Arial"/>
                <w:color w:val="auto"/>
                <w:sz w:val="21"/>
                <w:highlight w:val="none"/>
              </w:rPr>
            </w:pPr>
          </w:p>
        </w:tc>
        <w:tc>
          <w:tcPr>
            <w:tcW w:w="2011" w:type="dxa"/>
            <w:vAlign w:val="top"/>
          </w:tcPr>
          <w:p w14:paraId="03BBFB00">
            <w:pPr>
              <w:rPr>
                <w:rFonts w:ascii="Arial"/>
                <w:color w:val="auto"/>
                <w:sz w:val="21"/>
                <w:highlight w:val="none"/>
              </w:rPr>
            </w:pPr>
          </w:p>
        </w:tc>
        <w:tc>
          <w:tcPr>
            <w:tcW w:w="2001" w:type="dxa"/>
            <w:vAlign w:val="top"/>
          </w:tcPr>
          <w:p w14:paraId="3E689A6D">
            <w:pPr>
              <w:rPr>
                <w:rFonts w:ascii="Arial"/>
                <w:color w:val="auto"/>
                <w:sz w:val="21"/>
                <w:highlight w:val="none"/>
              </w:rPr>
            </w:pPr>
          </w:p>
        </w:tc>
        <w:tc>
          <w:tcPr>
            <w:tcW w:w="2006" w:type="dxa"/>
            <w:vAlign w:val="top"/>
          </w:tcPr>
          <w:p w14:paraId="4697B25A">
            <w:pPr>
              <w:rPr>
                <w:rFonts w:ascii="Arial"/>
                <w:color w:val="auto"/>
                <w:sz w:val="21"/>
                <w:highlight w:val="none"/>
              </w:rPr>
            </w:pPr>
          </w:p>
        </w:tc>
      </w:tr>
      <w:tr w14:paraId="31CF3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98F0422">
            <w:pPr>
              <w:rPr>
                <w:rFonts w:ascii="Arial"/>
                <w:color w:val="auto"/>
                <w:sz w:val="21"/>
                <w:highlight w:val="none"/>
              </w:rPr>
            </w:pPr>
          </w:p>
        </w:tc>
        <w:tc>
          <w:tcPr>
            <w:tcW w:w="2011" w:type="dxa"/>
            <w:vAlign w:val="top"/>
          </w:tcPr>
          <w:p w14:paraId="08C67CB3">
            <w:pPr>
              <w:rPr>
                <w:rFonts w:ascii="Arial"/>
                <w:color w:val="auto"/>
                <w:sz w:val="21"/>
                <w:highlight w:val="none"/>
              </w:rPr>
            </w:pPr>
          </w:p>
        </w:tc>
        <w:tc>
          <w:tcPr>
            <w:tcW w:w="2001" w:type="dxa"/>
            <w:vAlign w:val="top"/>
          </w:tcPr>
          <w:p w14:paraId="0193D1DE">
            <w:pPr>
              <w:rPr>
                <w:rFonts w:ascii="Arial"/>
                <w:color w:val="auto"/>
                <w:sz w:val="21"/>
                <w:highlight w:val="none"/>
              </w:rPr>
            </w:pPr>
          </w:p>
        </w:tc>
        <w:tc>
          <w:tcPr>
            <w:tcW w:w="2006" w:type="dxa"/>
            <w:vAlign w:val="top"/>
          </w:tcPr>
          <w:p w14:paraId="6D4CA914">
            <w:pPr>
              <w:rPr>
                <w:rFonts w:ascii="Arial"/>
                <w:color w:val="auto"/>
                <w:sz w:val="21"/>
                <w:highlight w:val="none"/>
              </w:rPr>
            </w:pPr>
          </w:p>
        </w:tc>
      </w:tr>
      <w:tr w14:paraId="069D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F105B3A">
            <w:pPr>
              <w:rPr>
                <w:rFonts w:ascii="Arial"/>
                <w:color w:val="auto"/>
                <w:sz w:val="21"/>
                <w:highlight w:val="none"/>
              </w:rPr>
            </w:pPr>
          </w:p>
        </w:tc>
        <w:tc>
          <w:tcPr>
            <w:tcW w:w="2011" w:type="dxa"/>
            <w:vAlign w:val="top"/>
          </w:tcPr>
          <w:p w14:paraId="7D4CD8EA">
            <w:pPr>
              <w:rPr>
                <w:rFonts w:ascii="Arial"/>
                <w:color w:val="auto"/>
                <w:sz w:val="21"/>
                <w:highlight w:val="none"/>
              </w:rPr>
            </w:pPr>
          </w:p>
        </w:tc>
        <w:tc>
          <w:tcPr>
            <w:tcW w:w="2001" w:type="dxa"/>
            <w:vAlign w:val="top"/>
          </w:tcPr>
          <w:p w14:paraId="77F7094D">
            <w:pPr>
              <w:rPr>
                <w:rFonts w:ascii="Arial"/>
                <w:color w:val="auto"/>
                <w:sz w:val="21"/>
                <w:highlight w:val="none"/>
              </w:rPr>
            </w:pPr>
          </w:p>
        </w:tc>
        <w:tc>
          <w:tcPr>
            <w:tcW w:w="2006" w:type="dxa"/>
            <w:vAlign w:val="top"/>
          </w:tcPr>
          <w:p w14:paraId="0BB9504B">
            <w:pPr>
              <w:rPr>
                <w:rFonts w:ascii="Arial"/>
                <w:color w:val="auto"/>
                <w:sz w:val="21"/>
                <w:highlight w:val="none"/>
              </w:rPr>
            </w:pPr>
          </w:p>
        </w:tc>
      </w:tr>
      <w:tr w14:paraId="2ECD1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3C1F3B3">
            <w:pPr>
              <w:rPr>
                <w:rFonts w:ascii="Arial"/>
                <w:color w:val="auto"/>
                <w:sz w:val="21"/>
                <w:highlight w:val="none"/>
              </w:rPr>
            </w:pPr>
          </w:p>
        </w:tc>
        <w:tc>
          <w:tcPr>
            <w:tcW w:w="2011" w:type="dxa"/>
            <w:vAlign w:val="top"/>
          </w:tcPr>
          <w:p w14:paraId="67B63FC4">
            <w:pPr>
              <w:rPr>
                <w:rFonts w:ascii="Arial"/>
                <w:color w:val="auto"/>
                <w:sz w:val="21"/>
                <w:highlight w:val="none"/>
              </w:rPr>
            </w:pPr>
          </w:p>
        </w:tc>
        <w:tc>
          <w:tcPr>
            <w:tcW w:w="2001" w:type="dxa"/>
            <w:vAlign w:val="top"/>
          </w:tcPr>
          <w:p w14:paraId="49762BC3">
            <w:pPr>
              <w:rPr>
                <w:rFonts w:ascii="Arial"/>
                <w:color w:val="auto"/>
                <w:sz w:val="21"/>
                <w:highlight w:val="none"/>
              </w:rPr>
            </w:pPr>
          </w:p>
        </w:tc>
        <w:tc>
          <w:tcPr>
            <w:tcW w:w="2006" w:type="dxa"/>
            <w:vAlign w:val="top"/>
          </w:tcPr>
          <w:p w14:paraId="76BEB38E">
            <w:pPr>
              <w:rPr>
                <w:rFonts w:ascii="Arial"/>
                <w:color w:val="auto"/>
                <w:sz w:val="21"/>
                <w:highlight w:val="none"/>
              </w:rPr>
            </w:pPr>
          </w:p>
        </w:tc>
      </w:tr>
      <w:tr w14:paraId="44861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746F64C">
            <w:pPr>
              <w:rPr>
                <w:rFonts w:ascii="Arial"/>
                <w:color w:val="auto"/>
                <w:sz w:val="21"/>
                <w:highlight w:val="none"/>
              </w:rPr>
            </w:pPr>
          </w:p>
        </w:tc>
        <w:tc>
          <w:tcPr>
            <w:tcW w:w="2011" w:type="dxa"/>
            <w:vAlign w:val="top"/>
          </w:tcPr>
          <w:p w14:paraId="47D56308">
            <w:pPr>
              <w:rPr>
                <w:rFonts w:ascii="Arial"/>
                <w:color w:val="auto"/>
                <w:sz w:val="21"/>
                <w:highlight w:val="none"/>
              </w:rPr>
            </w:pPr>
          </w:p>
        </w:tc>
        <w:tc>
          <w:tcPr>
            <w:tcW w:w="2001" w:type="dxa"/>
            <w:vAlign w:val="top"/>
          </w:tcPr>
          <w:p w14:paraId="124237B6">
            <w:pPr>
              <w:rPr>
                <w:rFonts w:ascii="Arial"/>
                <w:color w:val="auto"/>
                <w:sz w:val="21"/>
                <w:highlight w:val="none"/>
              </w:rPr>
            </w:pPr>
          </w:p>
        </w:tc>
        <w:tc>
          <w:tcPr>
            <w:tcW w:w="2006" w:type="dxa"/>
            <w:vAlign w:val="top"/>
          </w:tcPr>
          <w:p w14:paraId="2C13EDAA">
            <w:pPr>
              <w:rPr>
                <w:rFonts w:ascii="Arial"/>
                <w:color w:val="auto"/>
                <w:sz w:val="21"/>
                <w:highlight w:val="none"/>
              </w:rPr>
            </w:pPr>
          </w:p>
        </w:tc>
      </w:tr>
      <w:tr w14:paraId="72601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037B0A">
            <w:pPr>
              <w:rPr>
                <w:rFonts w:ascii="Arial"/>
                <w:color w:val="auto"/>
                <w:sz w:val="21"/>
                <w:highlight w:val="none"/>
              </w:rPr>
            </w:pPr>
          </w:p>
        </w:tc>
        <w:tc>
          <w:tcPr>
            <w:tcW w:w="2011" w:type="dxa"/>
            <w:vAlign w:val="top"/>
          </w:tcPr>
          <w:p w14:paraId="19E8442E">
            <w:pPr>
              <w:rPr>
                <w:rFonts w:ascii="Arial"/>
                <w:color w:val="auto"/>
                <w:sz w:val="21"/>
                <w:highlight w:val="none"/>
              </w:rPr>
            </w:pPr>
          </w:p>
        </w:tc>
        <w:tc>
          <w:tcPr>
            <w:tcW w:w="2001" w:type="dxa"/>
            <w:vAlign w:val="top"/>
          </w:tcPr>
          <w:p w14:paraId="403EB641">
            <w:pPr>
              <w:rPr>
                <w:rFonts w:ascii="Arial"/>
                <w:color w:val="auto"/>
                <w:sz w:val="21"/>
                <w:highlight w:val="none"/>
              </w:rPr>
            </w:pPr>
          </w:p>
        </w:tc>
        <w:tc>
          <w:tcPr>
            <w:tcW w:w="2006" w:type="dxa"/>
            <w:vAlign w:val="top"/>
          </w:tcPr>
          <w:p w14:paraId="7EFA3F00">
            <w:pPr>
              <w:rPr>
                <w:rFonts w:ascii="Arial"/>
                <w:color w:val="auto"/>
                <w:sz w:val="21"/>
                <w:highlight w:val="none"/>
              </w:rPr>
            </w:pPr>
          </w:p>
        </w:tc>
      </w:tr>
      <w:tr w14:paraId="48B4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3F6341D">
            <w:pPr>
              <w:rPr>
                <w:rFonts w:ascii="Arial"/>
                <w:color w:val="auto"/>
                <w:sz w:val="21"/>
                <w:highlight w:val="none"/>
              </w:rPr>
            </w:pPr>
          </w:p>
        </w:tc>
        <w:tc>
          <w:tcPr>
            <w:tcW w:w="2011" w:type="dxa"/>
            <w:vAlign w:val="top"/>
          </w:tcPr>
          <w:p w14:paraId="2C9C9E07">
            <w:pPr>
              <w:rPr>
                <w:rFonts w:ascii="Arial"/>
                <w:color w:val="auto"/>
                <w:sz w:val="21"/>
                <w:highlight w:val="none"/>
              </w:rPr>
            </w:pPr>
          </w:p>
        </w:tc>
        <w:tc>
          <w:tcPr>
            <w:tcW w:w="2001" w:type="dxa"/>
            <w:vAlign w:val="top"/>
          </w:tcPr>
          <w:p w14:paraId="68BDFA2C">
            <w:pPr>
              <w:rPr>
                <w:rFonts w:ascii="Arial"/>
                <w:color w:val="auto"/>
                <w:sz w:val="21"/>
                <w:highlight w:val="none"/>
              </w:rPr>
            </w:pPr>
          </w:p>
        </w:tc>
        <w:tc>
          <w:tcPr>
            <w:tcW w:w="2006" w:type="dxa"/>
            <w:vAlign w:val="top"/>
          </w:tcPr>
          <w:p w14:paraId="17289541">
            <w:pPr>
              <w:rPr>
                <w:rFonts w:ascii="Arial"/>
                <w:color w:val="auto"/>
                <w:sz w:val="21"/>
                <w:highlight w:val="none"/>
              </w:rPr>
            </w:pPr>
          </w:p>
        </w:tc>
      </w:tr>
      <w:tr w14:paraId="1631F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B55449A">
            <w:pPr>
              <w:rPr>
                <w:rFonts w:ascii="Arial"/>
                <w:color w:val="auto"/>
                <w:sz w:val="21"/>
                <w:highlight w:val="none"/>
              </w:rPr>
            </w:pPr>
          </w:p>
        </w:tc>
        <w:tc>
          <w:tcPr>
            <w:tcW w:w="2011" w:type="dxa"/>
            <w:vAlign w:val="top"/>
          </w:tcPr>
          <w:p w14:paraId="0E71F429">
            <w:pPr>
              <w:rPr>
                <w:rFonts w:ascii="Arial"/>
                <w:color w:val="auto"/>
                <w:sz w:val="21"/>
                <w:highlight w:val="none"/>
              </w:rPr>
            </w:pPr>
          </w:p>
        </w:tc>
        <w:tc>
          <w:tcPr>
            <w:tcW w:w="2001" w:type="dxa"/>
            <w:vAlign w:val="top"/>
          </w:tcPr>
          <w:p w14:paraId="5E4193DA">
            <w:pPr>
              <w:rPr>
                <w:rFonts w:ascii="Arial"/>
                <w:color w:val="auto"/>
                <w:sz w:val="21"/>
                <w:highlight w:val="none"/>
              </w:rPr>
            </w:pPr>
          </w:p>
        </w:tc>
        <w:tc>
          <w:tcPr>
            <w:tcW w:w="2006" w:type="dxa"/>
            <w:vAlign w:val="top"/>
          </w:tcPr>
          <w:p w14:paraId="6042C079">
            <w:pPr>
              <w:rPr>
                <w:rFonts w:ascii="Arial"/>
                <w:color w:val="auto"/>
                <w:sz w:val="21"/>
                <w:highlight w:val="none"/>
              </w:rPr>
            </w:pPr>
          </w:p>
        </w:tc>
      </w:tr>
      <w:tr w14:paraId="78709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2068CA0">
            <w:pPr>
              <w:rPr>
                <w:rFonts w:ascii="Arial"/>
                <w:color w:val="auto"/>
                <w:sz w:val="21"/>
                <w:highlight w:val="none"/>
              </w:rPr>
            </w:pPr>
          </w:p>
        </w:tc>
        <w:tc>
          <w:tcPr>
            <w:tcW w:w="2011" w:type="dxa"/>
            <w:vAlign w:val="top"/>
          </w:tcPr>
          <w:p w14:paraId="39C2F05C">
            <w:pPr>
              <w:rPr>
                <w:rFonts w:ascii="Arial"/>
                <w:color w:val="auto"/>
                <w:sz w:val="21"/>
                <w:highlight w:val="none"/>
              </w:rPr>
            </w:pPr>
          </w:p>
        </w:tc>
        <w:tc>
          <w:tcPr>
            <w:tcW w:w="2001" w:type="dxa"/>
            <w:vAlign w:val="top"/>
          </w:tcPr>
          <w:p w14:paraId="679280AE">
            <w:pPr>
              <w:rPr>
                <w:rFonts w:ascii="Arial"/>
                <w:color w:val="auto"/>
                <w:sz w:val="21"/>
                <w:highlight w:val="none"/>
              </w:rPr>
            </w:pPr>
          </w:p>
        </w:tc>
        <w:tc>
          <w:tcPr>
            <w:tcW w:w="2006" w:type="dxa"/>
            <w:vAlign w:val="top"/>
          </w:tcPr>
          <w:p w14:paraId="4DA19B94">
            <w:pPr>
              <w:rPr>
                <w:rFonts w:ascii="Arial"/>
                <w:color w:val="auto"/>
                <w:sz w:val="21"/>
                <w:highlight w:val="none"/>
              </w:rPr>
            </w:pPr>
          </w:p>
        </w:tc>
      </w:tr>
      <w:tr w14:paraId="282E4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5445CD">
            <w:pPr>
              <w:rPr>
                <w:rFonts w:ascii="Arial"/>
                <w:color w:val="auto"/>
                <w:sz w:val="21"/>
                <w:highlight w:val="none"/>
              </w:rPr>
            </w:pPr>
          </w:p>
        </w:tc>
        <w:tc>
          <w:tcPr>
            <w:tcW w:w="2011" w:type="dxa"/>
            <w:vAlign w:val="top"/>
          </w:tcPr>
          <w:p w14:paraId="021C6F52">
            <w:pPr>
              <w:rPr>
                <w:rFonts w:ascii="Arial"/>
                <w:color w:val="auto"/>
                <w:sz w:val="21"/>
                <w:highlight w:val="none"/>
              </w:rPr>
            </w:pPr>
          </w:p>
        </w:tc>
        <w:tc>
          <w:tcPr>
            <w:tcW w:w="2001" w:type="dxa"/>
            <w:vAlign w:val="top"/>
          </w:tcPr>
          <w:p w14:paraId="31ACCCE8">
            <w:pPr>
              <w:rPr>
                <w:rFonts w:ascii="Arial"/>
                <w:color w:val="auto"/>
                <w:sz w:val="21"/>
                <w:highlight w:val="none"/>
              </w:rPr>
            </w:pPr>
          </w:p>
        </w:tc>
        <w:tc>
          <w:tcPr>
            <w:tcW w:w="2006" w:type="dxa"/>
            <w:vAlign w:val="top"/>
          </w:tcPr>
          <w:p w14:paraId="155F951C">
            <w:pPr>
              <w:rPr>
                <w:rFonts w:ascii="Arial"/>
                <w:color w:val="auto"/>
                <w:sz w:val="21"/>
                <w:highlight w:val="none"/>
              </w:rPr>
            </w:pPr>
          </w:p>
        </w:tc>
      </w:tr>
      <w:tr w14:paraId="3F336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F52D363">
            <w:pPr>
              <w:rPr>
                <w:rFonts w:ascii="Arial"/>
                <w:color w:val="auto"/>
                <w:sz w:val="21"/>
                <w:highlight w:val="none"/>
              </w:rPr>
            </w:pPr>
          </w:p>
        </w:tc>
        <w:tc>
          <w:tcPr>
            <w:tcW w:w="2011" w:type="dxa"/>
            <w:vAlign w:val="top"/>
          </w:tcPr>
          <w:p w14:paraId="7D77843B">
            <w:pPr>
              <w:rPr>
                <w:rFonts w:ascii="Arial"/>
                <w:color w:val="auto"/>
                <w:sz w:val="21"/>
                <w:highlight w:val="none"/>
              </w:rPr>
            </w:pPr>
          </w:p>
        </w:tc>
        <w:tc>
          <w:tcPr>
            <w:tcW w:w="2001" w:type="dxa"/>
            <w:vAlign w:val="top"/>
          </w:tcPr>
          <w:p w14:paraId="2F85F98B">
            <w:pPr>
              <w:rPr>
                <w:rFonts w:ascii="Arial"/>
                <w:color w:val="auto"/>
                <w:sz w:val="21"/>
                <w:highlight w:val="none"/>
              </w:rPr>
            </w:pPr>
          </w:p>
        </w:tc>
        <w:tc>
          <w:tcPr>
            <w:tcW w:w="2006" w:type="dxa"/>
            <w:vAlign w:val="top"/>
          </w:tcPr>
          <w:p w14:paraId="6EBBEAAD">
            <w:pPr>
              <w:rPr>
                <w:rFonts w:ascii="Arial"/>
                <w:color w:val="auto"/>
                <w:sz w:val="21"/>
                <w:highlight w:val="none"/>
              </w:rPr>
            </w:pPr>
          </w:p>
        </w:tc>
      </w:tr>
      <w:tr w14:paraId="50E35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A103991">
            <w:pPr>
              <w:rPr>
                <w:rFonts w:ascii="Arial"/>
                <w:color w:val="auto"/>
                <w:sz w:val="21"/>
                <w:highlight w:val="none"/>
              </w:rPr>
            </w:pPr>
          </w:p>
        </w:tc>
        <w:tc>
          <w:tcPr>
            <w:tcW w:w="2011" w:type="dxa"/>
            <w:vAlign w:val="top"/>
          </w:tcPr>
          <w:p w14:paraId="6D910617">
            <w:pPr>
              <w:rPr>
                <w:rFonts w:ascii="Arial"/>
                <w:color w:val="auto"/>
                <w:sz w:val="21"/>
                <w:highlight w:val="none"/>
              </w:rPr>
            </w:pPr>
          </w:p>
        </w:tc>
        <w:tc>
          <w:tcPr>
            <w:tcW w:w="2001" w:type="dxa"/>
            <w:vAlign w:val="top"/>
          </w:tcPr>
          <w:p w14:paraId="295753D3">
            <w:pPr>
              <w:rPr>
                <w:rFonts w:ascii="Arial"/>
                <w:color w:val="auto"/>
                <w:sz w:val="21"/>
                <w:highlight w:val="none"/>
              </w:rPr>
            </w:pPr>
          </w:p>
        </w:tc>
        <w:tc>
          <w:tcPr>
            <w:tcW w:w="2006" w:type="dxa"/>
            <w:vAlign w:val="top"/>
          </w:tcPr>
          <w:p w14:paraId="3B1744CC">
            <w:pPr>
              <w:rPr>
                <w:rFonts w:ascii="Arial"/>
                <w:color w:val="auto"/>
                <w:sz w:val="21"/>
                <w:highlight w:val="none"/>
              </w:rPr>
            </w:pPr>
          </w:p>
        </w:tc>
      </w:tr>
    </w:tbl>
    <w:p w14:paraId="780185A3">
      <w:pPr>
        <w:pStyle w:val="5"/>
        <w:rPr>
          <w:color w:val="auto"/>
          <w:highlight w:val="none"/>
        </w:rPr>
      </w:pPr>
    </w:p>
    <w:p w14:paraId="7EAFEFBD">
      <w:pPr>
        <w:rPr>
          <w:color w:val="auto"/>
          <w:highlight w:val="none"/>
        </w:rPr>
        <w:sectPr>
          <w:footerReference r:id="rId194" w:type="default"/>
          <w:pgSz w:w="11905" w:h="16839"/>
          <w:pgMar w:top="400" w:right="1785" w:bottom="1004" w:left="1785" w:header="0" w:footer="828" w:gutter="0"/>
          <w:pgNumType w:fmt="decimal"/>
          <w:cols w:space="720" w:num="1"/>
        </w:sectPr>
      </w:pPr>
    </w:p>
    <w:p w14:paraId="534FFEEF">
      <w:pPr>
        <w:pStyle w:val="5"/>
        <w:spacing w:line="254" w:lineRule="auto"/>
        <w:rPr>
          <w:color w:val="auto"/>
          <w:highlight w:val="none"/>
        </w:rPr>
      </w:pPr>
    </w:p>
    <w:p w14:paraId="20C318A7">
      <w:pPr>
        <w:pStyle w:val="5"/>
        <w:spacing w:line="254" w:lineRule="auto"/>
        <w:rPr>
          <w:color w:val="auto"/>
          <w:highlight w:val="none"/>
        </w:rPr>
      </w:pPr>
    </w:p>
    <w:p w14:paraId="1FA5BD50">
      <w:pPr>
        <w:pStyle w:val="5"/>
        <w:spacing w:line="254" w:lineRule="auto"/>
        <w:rPr>
          <w:color w:val="auto"/>
          <w:highlight w:val="none"/>
        </w:rPr>
      </w:pPr>
    </w:p>
    <w:p w14:paraId="78EE70FF">
      <w:pPr>
        <w:pStyle w:val="5"/>
        <w:spacing w:line="255" w:lineRule="auto"/>
        <w:rPr>
          <w:color w:val="auto"/>
          <w:highlight w:val="none"/>
        </w:rPr>
      </w:pPr>
    </w:p>
    <w:p w14:paraId="45B1F75E">
      <w:pPr>
        <w:pStyle w:val="5"/>
        <w:spacing w:line="255" w:lineRule="auto"/>
        <w:rPr>
          <w:color w:val="auto"/>
          <w:highlight w:val="none"/>
        </w:rPr>
      </w:pPr>
    </w:p>
    <w:p w14:paraId="17913D40">
      <w:pPr>
        <w:numPr>
          <w:ilvl w:val="0"/>
          <w:numId w:val="3"/>
        </w:numPr>
        <w:spacing w:before="87" w:line="225" w:lineRule="auto"/>
        <w:ind w:left="3342"/>
        <w:rPr>
          <w:rFonts w:ascii="黑体" w:hAnsi="黑体" w:eastAsia="黑体" w:cs="黑体"/>
          <w:color w:val="auto"/>
          <w:spacing w:val="6"/>
          <w:sz w:val="27"/>
          <w:szCs w:val="27"/>
          <w:highlight w:val="none"/>
        </w:rPr>
      </w:pPr>
      <w:r>
        <w:rPr>
          <w:rFonts w:ascii="黑体" w:hAnsi="黑体" w:eastAsia="黑体" w:cs="黑体"/>
          <w:color w:val="auto"/>
          <w:spacing w:val="6"/>
          <w:sz w:val="27"/>
          <w:szCs w:val="27"/>
          <w:highlight w:val="none"/>
        </w:rPr>
        <w:t>其他材料</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5404"/>
      </w:tblGrid>
      <w:tr w14:paraId="2532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29592C4">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项目名称：</w:t>
            </w:r>
          </w:p>
        </w:tc>
        <w:tc>
          <w:tcPr>
            <w:tcW w:w="5404" w:type="dxa"/>
            <w:noWrap w:val="0"/>
            <w:vAlign w:val="top"/>
          </w:tcPr>
          <w:p w14:paraId="1BD0DA8F">
            <w:pPr>
              <w:widowControl w:val="0"/>
              <w:rPr>
                <w:color w:val="auto"/>
                <w:highlight w:val="none"/>
                <w:vertAlign w:val="baseline"/>
              </w:rPr>
            </w:pPr>
          </w:p>
        </w:tc>
      </w:tr>
      <w:tr w14:paraId="5778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61E21FB">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标段名称：</w:t>
            </w:r>
          </w:p>
        </w:tc>
        <w:tc>
          <w:tcPr>
            <w:tcW w:w="5404" w:type="dxa"/>
            <w:noWrap w:val="0"/>
            <w:vAlign w:val="top"/>
          </w:tcPr>
          <w:p w14:paraId="61CDA3AA">
            <w:pPr>
              <w:widowControl w:val="0"/>
              <w:rPr>
                <w:color w:val="auto"/>
                <w:highlight w:val="none"/>
                <w:vertAlign w:val="baseline"/>
              </w:rPr>
            </w:pPr>
          </w:p>
        </w:tc>
      </w:tr>
      <w:tr w14:paraId="02FD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0769003">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招标人名称：</w:t>
            </w:r>
          </w:p>
        </w:tc>
        <w:tc>
          <w:tcPr>
            <w:tcW w:w="5404" w:type="dxa"/>
            <w:noWrap w:val="0"/>
            <w:vAlign w:val="top"/>
          </w:tcPr>
          <w:p w14:paraId="7C57CB88">
            <w:pPr>
              <w:widowControl w:val="0"/>
              <w:rPr>
                <w:color w:val="auto"/>
                <w:highlight w:val="none"/>
                <w:vertAlign w:val="baseline"/>
              </w:rPr>
            </w:pPr>
          </w:p>
        </w:tc>
      </w:tr>
      <w:tr w14:paraId="6A81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AFCE3A8">
            <w:pPr>
              <w:widowControl w:val="0"/>
              <w:rPr>
                <w:rFonts w:hint="eastAsia" w:eastAsia="宋体"/>
                <w:color w:val="auto"/>
                <w:highlight w:val="none"/>
                <w:vertAlign w:val="baseline"/>
                <w:lang w:eastAsia="zh-CN"/>
              </w:rPr>
            </w:pPr>
            <w:r>
              <w:rPr>
                <w:rFonts w:hint="eastAsia"/>
                <w:color w:val="auto"/>
                <w:highlight w:val="none"/>
                <w:vertAlign w:val="baseline"/>
              </w:rPr>
              <w:t>招标代理机构名称</w:t>
            </w:r>
            <w:r>
              <w:rPr>
                <w:rFonts w:hint="eastAsia"/>
                <w:color w:val="auto"/>
                <w:highlight w:val="none"/>
                <w:vertAlign w:val="baseline"/>
                <w:lang w:eastAsia="zh-CN"/>
              </w:rPr>
              <w:t>：</w:t>
            </w:r>
          </w:p>
        </w:tc>
        <w:tc>
          <w:tcPr>
            <w:tcW w:w="5404" w:type="dxa"/>
            <w:noWrap w:val="0"/>
            <w:vAlign w:val="top"/>
          </w:tcPr>
          <w:p w14:paraId="4EB582CC">
            <w:pPr>
              <w:widowControl w:val="0"/>
              <w:rPr>
                <w:color w:val="auto"/>
                <w:highlight w:val="none"/>
                <w:vertAlign w:val="baseline"/>
              </w:rPr>
            </w:pPr>
          </w:p>
        </w:tc>
      </w:tr>
      <w:tr w14:paraId="162F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14B4E427">
            <w:pPr>
              <w:widowControl w:val="0"/>
              <w:rPr>
                <w:rFonts w:hint="eastAsia" w:eastAsia="宋体"/>
                <w:color w:val="auto"/>
                <w:highlight w:val="none"/>
                <w:vertAlign w:val="baseline"/>
                <w:lang w:eastAsia="zh-CN"/>
              </w:rPr>
            </w:pPr>
            <w:r>
              <w:rPr>
                <w:rFonts w:hint="eastAsia"/>
                <w:color w:val="auto"/>
                <w:highlight w:val="none"/>
                <w:vertAlign w:val="baseline"/>
              </w:rPr>
              <w:t>投标公司名称</w:t>
            </w:r>
            <w:r>
              <w:rPr>
                <w:rFonts w:hint="eastAsia"/>
                <w:color w:val="auto"/>
                <w:highlight w:val="none"/>
                <w:vertAlign w:val="baseline"/>
                <w:lang w:eastAsia="zh-CN"/>
              </w:rPr>
              <w:t>：</w:t>
            </w:r>
          </w:p>
        </w:tc>
        <w:tc>
          <w:tcPr>
            <w:tcW w:w="5404" w:type="dxa"/>
            <w:noWrap w:val="0"/>
            <w:vAlign w:val="top"/>
          </w:tcPr>
          <w:p w14:paraId="677B1EB1">
            <w:pPr>
              <w:widowControl w:val="0"/>
              <w:rPr>
                <w:color w:val="auto"/>
                <w:highlight w:val="none"/>
                <w:vertAlign w:val="baseline"/>
              </w:rPr>
            </w:pPr>
          </w:p>
        </w:tc>
      </w:tr>
      <w:tr w14:paraId="0C4E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22F8122">
            <w:pPr>
              <w:widowControl w:val="0"/>
              <w:rPr>
                <w:rFonts w:hint="eastAsia" w:eastAsia="宋体"/>
                <w:color w:val="auto"/>
                <w:highlight w:val="none"/>
                <w:vertAlign w:val="baseline"/>
                <w:lang w:eastAsia="zh-CN"/>
              </w:rPr>
            </w:pPr>
            <w:r>
              <w:rPr>
                <w:rFonts w:hint="eastAsia"/>
                <w:color w:val="auto"/>
                <w:highlight w:val="none"/>
                <w:vertAlign w:val="baseline"/>
              </w:rPr>
              <w:t>投标公司统一社会信用代码</w:t>
            </w:r>
            <w:r>
              <w:rPr>
                <w:rFonts w:hint="eastAsia"/>
                <w:color w:val="auto"/>
                <w:highlight w:val="none"/>
                <w:vertAlign w:val="baseline"/>
                <w:lang w:eastAsia="zh-CN"/>
              </w:rPr>
              <w:t>：</w:t>
            </w:r>
          </w:p>
        </w:tc>
        <w:tc>
          <w:tcPr>
            <w:tcW w:w="5404" w:type="dxa"/>
            <w:noWrap w:val="0"/>
            <w:vAlign w:val="top"/>
          </w:tcPr>
          <w:p w14:paraId="25E400ED">
            <w:pPr>
              <w:widowControl w:val="0"/>
              <w:rPr>
                <w:color w:val="auto"/>
                <w:highlight w:val="none"/>
                <w:vertAlign w:val="baseline"/>
              </w:rPr>
            </w:pPr>
          </w:p>
        </w:tc>
      </w:tr>
      <w:tr w14:paraId="1CF9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56DFAFD9">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投标公司法定代表人姓名</w:t>
            </w:r>
            <w:r>
              <w:rPr>
                <w:rFonts w:hint="eastAsia"/>
                <w:color w:val="auto"/>
                <w:highlight w:val="none"/>
                <w:vertAlign w:val="baseline"/>
                <w:lang w:val="en-US" w:eastAsia="zh-CN"/>
              </w:rPr>
              <w:t>:</w:t>
            </w:r>
          </w:p>
        </w:tc>
        <w:tc>
          <w:tcPr>
            <w:tcW w:w="5404" w:type="dxa"/>
            <w:noWrap w:val="0"/>
            <w:vAlign w:val="top"/>
          </w:tcPr>
          <w:p w14:paraId="5F032F3E">
            <w:pPr>
              <w:widowControl w:val="0"/>
              <w:rPr>
                <w:color w:val="auto"/>
                <w:highlight w:val="none"/>
                <w:vertAlign w:val="baseline"/>
              </w:rPr>
            </w:pPr>
          </w:p>
        </w:tc>
      </w:tr>
      <w:tr w14:paraId="13A6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741FC3C">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投标公司法定代表人身份证号</w:t>
            </w:r>
            <w:r>
              <w:rPr>
                <w:rFonts w:hint="eastAsia"/>
                <w:color w:val="auto"/>
                <w:highlight w:val="none"/>
                <w:vertAlign w:val="baseline"/>
                <w:lang w:val="en-US" w:eastAsia="zh-CN"/>
              </w:rPr>
              <w:t>:</w:t>
            </w:r>
          </w:p>
        </w:tc>
        <w:tc>
          <w:tcPr>
            <w:tcW w:w="5404" w:type="dxa"/>
            <w:noWrap w:val="0"/>
            <w:vAlign w:val="top"/>
          </w:tcPr>
          <w:p w14:paraId="3E2B0709">
            <w:pPr>
              <w:widowControl w:val="0"/>
              <w:rPr>
                <w:color w:val="auto"/>
                <w:highlight w:val="none"/>
                <w:vertAlign w:val="baseline"/>
              </w:rPr>
            </w:pPr>
          </w:p>
        </w:tc>
      </w:tr>
      <w:tr w14:paraId="2F1D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0ADC3C2">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投标公司法定代表人手机号码</w:t>
            </w:r>
            <w:r>
              <w:rPr>
                <w:rFonts w:hint="eastAsia"/>
                <w:color w:val="auto"/>
                <w:highlight w:val="none"/>
                <w:vertAlign w:val="baseline"/>
                <w:lang w:val="en-US" w:eastAsia="zh-CN"/>
              </w:rPr>
              <w:t>:</w:t>
            </w:r>
          </w:p>
        </w:tc>
        <w:tc>
          <w:tcPr>
            <w:tcW w:w="5404" w:type="dxa"/>
            <w:noWrap w:val="0"/>
            <w:vAlign w:val="top"/>
          </w:tcPr>
          <w:p w14:paraId="5345FBA3">
            <w:pPr>
              <w:widowControl w:val="0"/>
              <w:rPr>
                <w:color w:val="auto"/>
                <w:highlight w:val="none"/>
                <w:vertAlign w:val="baseline"/>
              </w:rPr>
            </w:pPr>
          </w:p>
        </w:tc>
      </w:tr>
      <w:tr w14:paraId="290C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9A46AC4">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投标公司联系人姓名</w:t>
            </w:r>
            <w:r>
              <w:rPr>
                <w:rFonts w:hint="eastAsia"/>
                <w:color w:val="auto"/>
                <w:highlight w:val="none"/>
                <w:vertAlign w:val="baseline"/>
                <w:lang w:val="en-US" w:eastAsia="zh-CN"/>
              </w:rPr>
              <w:t>:</w:t>
            </w:r>
          </w:p>
        </w:tc>
        <w:tc>
          <w:tcPr>
            <w:tcW w:w="5404" w:type="dxa"/>
            <w:noWrap w:val="0"/>
            <w:vAlign w:val="top"/>
          </w:tcPr>
          <w:p w14:paraId="6A3A88DA">
            <w:pPr>
              <w:widowControl w:val="0"/>
              <w:rPr>
                <w:color w:val="auto"/>
                <w:highlight w:val="none"/>
                <w:vertAlign w:val="baseline"/>
              </w:rPr>
            </w:pPr>
          </w:p>
        </w:tc>
      </w:tr>
      <w:tr w14:paraId="3CB6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B16C651">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投标公司联系人身份证号</w:t>
            </w:r>
            <w:r>
              <w:rPr>
                <w:rFonts w:hint="eastAsia"/>
                <w:color w:val="auto"/>
                <w:highlight w:val="none"/>
                <w:vertAlign w:val="baseline"/>
                <w:lang w:val="en-US" w:eastAsia="zh-CN"/>
              </w:rPr>
              <w:t>:</w:t>
            </w:r>
          </w:p>
        </w:tc>
        <w:tc>
          <w:tcPr>
            <w:tcW w:w="5404" w:type="dxa"/>
            <w:noWrap w:val="0"/>
            <w:vAlign w:val="top"/>
          </w:tcPr>
          <w:p w14:paraId="2D8D58FF">
            <w:pPr>
              <w:widowControl w:val="0"/>
              <w:rPr>
                <w:color w:val="auto"/>
                <w:highlight w:val="none"/>
                <w:vertAlign w:val="baseline"/>
              </w:rPr>
            </w:pPr>
          </w:p>
        </w:tc>
      </w:tr>
      <w:tr w14:paraId="621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A4E7AAE">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投标公司联系人手机号码</w:t>
            </w:r>
            <w:r>
              <w:rPr>
                <w:rFonts w:hint="eastAsia"/>
                <w:color w:val="auto"/>
                <w:highlight w:val="none"/>
                <w:vertAlign w:val="baseline"/>
                <w:lang w:val="en-US" w:eastAsia="zh-CN"/>
              </w:rPr>
              <w:t>:</w:t>
            </w:r>
          </w:p>
        </w:tc>
        <w:tc>
          <w:tcPr>
            <w:tcW w:w="5404" w:type="dxa"/>
            <w:noWrap w:val="0"/>
            <w:vAlign w:val="top"/>
          </w:tcPr>
          <w:p w14:paraId="0CE1F216">
            <w:pPr>
              <w:widowControl w:val="0"/>
              <w:rPr>
                <w:color w:val="auto"/>
                <w:highlight w:val="none"/>
                <w:vertAlign w:val="baseline"/>
              </w:rPr>
            </w:pPr>
          </w:p>
        </w:tc>
      </w:tr>
      <w:tr w14:paraId="591B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FBCC238">
            <w:pPr>
              <w:widowControl w:val="0"/>
              <w:rPr>
                <w:rFonts w:hint="eastAsia" w:eastAsia="宋体"/>
                <w:color w:val="auto"/>
                <w:highlight w:val="none"/>
                <w:vertAlign w:val="baseline"/>
                <w:lang w:val="en-US" w:eastAsia="zh-CN"/>
              </w:rPr>
            </w:pPr>
            <w:r>
              <w:rPr>
                <w:rFonts w:hint="eastAsia"/>
                <w:color w:val="auto"/>
                <w:highlight w:val="none"/>
                <w:vertAlign w:val="baseline"/>
              </w:rPr>
              <w:t>项目经理姓名</w:t>
            </w:r>
            <w:r>
              <w:rPr>
                <w:rFonts w:hint="eastAsia"/>
                <w:color w:val="auto"/>
                <w:highlight w:val="none"/>
                <w:vertAlign w:val="baseline"/>
                <w:lang w:val="en-US" w:eastAsia="zh-CN"/>
              </w:rPr>
              <w:t>:</w:t>
            </w:r>
          </w:p>
        </w:tc>
        <w:tc>
          <w:tcPr>
            <w:tcW w:w="5404" w:type="dxa"/>
            <w:noWrap w:val="0"/>
            <w:vAlign w:val="top"/>
          </w:tcPr>
          <w:p w14:paraId="48BD8FEF">
            <w:pPr>
              <w:widowControl w:val="0"/>
              <w:rPr>
                <w:color w:val="auto"/>
                <w:highlight w:val="none"/>
                <w:vertAlign w:val="baseline"/>
              </w:rPr>
            </w:pPr>
          </w:p>
        </w:tc>
      </w:tr>
      <w:tr w14:paraId="2164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18FC728">
            <w:pPr>
              <w:widowControl w:val="0"/>
              <w:rPr>
                <w:rFonts w:hint="eastAsia" w:eastAsia="宋体"/>
                <w:color w:val="auto"/>
                <w:highlight w:val="none"/>
                <w:vertAlign w:val="baseline"/>
                <w:lang w:val="en-US" w:eastAsia="zh-CN"/>
              </w:rPr>
            </w:pPr>
            <w:r>
              <w:rPr>
                <w:rFonts w:hint="eastAsia"/>
                <w:color w:val="auto"/>
                <w:highlight w:val="none"/>
                <w:vertAlign w:val="baseline"/>
              </w:rPr>
              <w:t>项目经理身份证号</w:t>
            </w:r>
            <w:r>
              <w:rPr>
                <w:rFonts w:hint="eastAsia"/>
                <w:color w:val="auto"/>
                <w:highlight w:val="none"/>
                <w:vertAlign w:val="baseline"/>
                <w:lang w:val="en-US" w:eastAsia="zh-CN"/>
              </w:rPr>
              <w:t>:</w:t>
            </w:r>
          </w:p>
        </w:tc>
        <w:tc>
          <w:tcPr>
            <w:tcW w:w="5404" w:type="dxa"/>
            <w:noWrap w:val="0"/>
            <w:vAlign w:val="top"/>
          </w:tcPr>
          <w:p w14:paraId="288EF3E9">
            <w:pPr>
              <w:widowControl w:val="0"/>
              <w:rPr>
                <w:color w:val="auto"/>
                <w:highlight w:val="none"/>
                <w:vertAlign w:val="baseline"/>
              </w:rPr>
            </w:pPr>
          </w:p>
        </w:tc>
      </w:tr>
      <w:tr w14:paraId="636E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0F62C8B">
            <w:pPr>
              <w:widowControl w:val="0"/>
              <w:rPr>
                <w:rFonts w:hint="eastAsia" w:eastAsia="宋体"/>
                <w:color w:val="auto"/>
                <w:highlight w:val="none"/>
                <w:vertAlign w:val="baseline"/>
                <w:lang w:val="en-US" w:eastAsia="zh-CN"/>
              </w:rPr>
            </w:pPr>
            <w:r>
              <w:rPr>
                <w:rFonts w:hint="eastAsia"/>
                <w:color w:val="auto"/>
                <w:highlight w:val="none"/>
                <w:vertAlign w:val="baseline"/>
              </w:rPr>
              <w:t>项目经理手机号码</w:t>
            </w:r>
            <w:r>
              <w:rPr>
                <w:rFonts w:hint="eastAsia"/>
                <w:color w:val="auto"/>
                <w:highlight w:val="none"/>
                <w:vertAlign w:val="baseline"/>
                <w:lang w:val="en-US" w:eastAsia="zh-CN"/>
              </w:rPr>
              <w:t>:</w:t>
            </w:r>
          </w:p>
        </w:tc>
        <w:tc>
          <w:tcPr>
            <w:tcW w:w="5404" w:type="dxa"/>
            <w:noWrap w:val="0"/>
            <w:vAlign w:val="top"/>
          </w:tcPr>
          <w:p w14:paraId="7DE335A8">
            <w:pPr>
              <w:widowControl w:val="0"/>
              <w:rPr>
                <w:color w:val="auto"/>
                <w:highlight w:val="none"/>
                <w:vertAlign w:val="baseline"/>
              </w:rPr>
            </w:pPr>
          </w:p>
        </w:tc>
      </w:tr>
      <w:tr w14:paraId="2524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03434A4">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投标保证金形式：</w:t>
            </w:r>
          </w:p>
        </w:tc>
        <w:tc>
          <w:tcPr>
            <w:tcW w:w="5404" w:type="dxa"/>
            <w:noWrap w:val="0"/>
            <w:vAlign w:val="top"/>
          </w:tcPr>
          <w:p w14:paraId="6F56A69F">
            <w:pPr>
              <w:widowControl w:val="0"/>
              <w:rPr>
                <w:color w:val="auto"/>
                <w:highlight w:val="none"/>
                <w:vertAlign w:val="baseline"/>
              </w:rPr>
            </w:pPr>
          </w:p>
        </w:tc>
      </w:tr>
      <w:tr w14:paraId="0215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26E9400">
            <w:pPr>
              <w:widowControl w:val="0"/>
              <w:rPr>
                <w:rFonts w:hint="eastAsia" w:eastAsia="宋体"/>
                <w:color w:val="auto"/>
                <w:highlight w:val="none"/>
                <w:vertAlign w:val="baseline"/>
                <w:lang w:eastAsia="zh-CN"/>
              </w:rPr>
            </w:pPr>
            <w:r>
              <w:rPr>
                <w:rFonts w:hint="eastAsia"/>
                <w:color w:val="auto"/>
                <w:highlight w:val="none"/>
                <w:vertAlign w:val="baseline"/>
              </w:rPr>
              <w:t>缴纳投标保证金</w:t>
            </w:r>
            <w:r>
              <w:rPr>
                <w:rFonts w:hint="eastAsia"/>
                <w:color w:val="auto"/>
                <w:highlight w:val="none"/>
                <w:vertAlign w:val="baseline"/>
                <w:lang w:val="en-US" w:eastAsia="zh-CN"/>
              </w:rPr>
              <w:t>/保函</w:t>
            </w:r>
            <w:r>
              <w:rPr>
                <w:rFonts w:hint="eastAsia"/>
                <w:color w:val="auto"/>
                <w:highlight w:val="none"/>
                <w:vertAlign w:val="baseline"/>
              </w:rPr>
              <w:t>时间</w:t>
            </w:r>
            <w:r>
              <w:rPr>
                <w:rFonts w:hint="eastAsia"/>
                <w:color w:val="auto"/>
                <w:highlight w:val="none"/>
                <w:vertAlign w:val="baseline"/>
                <w:lang w:eastAsia="zh-CN"/>
              </w:rPr>
              <w:t>：</w:t>
            </w:r>
          </w:p>
        </w:tc>
        <w:tc>
          <w:tcPr>
            <w:tcW w:w="5404" w:type="dxa"/>
            <w:noWrap w:val="0"/>
            <w:vAlign w:val="top"/>
          </w:tcPr>
          <w:p w14:paraId="4CF283E7">
            <w:pPr>
              <w:widowControl w:val="0"/>
              <w:rPr>
                <w:color w:val="auto"/>
                <w:highlight w:val="none"/>
                <w:vertAlign w:val="baseline"/>
              </w:rPr>
            </w:pPr>
          </w:p>
        </w:tc>
      </w:tr>
      <w:tr w14:paraId="125D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5821F3D">
            <w:pPr>
              <w:widowControl w:val="0"/>
              <w:rPr>
                <w:rFonts w:hint="eastAsia" w:eastAsia="宋体"/>
                <w:color w:val="auto"/>
                <w:highlight w:val="none"/>
                <w:vertAlign w:val="baseline"/>
                <w:lang w:eastAsia="zh-CN"/>
              </w:rPr>
            </w:pPr>
            <w:r>
              <w:rPr>
                <w:rFonts w:hint="eastAsia"/>
                <w:color w:val="auto"/>
                <w:highlight w:val="none"/>
                <w:vertAlign w:val="baseline"/>
              </w:rPr>
              <w:t>缴纳投标保证金账户</w:t>
            </w:r>
            <w:r>
              <w:rPr>
                <w:rFonts w:hint="eastAsia"/>
                <w:color w:val="auto"/>
                <w:highlight w:val="none"/>
                <w:vertAlign w:val="baseline"/>
                <w:lang w:eastAsia="zh-CN"/>
              </w:rPr>
              <w:t>：</w:t>
            </w:r>
          </w:p>
        </w:tc>
        <w:tc>
          <w:tcPr>
            <w:tcW w:w="5404" w:type="dxa"/>
            <w:noWrap w:val="0"/>
            <w:vAlign w:val="top"/>
          </w:tcPr>
          <w:p w14:paraId="7F730497">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递交保函无需填写此项</w:t>
            </w:r>
          </w:p>
        </w:tc>
      </w:tr>
      <w:tr w14:paraId="1C17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2A507496">
            <w:pPr>
              <w:widowControl w:val="0"/>
              <w:rPr>
                <w:rFonts w:hint="eastAsia"/>
                <w:color w:val="auto"/>
                <w:highlight w:val="none"/>
                <w:vertAlign w:val="baseline"/>
              </w:rPr>
            </w:pPr>
            <w:r>
              <w:rPr>
                <w:rFonts w:hint="eastAsia"/>
                <w:color w:val="auto"/>
                <w:highlight w:val="none"/>
                <w:vertAlign w:val="baseline"/>
              </w:rPr>
              <w:t>缴纳投标保障金账户开户行</w:t>
            </w:r>
          </w:p>
        </w:tc>
        <w:tc>
          <w:tcPr>
            <w:tcW w:w="5404" w:type="dxa"/>
            <w:noWrap w:val="0"/>
            <w:vAlign w:val="top"/>
          </w:tcPr>
          <w:p w14:paraId="1F54A99B">
            <w:pPr>
              <w:widowControl w:val="0"/>
              <w:rPr>
                <w:color w:val="auto"/>
                <w:highlight w:val="none"/>
                <w:vertAlign w:val="baseline"/>
              </w:rPr>
            </w:pPr>
            <w:r>
              <w:rPr>
                <w:rFonts w:hint="eastAsia"/>
                <w:color w:val="auto"/>
                <w:highlight w:val="none"/>
                <w:vertAlign w:val="baseline"/>
                <w:lang w:val="en-US" w:eastAsia="zh-CN"/>
              </w:rPr>
              <w:t>递交保函无需填写此项</w:t>
            </w:r>
          </w:p>
        </w:tc>
      </w:tr>
    </w:tbl>
    <w:p w14:paraId="4938EBCF">
      <w:pPr>
        <w:numPr>
          <w:ilvl w:val="0"/>
          <w:numId w:val="0"/>
        </w:numPr>
        <w:spacing w:before="87" w:line="225" w:lineRule="auto"/>
        <w:rPr>
          <w:rFonts w:ascii="黑体" w:hAnsi="黑体" w:eastAsia="黑体" w:cs="黑体"/>
          <w:color w:val="auto"/>
          <w:spacing w:val="6"/>
          <w:sz w:val="27"/>
          <w:szCs w:val="27"/>
          <w:highlight w:val="none"/>
        </w:rPr>
      </w:pPr>
    </w:p>
    <w:sectPr>
      <w:footerReference r:id="rId195" w:type="default"/>
      <w:pgSz w:w="11905" w:h="16839"/>
      <w:pgMar w:top="969" w:right="1785" w:bottom="1003" w:left="1785" w:header="0" w:footer="82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0DBD5">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A2DAE">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14:paraId="6CBA2DAE">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0CEC2">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E8178">
                          <w:pPr>
                            <w:pStyle w:val="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14:paraId="196E8178">
                    <w:pPr>
                      <w:pStyle w:val="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A8E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58969">
                          <w:pPr>
                            <w:pStyle w:val="7"/>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14:paraId="04C58969">
                    <w:pPr>
                      <w:pStyle w:val="7"/>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792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8236F">
                          <w:pPr>
                            <w:pStyle w:val="7"/>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14:paraId="4288236F">
                    <w:pPr>
                      <w:pStyle w:val="7"/>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F3D5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AC22F">
                          <w:pPr>
                            <w:pStyle w:val="7"/>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14:paraId="7B4AC22F">
                    <w:pPr>
                      <w:pStyle w:val="7"/>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FB70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4E321">
                          <w:pPr>
                            <w:pStyle w:val="7"/>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14:paraId="12D4E321">
                    <w:pPr>
                      <w:pStyle w:val="7"/>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B09D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38E92">
                          <w:pPr>
                            <w:pStyle w:val="7"/>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14:paraId="25738E92">
                    <w:pPr>
                      <w:pStyle w:val="7"/>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E3F5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96F27">
                          <w:pPr>
                            <w:pStyle w:val="7"/>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14:paraId="53996F27">
                    <w:pPr>
                      <w:pStyle w:val="7"/>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3C50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48ADB">
                          <w:pPr>
                            <w:pStyle w:val="7"/>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14:paraId="57548ADB">
                    <w:pPr>
                      <w:pStyle w:val="7"/>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7F46C">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2A02A">
                          <w:pPr>
                            <w:pStyle w:val="7"/>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14:paraId="0A62A02A">
                    <w:pPr>
                      <w:pStyle w:val="7"/>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344E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A3AF4">
                          <w:pPr>
                            <w:pStyle w:val="7"/>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14:paraId="2AFA3AF4">
                    <w:pPr>
                      <w:pStyle w:val="7"/>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40B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811B5">
                          <w:pPr>
                            <w:pStyle w:val="7"/>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14:paraId="63F811B5">
                    <w:pPr>
                      <w:pStyle w:val="7"/>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71F7E">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E58D5">
                          <w:pPr>
                            <w:pStyle w:val="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14:paraId="18CE58D5">
                    <w:pPr>
                      <w:pStyle w:val="7"/>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A6A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0C6E5">
                          <w:pPr>
                            <w:pStyle w:val="7"/>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14:paraId="7200C6E5">
                    <w:pPr>
                      <w:pStyle w:val="7"/>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CABF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F01EF">
                          <w:pPr>
                            <w:pStyle w:val="7"/>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14:paraId="0C7F01EF">
                    <w:pPr>
                      <w:pStyle w:val="7"/>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7D04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8B8B3">
                          <w:pPr>
                            <w:pStyle w:val="7"/>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14:paraId="6ED8B8B3">
                    <w:pPr>
                      <w:pStyle w:val="7"/>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C01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9B6F3">
                          <w:pPr>
                            <w:pStyle w:val="7"/>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14:paraId="66B9B6F3">
                    <w:pPr>
                      <w:pStyle w:val="7"/>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DFB6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97680">
                          <w:pPr>
                            <w:pStyle w:val="7"/>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14:paraId="75597680">
                    <w:pPr>
                      <w:pStyle w:val="7"/>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452A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145D0">
                          <w:pPr>
                            <w:pStyle w:val="7"/>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14:paraId="79F145D0">
                    <w:pPr>
                      <w:pStyle w:val="7"/>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E9A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7822F">
                          <w:pPr>
                            <w:pStyle w:val="7"/>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14:paraId="4617822F">
                    <w:pPr>
                      <w:pStyle w:val="7"/>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CCED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B40D2">
                          <w:pPr>
                            <w:pStyle w:val="7"/>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14:paraId="1C8B40D2">
                    <w:pPr>
                      <w:pStyle w:val="7"/>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F8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C5A10">
                          <w:pPr>
                            <w:pStyle w:val="7"/>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14:paraId="064C5A10">
                    <w:pPr>
                      <w:pStyle w:val="7"/>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9683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3A5A1">
                          <w:pPr>
                            <w:pStyle w:val="7"/>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14:paraId="53C3A5A1">
                    <w:pPr>
                      <w:pStyle w:val="7"/>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6DE5">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411D0">
                          <w:pPr>
                            <w:pStyle w:val="7"/>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14:paraId="238411D0">
                    <w:pPr>
                      <w:pStyle w:val="7"/>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CECE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F9022">
                          <w:pPr>
                            <w:pStyle w:val="7"/>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14:paraId="7C0F9022">
                    <w:pPr>
                      <w:pStyle w:val="7"/>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ADD3">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13B3B">
                          <w:pPr>
                            <w:pStyle w:val="7"/>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14:paraId="77113B3B">
                    <w:pPr>
                      <w:pStyle w:val="7"/>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74746">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D5E67">
                          <w:pPr>
                            <w:pStyle w:val="7"/>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14:paraId="6AAD5E67">
                    <w:pPr>
                      <w:pStyle w:val="7"/>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80A9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6AAA0">
                          <w:pPr>
                            <w:pStyle w:val="7"/>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14:paraId="1A66AAA0">
                    <w:pPr>
                      <w:pStyle w:val="7"/>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3F91">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CD9E3">
                          <w:pPr>
                            <w:pStyle w:val="7"/>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14:paraId="7DBCD9E3">
                    <w:pPr>
                      <w:pStyle w:val="7"/>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D649">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50AF7">
                          <w:pPr>
                            <w:pStyle w:val="7"/>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14:paraId="7BD50AF7">
                    <w:pPr>
                      <w:pStyle w:val="7"/>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FE959">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90E9D">
                          <w:pPr>
                            <w:pStyle w:val="7"/>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14:paraId="76990E9D">
                    <w:pPr>
                      <w:pStyle w:val="7"/>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F8481">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3E0E8">
                          <w:pPr>
                            <w:pStyle w:val="7"/>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14:paraId="3373E0E8">
                    <w:pPr>
                      <w:pStyle w:val="7"/>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2881E">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B2B82">
                          <w:pPr>
                            <w:pStyle w:val="7"/>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14:paraId="143B2B82">
                    <w:pPr>
                      <w:pStyle w:val="7"/>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0E6C">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23488">
                          <w:pPr>
                            <w:pStyle w:val="7"/>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14:paraId="51E23488">
                    <w:pPr>
                      <w:pStyle w:val="7"/>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CD1BF">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80231">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14:paraId="48180231">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CD19E">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9689B">
                          <w:pPr>
                            <w:pStyle w:val="7"/>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14:paraId="0F29689B">
                    <w:pPr>
                      <w:pStyle w:val="7"/>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6E14">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F5F05">
                          <w:pPr>
                            <w:pStyle w:val="7"/>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14:paraId="1C4F5F05">
                    <w:pPr>
                      <w:pStyle w:val="7"/>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71DF2">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4A765">
                          <w:pPr>
                            <w:pStyle w:val="7"/>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14:paraId="1154A765">
                    <w:pPr>
                      <w:pStyle w:val="7"/>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EEA9">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4E645">
                          <w:pPr>
                            <w:pStyle w:val="7"/>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14:paraId="3344E645">
                    <w:pPr>
                      <w:pStyle w:val="7"/>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AFC8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CDC6B">
                          <w:pPr>
                            <w:pStyle w:val="7"/>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14:paraId="768CDC6B">
                    <w:pPr>
                      <w:pStyle w:val="7"/>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C0C6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69898">
                          <w:pPr>
                            <w:pStyle w:val="7"/>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14:paraId="48269898">
                    <w:pPr>
                      <w:pStyle w:val="7"/>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BB1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04C94">
                          <w:pPr>
                            <w:pStyle w:val="7"/>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14:paraId="1BE04C94">
                    <w:pPr>
                      <w:pStyle w:val="7"/>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15BB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6FCB7">
                          <w:pPr>
                            <w:pStyle w:val="7"/>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14:paraId="6096FCB7">
                    <w:pPr>
                      <w:pStyle w:val="7"/>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DF7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6D448">
                          <w:pPr>
                            <w:pStyle w:val="7"/>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14:paraId="67F6D448">
                    <w:pPr>
                      <w:pStyle w:val="7"/>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57F3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1420A">
                          <w:pPr>
                            <w:pStyle w:val="7"/>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14:paraId="2321420A">
                    <w:pPr>
                      <w:pStyle w:val="7"/>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4909">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15313">
                          <w:pPr>
                            <w:pStyle w:val="7"/>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14:paraId="11B15313">
                    <w:pPr>
                      <w:pStyle w:val="7"/>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5969C">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73A8F">
                          <w:pPr>
                            <w:pStyle w:val="7"/>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14:paraId="28673A8F">
                    <w:pPr>
                      <w:pStyle w:val="7"/>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A5FC4">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1AF68">
                          <w:pPr>
                            <w:pStyle w:val="7"/>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14:paraId="0B01AF68">
                    <w:pPr>
                      <w:pStyle w:val="7"/>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24A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DDD8">
                          <w:pPr>
                            <w:pStyle w:val="7"/>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14:paraId="0673DDD8">
                    <w:pPr>
                      <w:pStyle w:val="7"/>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7C9A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6B129">
                          <w:pPr>
                            <w:pStyle w:val="7"/>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14:paraId="13E6B129">
                    <w:pPr>
                      <w:pStyle w:val="7"/>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716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C5F37">
                          <w:pPr>
                            <w:pStyle w:val="7"/>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14:paraId="011C5F37">
                    <w:pPr>
                      <w:pStyle w:val="7"/>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8A74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18671">
                          <w:pPr>
                            <w:pStyle w:val="7"/>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14:paraId="49218671">
                    <w:pPr>
                      <w:pStyle w:val="7"/>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529F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0AE92">
                          <w:pPr>
                            <w:pStyle w:val="7"/>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14:paraId="0200AE92">
                    <w:pPr>
                      <w:pStyle w:val="7"/>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F54C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C8BEC">
                          <w:pPr>
                            <w:pStyle w:val="7"/>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14:paraId="3A4C8BEC">
                    <w:pPr>
                      <w:pStyle w:val="7"/>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326D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62659">
                          <w:pPr>
                            <w:pStyle w:val="7"/>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14:paraId="03362659">
                    <w:pPr>
                      <w:pStyle w:val="7"/>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B076C">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ED4CA">
                          <w:pPr>
                            <w:pStyle w:val="7"/>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14:paraId="179ED4CA">
                    <w:pPr>
                      <w:pStyle w:val="7"/>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511B2">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ED28A">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14:paraId="708ED28A">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DCC2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3DA8C">
                          <w:pPr>
                            <w:pStyle w:val="7"/>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14:paraId="2663DA8C">
                    <w:pPr>
                      <w:pStyle w:val="7"/>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2723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D38DE">
                          <w:pPr>
                            <w:pStyle w:val="7"/>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14:paraId="0F7D38DE">
                    <w:pPr>
                      <w:pStyle w:val="7"/>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203A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842B8">
                          <w:pPr>
                            <w:pStyle w:val="7"/>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14:paraId="40B842B8">
                    <w:pPr>
                      <w:pStyle w:val="7"/>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9A5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E1293">
                          <w:pPr>
                            <w:pStyle w:val="7"/>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14:paraId="264E1293">
                    <w:pPr>
                      <w:pStyle w:val="7"/>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92D1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F88B">
                          <w:pPr>
                            <w:pStyle w:val="7"/>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14:paraId="3555F88B">
                    <w:pPr>
                      <w:pStyle w:val="7"/>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F883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44219">
                          <w:pPr>
                            <w:pStyle w:val="7"/>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14:paraId="1B944219">
                    <w:pPr>
                      <w:pStyle w:val="7"/>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344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288B1">
                          <w:pPr>
                            <w:pStyle w:val="7"/>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14:paraId="135288B1">
                    <w:pPr>
                      <w:pStyle w:val="7"/>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47B2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E7E69">
                          <w:pPr>
                            <w:pStyle w:val="7"/>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14:paraId="49AE7E69">
                    <w:pPr>
                      <w:pStyle w:val="7"/>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D513F">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F1BD5">
                          <w:pPr>
                            <w:pStyle w:val="7"/>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14:paraId="5C0F1BD5">
                    <w:pPr>
                      <w:pStyle w:val="7"/>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512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15AFF">
                          <w:pPr>
                            <w:pStyle w:val="7"/>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14:paraId="49E15AFF">
                    <w:pPr>
                      <w:pStyle w:val="7"/>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6FC7">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374A4">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14:paraId="5DC374A4">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31D0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C9232">
                          <w:pPr>
                            <w:pStyle w:val="7"/>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14:paraId="667C9232">
                    <w:pPr>
                      <w:pStyle w:val="7"/>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43C8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39BEB">
                          <w:pPr>
                            <w:pStyle w:val="7"/>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14:paraId="65C39BEB">
                    <w:pPr>
                      <w:pStyle w:val="7"/>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2CE5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95E57">
                          <w:pPr>
                            <w:pStyle w:val="7"/>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14:paraId="50D95E57">
                    <w:pPr>
                      <w:pStyle w:val="7"/>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8E99C">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99163">
                          <w:pPr>
                            <w:pStyle w:val="7"/>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14:paraId="4E899163">
                    <w:pPr>
                      <w:pStyle w:val="7"/>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6640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BDE55">
                          <w:pPr>
                            <w:pStyle w:val="7"/>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14:paraId="3B3BDE55">
                    <w:pPr>
                      <w:pStyle w:val="7"/>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662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2EF59">
                          <w:pPr>
                            <w:pStyle w:val="7"/>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14:paraId="1632EF59">
                    <w:pPr>
                      <w:pStyle w:val="7"/>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228E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58047">
                          <w:pPr>
                            <w:pStyle w:val="7"/>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14:paraId="2CB58047">
                    <w:pPr>
                      <w:pStyle w:val="7"/>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3657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9591C">
                          <w:pPr>
                            <w:pStyle w:val="7"/>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14:paraId="1609591C">
                    <w:pPr>
                      <w:pStyle w:val="7"/>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1270">
    <w:pPr>
      <w:pStyle w:val="7"/>
      <w:jc w:val="center"/>
      <w:rPr>
        <w:rFonts w:hint="default"/>
        <w:lang w:val="en-US"/>
      </w:rPr>
    </w:pPr>
    <w: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1B94F">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74D1B94F">
                    <w:pPr>
                      <w:pStyle w:val="7"/>
                    </w:pPr>
                  </w:p>
                </w:txbxContent>
              </v:textbox>
            </v:shape>
          </w:pict>
        </mc:Fallback>
      </mc:AlternateContent>
    </w:r>
    <w:r>
      <w:rPr>
        <w:rFonts w:hint="eastAsia"/>
        <w:lang w:val="en-US" w:eastAsia="zh-CN"/>
      </w:rPr>
      <w:t>257</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92ED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23FB2">
                          <w:pPr>
                            <w:pStyle w:val="7"/>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14:paraId="5DA23FB2">
                    <w:pPr>
                      <w:pStyle w:val="7"/>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FFCD">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3F2C3">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14:paraId="3583F2C3">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9144">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CC7CC">
                          <w:pPr>
                            <w:pStyle w:val="7"/>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14:paraId="355CC7CC">
                    <w:pPr>
                      <w:pStyle w:val="7"/>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DBBF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239F7">
                          <w:pPr>
                            <w:pStyle w:val="7"/>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14:paraId="2EB239F7">
                    <w:pPr>
                      <w:pStyle w:val="7"/>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72EE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29FED">
                          <w:pPr>
                            <w:pStyle w:val="7"/>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14:paraId="03A29FED">
                    <w:pPr>
                      <w:pStyle w:val="7"/>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7039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EEB91">
                          <w:pPr>
                            <w:pStyle w:val="7"/>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14:paraId="5E1EEB91">
                    <w:pPr>
                      <w:pStyle w:val="7"/>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DF1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4C029">
                          <w:pPr>
                            <w:pStyle w:val="7"/>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14:paraId="55A4C029">
                    <w:pPr>
                      <w:pStyle w:val="7"/>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9DD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2B804">
                          <w:pPr>
                            <w:pStyle w:val="7"/>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14:paraId="3AC2B804">
                    <w:pPr>
                      <w:pStyle w:val="7"/>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3B2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ED8D7">
                          <w:pPr>
                            <w:pStyle w:val="7"/>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14:paraId="71BED8D7">
                    <w:pPr>
                      <w:pStyle w:val="7"/>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804D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B62E6">
                          <w:pPr>
                            <w:pStyle w:val="7"/>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14:paraId="3ACB62E6">
                    <w:pPr>
                      <w:pStyle w:val="7"/>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5C1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411B5">
                          <w:pPr>
                            <w:pStyle w:val="7"/>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14:paraId="0CE411B5">
                    <w:pPr>
                      <w:pStyle w:val="7"/>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942B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0B496">
                          <w:pPr>
                            <w:pStyle w:val="7"/>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14:paraId="0150B496">
                    <w:pPr>
                      <w:pStyle w:val="7"/>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F6D12">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F1595">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14:paraId="13BF1595">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59E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CBA98">
                          <w:pPr>
                            <w:pStyle w:val="7"/>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14:paraId="370CBA98">
                    <w:pPr>
                      <w:pStyle w:val="7"/>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4F9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D04E6">
                          <w:pPr>
                            <w:pStyle w:val="7"/>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14:paraId="3FCD04E6">
                    <w:pPr>
                      <w:pStyle w:val="7"/>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9D1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FBA6B">
                          <w:pPr>
                            <w:pStyle w:val="7"/>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14:paraId="3C7FBA6B">
                    <w:pPr>
                      <w:pStyle w:val="7"/>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C7E3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26F0F">
                          <w:pPr>
                            <w:pStyle w:val="7"/>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14:paraId="00026F0F">
                    <w:pPr>
                      <w:pStyle w:val="7"/>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DC29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D8601">
                          <w:pPr>
                            <w:pStyle w:val="7"/>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14:paraId="201D8601">
                    <w:pPr>
                      <w:pStyle w:val="7"/>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717F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A3270">
                          <w:pPr>
                            <w:pStyle w:val="7"/>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14:paraId="044A3270">
                    <w:pPr>
                      <w:pStyle w:val="7"/>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8DB4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1F70C">
                          <w:pPr>
                            <w:pStyle w:val="7"/>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14:paraId="3D71F70C">
                    <w:pPr>
                      <w:pStyle w:val="7"/>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CFE5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906AC">
                          <w:pPr>
                            <w:pStyle w:val="7"/>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14:paraId="620906AC">
                    <w:pPr>
                      <w:pStyle w:val="7"/>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FB6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091C9">
                          <w:pPr>
                            <w:pStyle w:val="7"/>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14:paraId="042091C9">
                    <w:pPr>
                      <w:pStyle w:val="7"/>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3D520">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EFE06">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14:paraId="6F8EFE06">
                    <w:pPr>
                      <w:pStyle w:val="7"/>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454A">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FC52">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44A9A">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14:paraId="66E44A9A">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A97D">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659B3">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14:paraId="0D3659B3">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6A14">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73EE9">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14:paraId="2BB73EE9">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BF787">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C0D9D">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14:paraId="21FC0D9D">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ADA38">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21FB0">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14:paraId="02021FB0">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915D">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53618">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14:paraId="65A53618">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CB67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3036F">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14:paraId="21E3036F">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DA173">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1F261">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14:paraId="46A1F261">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CEF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631CE">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14:paraId="538631CE">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9D64D">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FEB69">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14:paraId="15EFEB69">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9911">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52517">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3CDA4">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14:paraId="5B13CDA4">
                    <w:pPr>
                      <w:pStyle w:val="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F002C">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AA209">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14:paraId="62DAA209">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14248">
    <w:pPr>
      <w:pStyle w:val="7"/>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860715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BABAF">
                          <w:pPr>
                            <w:pStyle w:val="7"/>
                            <w:rPr>
                              <w:rStyle w:val="16"/>
                              <w:rFonts w:ascii="仿宋_GB2312" w:eastAsia="仿宋_GB2312"/>
                            </w:rPr>
                          </w:pPr>
                          <w:r>
                            <w:rPr>
                              <w:rStyle w:val="16"/>
                              <w:rFonts w:hint="eastAsia" w:ascii="仿宋_GB2312" w:eastAsia="仿宋_GB2312"/>
                            </w:rPr>
                            <w:fldChar w:fldCharType="begin"/>
                          </w:r>
                          <w:r>
                            <w:rPr>
                              <w:rStyle w:val="16"/>
                              <w:rFonts w:hint="eastAsia" w:ascii="仿宋_GB2312" w:eastAsia="仿宋_GB2312"/>
                            </w:rPr>
                            <w:instrText xml:space="preserve">PAGE  </w:instrText>
                          </w:r>
                          <w:r>
                            <w:rPr>
                              <w:rStyle w:val="16"/>
                              <w:rFonts w:hint="eastAsia" w:ascii="仿宋_GB2312" w:eastAsia="仿宋_GB2312"/>
                            </w:rPr>
                            <w:fldChar w:fldCharType="separate"/>
                          </w:r>
                          <w:r>
                            <w:rPr>
                              <w:rStyle w:val="16"/>
                              <w:rFonts w:hint="eastAsia" w:ascii="仿宋_GB2312" w:eastAsia="仿宋_GB2312"/>
                            </w:rPr>
                            <w:t>66</w:t>
                          </w:r>
                          <w:r>
                            <w:rPr>
                              <w:rStyle w:val="16"/>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X2kegzAgAAXgQAAA4AAAAAAAAAAQAgAAAAHwEAAGRycy9lMm9Eb2MueG1sUEsF&#10;BgAAAAAGAAYAWQEAAMQFAAAAAA==&#10;">
              <v:fill on="f" focussize="0,0"/>
              <v:stroke on="f" weight="0.5pt"/>
              <v:imagedata o:title=""/>
              <o:lock v:ext="edit" aspectratio="f"/>
              <v:textbox inset="0mm,0mm,0mm,0mm" style="mso-fit-shape-to-text:t;">
                <w:txbxContent>
                  <w:p w14:paraId="5F6BABAF">
                    <w:pPr>
                      <w:pStyle w:val="7"/>
                      <w:rPr>
                        <w:rStyle w:val="16"/>
                        <w:rFonts w:ascii="仿宋_GB2312" w:eastAsia="仿宋_GB2312"/>
                      </w:rPr>
                    </w:pPr>
                    <w:r>
                      <w:rPr>
                        <w:rStyle w:val="16"/>
                        <w:rFonts w:hint="eastAsia" w:ascii="仿宋_GB2312" w:eastAsia="仿宋_GB2312"/>
                      </w:rPr>
                      <w:fldChar w:fldCharType="begin"/>
                    </w:r>
                    <w:r>
                      <w:rPr>
                        <w:rStyle w:val="16"/>
                        <w:rFonts w:hint="eastAsia" w:ascii="仿宋_GB2312" w:eastAsia="仿宋_GB2312"/>
                      </w:rPr>
                      <w:instrText xml:space="preserve">PAGE  </w:instrText>
                    </w:r>
                    <w:r>
                      <w:rPr>
                        <w:rStyle w:val="16"/>
                        <w:rFonts w:hint="eastAsia" w:ascii="仿宋_GB2312" w:eastAsia="仿宋_GB2312"/>
                      </w:rPr>
                      <w:fldChar w:fldCharType="separate"/>
                    </w:r>
                    <w:r>
                      <w:rPr>
                        <w:rStyle w:val="16"/>
                        <w:rFonts w:hint="eastAsia" w:ascii="仿宋_GB2312" w:eastAsia="仿宋_GB2312"/>
                      </w:rPr>
                      <w:t>66</w:t>
                    </w:r>
                    <w:r>
                      <w:rPr>
                        <w:rStyle w:val="16"/>
                        <w:rFonts w:hint="eastAsia" w:ascii="仿宋_GB2312" w:eastAsia="仿宋_GB2312"/>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2F1FA">
    <w:pPr>
      <w:pStyle w:val="7"/>
      <w:framePr w:wrap="around" w:vAnchor="text" w:hAnchor="margin" w:xAlign="center" w:y="1"/>
      <w:rPr>
        <w:rStyle w:val="16"/>
        <w:rFonts w:ascii="仿宋_GB2312" w:eastAsia="仿宋_GB2312"/>
        <w:sz w:val="21"/>
        <w:szCs w:val="21"/>
      </w:rPr>
    </w:pPr>
    <w:r>
      <w:rPr>
        <w:rStyle w:val="16"/>
        <w:rFonts w:hint="eastAsia" w:ascii="仿宋_GB2312" w:eastAsia="仿宋_GB2312"/>
        <w:sz w:val="21"/>
        <w:szCs w:val="21"/>
      </w:rPr>
      <w:fldChar w:fldCharType="begin"/>
    </w:r>
    <w:r>
      <w:rPr>
        <w:rStyle w:val="16"/>
        <w:rFonts w:hint="eastAsia" w:ascii="仿宋_GB2312" w:eastAsia="仿宋_GB2312"/>
        <w:sz w:val="21"/>
        <w:szCs w:val="21"/>
      </w:rPr>
      <w:instrText xml:space="preserve">PAGE  </w:instrText>
    </w:r>
    <w:r>
      <w:rPr>
        <w:rStyle w:val="16"/>
        <w:rFonts w:hint="eastAsia" w:ascii="仿宋_GB2312" w:eastAsia="仿宋_GB2312"/>
        <w:sz w:val="21"/>
        <w:szCs w:val="21"/>
      </w:rPr>
      <w:fldChar w:fldCharType="separate"/>
    </w:r>
    <w:r>
      <w:rPr>
        <w:rStyle w:val="16"/>
        <w:rFonts w:hint="eastAsia" w:ascii="仿宋_GB2312" w:eastAsia="仿宋_GB2312"/>
        <w:sz w:val="21"/>
        <w:szCs w:val="21"/>
      </w:rPr>
      <w:t>84</w:t>
    </w:r>
    <w:r>
      <w:rPr>
        <w:rStyle w:val="16"/>
        <w:rFonts w:hint="eastAsia" w:ascii="仿宋_GB2312" w:eastAsia="仿宋_GB2312"/>
        <w:sz w:val="21"/>
        <w:szCs w:val="21"/>
      </w:rPr>
      <w:fldChar w:fldCharType="end"/>
    </w:r>
  </w:p>
  <w:p w14:paraId="787BF4B2">
    <w:pPr>
      <w:pStyle w:val="7"/>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962CC">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separate"/>
    </w:r>
    <w:r>
      <w:rPr>
        <w:rStyle w:val="16"/>
      </w:rPr>
      <w:fldChar w:fldCharType="end"/>
    </w:r>
  </w:p>
  <w:p w14:paraId="4493F32B">
    <w:pPr>
      <w:pStyle w:val="7"/>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A89C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37006">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14:paraId="0BB37006">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039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284D3">
                          <w:pPr>
                            <w:pStyle w:val="7"/>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14:paraId="259284D3">
                    <w:pPr>
                      <w:pStyle w:val="7"/>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B2E8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DABC1">
                          <w:pPr>
                            <w:pStyle w:val="7"/>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14:paraId="758DABC1">
                    <w:pPr>
                      <w:pStyle w:val="7"/>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EE1A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794A3">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14:paraId="793794A3">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4D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30F6F">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14:paraId="32930F6F">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25A9B">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D1301">
                          <w:pPr>
                            <w:pStyle w:val="7"/>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14:paraId="0AAD1301">
                    <w:pPr>
                      <w:pStyle w:val="7"/>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4E5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11F20">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14:paraId="21B11F20">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19AF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A6E4A">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14:paraId="4FAA6E4A">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A6D2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D56E3">
                          <w:pPr>
                            <w:pStyle w:val="7"/>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14:paraId="697D56E3">
                    <w:pPr>
                      <w:pStyle w:val="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27CE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B24E8">
                          <w:pPr>
                            <w:pStyle w:val="7"/>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14:paraId="3ECB24E8">
                    <w:pPr>
                      <w:pStyle w:val="7"/>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C607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9C8F3">
                          <w:pPr>
                            <w:pStyle w:val="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14:paraId="44F9C8F3">
                    <w:pPr>
                      <w:pStyle w:val="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B40B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47622">
                          <w:pPr>
                            <w:pStyle w:val="7"/>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14:paraId="65F47622">
                    <w:pPr>
                      <w:pStyle w:val="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1C5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3DADF">
                          <w:pPr>
                            <w:pStyle w:val="7"/>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14:paraId="34C3DADF">
                    <w:pPr>
                      <w:pStyle w:val="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C44FB">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5B27D">
                          <w:pPr>
                            <w:pStyle w:val="7"/>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14:paraId="6465B27D">
                    <w:pPr>
                      <w:pStyle w:val="7"/>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6608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60493">
                          <w:pPr>
                            <w:pStyle w:val="7"/>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14:paraId="39560493">
                    <w:pPr>
                      <w:pStyle w:val="7"/>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6BE7">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3965B">
                          <w:pPr>
                            <w:pStyle w:val="7"/>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14:paraId="15F3965B">
                    <w:pPr>
                      <w:pStyle w:val="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844CF">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C80A5">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14:paraId="304C80A5">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2190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274E1">
                          <w:pPr>
                            <w:pStyle w:val="7"/>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14:paraId="0E5274E1">
                    <w:pPr>
                      <w:pStyle w:val="7"/>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A3F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58D68">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14:paraId="0E058D68">
                    <w:pPr>
                      <w:pStyle w:val="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68EB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D8EA2">
                          <w:pPr>
                            <w:pStyle w:val="7"/>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14:paraId="6A9D8EA2">
                    <w:pPr>
                      <w:pStyle w:val="7"/>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988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0B861">
                          <w:pPr>
                            <w:pStyle w:val="7"/>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14:paraId="3850B861">
                    <w:pPr>
                      <w:pStyle w:val="7"/>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6AED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1D91D">
                          <w:pPr>
                            <w:pStyle w:val="7"/>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14:paraId="0AE1D91D">
                    <w:pPr>
                      <w:pStyle w:val="7"/>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28A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9962B">
                          <w:pPr>
                            <w:pStyle w:val="7"/>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14:paraId="4F49962B">
                    <w:pPr>
                      <w:pStyle w:val="7"/>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7AA0A">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20BBB">
                          <w:pPr>
                            <w:pStyle w:val="7"/>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14:paraId="41520BBB">
                    <w:pPr>
                      <w:pStyle w:val="7"/>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467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F4479">
                          <w:pPr>
                            <w:pStyle w:val="7"/>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14:paraId="1FCF4479">
                    <w:pPr>
                      <w:pStyle w:val="7"/>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165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9F40F">
                          <w:pPr>
                            <w:pStyle w:val="7"/>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14:paraId="4449F40F">
                    <w:pPr>
                      <w:pStyle w:val="7"/>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1538">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2575C">
                          <w:pPr>
                            <w:pStyle w:val="7"/>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14:paraId="1272575C">
                    <w:pPr>
                      <w:pStyle w:val="7"/>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4C2E">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E8A14">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14:paraId="293E8A14">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95C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AA89F">
                          <w:pPr>
                            <w:pStyle w:val="7"/>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14:paraId="156AA89F">
                    <w:pPr>
                      <w:pStyle w:val="7"/>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5BDD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C3F4E">
                          <w:pPr>
                            <w:pStyle w:val="7"/>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14:paraId="1A3C3F4E">
                    <w:pPr>
                      <w:pStyle w:val="7"/>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354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0EC5C">
                          <w:pPr>
                            <w:pStyle w:val="7"/>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14:paraId="62E0EC5C">
                    <w:pPr>
                      <w:pStyle w:val="7"/>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01E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AEFCA">
                          <w:pPr>
                            <w:pStyle w:val="7"/>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14:paraId="63AAEFCA">
                    <w:pPr>
                      <w:pStyle w:val="7"/>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6052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0088E">
                          <w:pPr>
                            <w:pStyle w:val="7"/>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14:paraId="5170088E">
                    <w:pPr>
                      <w:pStyle w:val="7"/>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6EEB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02CA6">
                          <w:pPr>
                            <w:pStyle w:val="7"/>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14:paraId="27002CA6">
                    <w:pPr>
                      <w:pStyle w:val="7"/>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67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EAF34">
                          <w:pPr>
                            <w:pStyle w:val="7"/>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14:paraId="2BEEAF34">
                    <w:pPr>
                      <w:pStyle w:val="7"/>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EB6B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964C3">
                          <w:pPr>
                            <w:pStyle w:val="7"/>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14:paraId="45A964C3">
                    <w:pPr>
                      <w:pStyle w:val="7"/>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10F4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5D684">
                          <w:pPr>
                            <w:pStyle w:val="7"/>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14:paraId="2705D684">
                    <w:pPr>
                      <w:pStyle w:val="7"/>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9D4B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66D8B">
                          <w:pPr>
                            <w:pStyle w:val="7"/>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14:paraId="7F266D8B">
                    <w:pPr>
                      <w:pStyle w:val="7"/>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0A402">
    <w:pPr>
      <w:spacing w:line="176" w:lineRule="auto"/>
      <w:ind w:left="41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1" name="文本框 1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EA97F">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Rwn0z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ERwn0zAgAAZwQAAA4AAAAAAAAAAQAgAAAAHwEAAGRycy9lMm9Eb2MueG1sUEsF&#10;BgAAAAAGAAYAWQEAAMQFAAAAAA==&#10;">
              <v:fill on="f" focussize="0,0"/>
              <v:stroke on="f" weight="0.5pt"/>
              <v:imagedata o:title=""/>
              <o:lock v:ext="edit" aspectratio="f"/>
              <v:textbox inset="0mm,0mm,0mm,0mm" style="mso-fit-shape-to-text:t;">
                <w:txbxContent>
                  <w:p w14:paraId="33AEA97F">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4670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A5ED5">
                          <w:pPr>
                            <w:pStyle w:val="7"/>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14:paraId="429A5ED5">
                    <w:pPr>
                      <w:pStyle w:val="7"/>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200E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32E9F">
                          <w:pPr>
                            <w:pStyle w:val="7"/>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14:paraId="77432E9F">
                    <w:pPr>
                      <w:pStyle w:val="7"/>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17B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ED214">
                          <w:pPr>
                            <w:pStyle w:val="7"/>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14:paraId="3C0ED214">
                    <w:pPr>
                      <w:pStyle w:val="7"/>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38B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ED6DC">
                          <w:pPr>
                            <w:pStyle w:val="7"/>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14:paraId="7A9ED6DC">
                    <w:pPr>
                      <w:pStyle w:val="7"/>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F1DF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B8915">
                          <w:pPr>
                            <w:pStyle w:val="7"/>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14:paraId="6E8B8915">
                    <w:pPr>
                      <w:pStyle w:val="7"/>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967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D7DDA">
                          <w:pPr>
                            <w:pStyle w:val="7"/>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14:paraId="596D7DDA">
                    <w:pPr>
                      <w:pStyle w:val="7"/>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C3286">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F59CA">
                          <w:pPr>
                            <w:pStyle w:val="7"/>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14:paraId="49EF59CA">
                    <w:pPr>
                      <w:pStyle w:val="7"/>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4F71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EA757">
                          <w:pPr>
                            <w:pStyle w:val="7"/>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14:paraId="0F8EA757">
                    <w:pPr>
                      <w:pStyle w:val="7"/>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EDA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1E33E">
                          <w:pPr>
                            <w:pStyle w:val="7"/>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14:paraId="5201E33E">
                    <w:pPr>
                      <w:pStyle w:val="7"/>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4EE3A">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943EC">
                          <w:pPr>
                            <w:pStyle w:val="7"/>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14:paraId="143943EC">
                    <w:pPr>
                      <w:pStyle w:val="7"/>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931E">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D6231">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Us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YFLENAIAAGcEAAAOAAAAAAAAAAEAIAAAAB8BAABkcnMvZTJvRG9jLnhtbFBL&#10;BQYAAAAABgAGAFkBAADFBQAAAAA=&#10;">
              <v:fill on="f" focussize="0,0"/>
              <v:stroke on="f" weight="0.5pt"/>
              <v:imagedata o:title=""/>
              <o:lock v:ext="edit" aspectratio="f"/>
              <v:textbox inset="0mm,0mm,0mm,0mm" style="mso-fit-shape-to-text:t;">
                <w:txbxContent>
                  <w:p w14:paraId="047D6231">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F8A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E5246">
                          <w:pPr>
                            <w:pStyle w:val="7"/>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14:paraId="4B2E5246">
                    <w:pPr>
                      <w:pStyle w:val="7"/>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2889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62662">
                          <w:pPr>
                            <w:pStyle w:val="7"/>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14:paraId="2DF62662">
                    <w:pPr>
                      <w:pStyle w:val="7"/>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3A43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209F1">
                          <w:pPr>
                            <w:pStyle w:val="7"/>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14:paraId="196209F1">
                    <w:pPr>
                      <w:pStyle w:val="7"/>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639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4B824">
                          <w:pPr>
                            <w:pStyle w:val="7"/>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14:paraId="4284B824">
                    <w:pPr>
                      <w:pStyle w:val="7"/>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F9CF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A743F">
                          <w:pPr>
                            <w:pStyle w:val="7"/>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14:paraId="679A743F">
                    <w:pPr>
                      <w:pStyle w:val="7"/>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C62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92108">
                          <w:pPr>
                            <w:pStyle w:val="7"/>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14:paraId="7B592108">
                    <w:pPr>
                      <w:pStyle w:val="7"/>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12DB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29A0D">
                          <w:pPr>
                            <w:pStyle w:val="7"/>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14:paraId="1D529A0D">
                    <w:pPr>
                      <w:pStyle w:val="7"/>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0D08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3CABD">
                          <w:pPr>
                            <w:pStyle w:val="7"/>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14:paraId="5423CABD">
                    <w:pPr>
                      <w:pStyle w:val="7"/>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2031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DE3BE">
                          <w:pPr>
                            <w:pStyle w:val="7"/>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14:paraId="287DE3BE">
                    <w:pPr>
                      <w:pStyle w:val="7"/>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08E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85F9A">
                          <w:pPr>
                            <w:pStyle w:val="7"/>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14:paraId="68485F9A">
                    <w:pPr>
                      <w:pStyle w:val="7"/>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8B40">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13B82">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14:paraId="6E013B82">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776E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EB44F">
                          <w:pPr>
                            <w:pStyle w:val="7"/>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14:paraId="119EB44F">
                    <w:pPr>
                      <w:pStyle w:val="7"/>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968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4E349">
                          <w:pPr>
                            <w:pStyle w:val="7"/>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14:paraId="2994E349">
                    <w:pPr>
                      <w:pStyle w:val="7"/>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9591">
    <w:pPr>
      <w:pStyle w:val="5"/>
      <w:spacing w:line="14" w:lineRule="auto"/>
      <w:rPr>
        <w:rFonts w:hint="default"/>
        <w:sz w:val="2"/>
        <w:lang w:val="en-US"/>
      </w:rPr>
    </w:pPr>
    <w:r>
      <w:rPr>
        <w:sz w:val="2"/>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809E0">
                          <w:pPr>
                            <w:pStyle w:val="7"/>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14:paraId="4C6809E0">
                    <w:pPr>
                      <w:pStyle w:val="7"/>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5CF9">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374C4">
                          <w:pPr>
                            <w:pStyle w:val="7"/>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14:paraId="1B3374C4">
                    <w:pPr>
                      <w:pStyle w:val="7"/>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1BF8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D17B8">
                          <w:pPr>
                            <w:pStyle w:val="7"/>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14:paraId="286D17B8">
                    <w:pPr>
                      <w:pStyle w:val="7"/>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FF07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88A19">
                          <w:pPr>
                            <w:pStyle w:val="7"/>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14:paraId="72588A19">
                    <w:pPr>
                      <w:pStyle w:val="7"/>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679AD">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83428">
                          <w:pPr>
                            <w:pStyle w:val="7"/>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14:paraId="5F483428">
                    <w:pPr>
                      <w:pStyle w:val="7"/>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37488">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D54B6">
                          <w:pPr>
                            <w:pStyle w:val="7"/>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14:paraId="013D54B6">
                    <w:pPr>
                      <w:pStyle w:val="7"/>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DE5D2">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03993">
                          <w:pPr>
                            <w:pStyle w:val="7"/>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14:paraId="04403993">
                    <w:pPr>
                      <w:pStyle w:val="7"/>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B8E51">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72B82">
                          <w:pPr>
                            <w:pStyle w:val="7"/>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14:paraId="77872B82">
                    <w:pPr>
                      <w:pStyle w:val="7"/>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5F3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CC6E">
    <w:pPr>
      <w:pStyle w:val="5"/>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1E62">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6A057"/>
    <w:multiLevelType w:val="singleLevel"/>
    <w:tmpl w:val="9AC6A057"/>
    <w:lvl w:ilvl="0" w:tentative="0">
      <w:start w:val="1"/>
      <w:numFmt w:val="decimal"/>
      <w:lvlText w:val="%1."/>
      <w:lvlJc w:val="left"/>
      <w:pPr>
        <w:tabs>
          <w:tab w:val="left" w:pos="312"/>
        </w:tabs>
      </w:pPr>
    </w:lvl>
  </w:abstractNum>
  <w:abstractNum w:abstractNumId="1">
    <w:nsid w:val="A438508D"/>
    <w:multiLevelType w:val="singleLevel"/>
    <w:tmpl w:val="A438508D"/>
    <w:lvl w:ilvl="0" w:tentative="0">
      <w:start w:val="10"/>
      <w:numFmt w:val="chineseCounting"/>
      <w:suff w:val="nothing"/>
      <w:lvlText w:val="%1、"/>
      <w:lvlJc w:val="left"/>
      <w:rPr>
        <w:rFonts w:hint="eastAsia"/>
      </w:rPr>
    </w:lvl>
  </w:abstractNum>
  <w:abstractNum w:abstractNumId="2">
    <w:nsid w:val="B3FE1153"/>
    <w:multiLevelType w:val="singleLevel"/>
    <w:tmpl w:val="B3FE1153"/>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E1OGFiNGQ3MTJlYjQ0MmU4OGQyZmEwNjA1OGNiYTUifQ=="/>
  </w:docVars>
  <w:rsids>
    <w:rsidRoot w:val="00172A27"/>
    <w:rsid w:val="00DC7C1D"/>
    <w:rsid w:val="016A67D7"/>
    <w:rsid w:val="03771E7F"/>
    <w:rsid w:val="03EF696A"/>
    <w:rsid w:val="04332D4E"/>
    <w:rsid w:val="04DF2FDC"/>
    <w:rsid w:val="04E17011"/>
    <w:rsid w:val="05A21471"/>
    <w:rsid w:val="07B7466A"/>
    <w:rsid w:val="08B90902"/>
    <w:rsid w:val="09CE25DF"/>
    <w:rsid w:val="0C0401A1"/>
    <w:rsid w:val="0D8617F5"/>
    <w:rsid w:val="11636A4C"/>
    <w:rsid w:val="11FB7986"/>
    <w:rsid w:val="12C157E5"/>
    <w:rsid w:val="13155150"/>
    <w:rsid w:val="13E11558"/>
    <w:rsid w:val="14F35FEC"/>
    <w:rsid w:val="18D0290A"/>
    <w:rsid w:val="19666E25"/>
    <w:rsid w:val="1AC64FC0"/>
    <w:rsid w:val="211A030B"/>
    <w:rsid w:val="23F61FD4"/>
    <w:rsid w:val="26617B10"/>
    <w:rsid w:val="27551D07"/>
    <w:rsid w:val="27AF247D"/>
    <w:rsid w:val="29713B4C"/>
    <w:rsid w:val="2A5B2122"/>
    <w:rsid w:val="2B3E237D"/>
    <w:rsid w:val="2BFD0BBD"/>
    <w:rsid w:val="2C0D5E4C"/>
    <w:rsid w:val="2C3C4E9A"/>
    <w:rsid w:val="2CEF1A4A"/>
    <w:rsid w:val="2DA86071"/>
    <w:rsid w:val="2EF05495"/>
    <w:rsid w:val="312608BD"/>
    <w:rsid w:val="346478AD"/>
    <w:rsid w:val="34EA2D01"/>
    <w:rsid w:val="34EA39B0"/>
    <w:rsid w:val="35633E8E"/>
    <w:rsid w:val="37982929"/>
    <w:rsid w:val="3846585A"/>
    <w:rsid w:val="38526AFA"/>
    <w:rsid w:val="385E26EA"/>
    <w:rsid w:val="38DA3888"/>
    <w:rsid w:val="38DF7CCF"/>
    <w:rsid w:val="39071859"/>
    <w:rsid w:val="39C074F5"/>
    <w:rsid w:val="3AB13ECA"/>
    <w:rsid w:val="3CEE1901"/>
    <w:rsid w:val="3EAB5CDE"/>
    <w:rsid w:val="3F283A52"/>
    <w:rsid w:val="3F9A3D6E"/>
    <w:rsid w:val="40050825"/>
    <w:rsid w:val="42CC61E3"/>
    <w:rsid w:val="446213D4"/>
    <w:rsid w:val="447339C1"/>
    <w:rsid w:val="44906321"/>
    <w:rsid w:val="45BF2E99"/>
    <w:rsid w:val="46421419"/>
    <w:rsid w:val="4D9D719E"/>
    <w:rsid w:val="4E141CB4"/>
    <w:rsid w:val="4E46275D"/>
    <w:rsid w:val="4EF456FF"/>
    <w:rsid w:val="50190775"/>
    <w:rsid w:val="50B36F7D"/>
    <w:rsid w:val="50E473FE"/>
    <w:rsid w:val="511B16B0"/>
    <w:rsid w:val="528C7C8F"/>
    <w:rsid w:val="57356118"/>
    <w:rsid w:val="57FC08F2"/>
    <w:rsid w:val="58AE4B70"/>
    <w:rsid w:val="5CB064B0"/>
    <w:rsid w:val="5FB07A28"/>
    <w:rsid w:val="5FED7EEF"/>
    <w:rsid w:val="60861E0C"/>
    <w:rsid w:val="62354D49"/>
    <w:rsid w:val="6409316D"/>
    <w:rsid w:val="64510BFA"/>
    <w:rsid w:val="6569254B"/>
    <w:rsid w:val="65B816F3"/>
    <w:rsid w:val="6640690B"/>
    <w:rsid w:val="69674FF3"/>
    <w:rsid w:val="6A7D55A3"/>
    <w:rsid w:val="6B043599"/>
    <w:rsid w:val="6B587C7E"/>
    <w:rsid w:val="6BAE564F"/>
    <w:rsid w:val="6DA40851"/>
    <w:rsid w:val="6EA43A86"/>
    <w:rsid w:val="740735EA"/>
    <w:rsid w:val="7574140D"/>
    <w:rsid w:val="79BA7BFD"/>
    <w:rsid w:val="7BEB1AB4"/>
    <w:rsid w:val="7CF55598"/>
    <w:rsid w:val="7D765A02"/>
    <w:rsid w:val="7DF2589A"/>
    <w:rsid w:val="7E2F05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qFormat/>
    <w:uiPriority w:val="0"/>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宋体" w:hAnsi="宋体" w:eastAsia="宋体" w:cs="宋体"/>
      <w:sz w:val="21"/>
      <w:szCs w:val="21"/>
      <w:lang w:val="en-US" w:eastAsia="en-US" w:bidi="ar-SA"/>
    </w:rPr>
  </w:style>
  <w:style w:type="paragraph" w:customStyle="1" w:styleId="19">
    <w:name w:val="Normal_11"/>
    <w:qFormat/>
    <w:uiPriority w:val="0"/>
    <w:rPr>
      <w:rFonts w:ascii="Times New Roman" w:hAnsi="Times New Roman" w:eastAsia="Times New Roman" w:cs="Times New Roman"/>
      <w:sz w:val="24"/>
      <w:szCs w:val="24"/>
    </w:rPr>
  </w:style>
  <w:style w:type="paragraph" w:customStyle="1" w:styleId="20">
    <w:name w:val="正文_0_0"/>
    <w:qFormat/>
    <w:uiPriority w:val="0"/>
    <w:pPr>
      <w:widowControl w:val="0"/>
      <w:jc w:val="both"/>
    </w:pPr>
    <w:rPr>
      <w:rFonts w:ascii="Calibri" w:hAnsi="Calibri" w:eastAsia="宋体" w:cs="Times New Roman"/>
      <w:lang w:val="en-US" w:eastAsia="zh-CN" w:bidi="ar-SA"/>
    </w:rPr>
  </w:style>
  <w:style w:type="paragraph" w:customStyle="1" w:styleId="21">
    <w:name w:val="正文_0_0_0"/>
    <w:qFormat/>
    <w:uiPriority w:val="99"/>
    <w:pPr>
      <w:jc w:val="both"/>
    </w:pPr>
    <w:rPr>
      <w:rFonts w:ascii="Times New Roman" w:hAnsi="Times New Roman" w:eastAsia="宋体" w:cs="Times New Roman"/>
      <w:lang w:val="en-US" w:eastAsia="zh-CN" w:bidi="ar-SA"/>
    </w:rPr>
  </w:style>
  <w:style w:type="paragraph" w:customStyle="1" w:styleId="22">
    <w:name w:val="标题 4_0"/>
    <w:basedOn w:val="20"/>
    <w:next w:val="20"/>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23">
    <w:name w:val="Normal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
    <w:name w:val="样式 标题 2 + Times New Roman 四号 非加粗 段前: 5 磅 段后: 0 磅 行距: 固定值 20..."/>
    <w:basedOn w:val="2"/>
    <w:qFormat/>
    <w:uiPriority w:val="0"/>
    <w:pPr>
      <w:spacing w:before="100" w:after="0" w:line="400" w:lineRule="exact"/>
    </w:pPr>
    <w:rPr>
      <w:rFonts w:ascii="Times New Roman" w:hAnsi="Times New Roman" w:cs="宋体"/>
      <w:b w:val="0"/>
      <w:bCs w:val="0"/>
      <w:sz w:val="28"/>
      <w:szCs w:val="20"/>
    </w:rPr>
  </w:style>
  <w:style w:type="paragraph" w:customStyle="1" w:styleId="25">
    <w:name w:val="样式 标题 3 + (中文) 黑体 小四 非加粗 段前: 7.8 磅 段后: 0 磅 行距: 固定值 20 磅"/>
    <w:basedOn w:val="3"/>
    <w:qFormat/>
    <w:uiPriority w:val="0"/>
    <w:pPr>
      <w:spacing w:before="0" w:after="0"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header" Target="header2.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5.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4.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3.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2.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header" Target="header1.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0" Type="http://schemas.openxmlformats.org/officeDocument/2006/relationships/fontTable" Target="fontTable.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numbering" Target="numbering.xml"/><Relationship Id="rId198" Type="http://schemas.openxmlformats.org/officeDocument/2006/relationships/customXml" Target="../customXml/item1.xml"/><Relationship Id="rId197" Type="http://schemas.openxmlformats.org/officeDocument/2006/relationships/image" Target="media/image1.png"/><Relationship Id="rId196" Type="http://schemas.openxmlformats.org/officeDocument/2006/relationships/theme" Target="theme/theme1.xml"/><Relationship Id="rId195" Type="http://schemas.openxmlformats.org/officeDocument/2006/relationships/footer" Target="footer188.xml"/><Relationship Id="rId194" Type="http://schemas.openxmlformats.org/officeDocument/2006/relationships/footer" Target="footer187.xml"/><Relationship Id="rId193" Type="http://schemas.openxmlformats.org/officeDocument/2006/relationships/footer" Target="footer186.xml"/><Relationship Id="rId192" Type="http://schemas.openxmlformats.org/officeDocument/2006/relationships/footer" Target="footer185.xml"/><Relationship Id="rId191" Type="http://schemas.openxmlformats.org/officeDocument/2006/relationships/footer" Target="footer184.xml"/><Relationship Id="rId190" Type="http://schemas.openxmlformats.org/officeDocument/2006/relationships/footer" Target="footer183.xml"/><Relationship Id="rId19" Type="http://schemas.openxmlformats.org/officeDocument/2006/relationships/footer" Target="footer15.xml"/><Relationship Id="rId189" Type="http://schemas.openxmlformats.org/officeDocument/2006/relationships/footer" Target="footer182.xml"/><Relationship Id="rId188" Type="http://schemas.openxmlformats.org/officeDocument/2006/relationships/footer" Target="footer181.xml"/><Relationship Id="rId187" Type="http://schemas.openxmlformats.org/officeDocument/2006/relationships/footer" Target="footer180.xml"/><Relationship Id="rId186" Type="http://schemas.openxmlformats.org/officeDocument/2006/relationships/footer" Target="footer179.xml"/><Relationship Id="rId185" Type="http://schemas.openxmlformats.org/officeDocument/2006/relationships/footer" Target="footer178.xml"/><Relationship Id="rId184" Type="http://schemas.openxmlformats.org/officeDocument/2006/relationships/footer" Target="footer177.xml"/><Relationship Id="rId183" Type="http://schemas.openxmlformats.org/officeDocument/2006/relationships/footer" Target="footer176.xml"/><Relationship Id="rId182" Type="http://schemas.openxmlformats.org/officeDocument/2006/relationships/footer" Target="footer175.xml"/><Relationship Id="rId181" Type="http://schemas.openxmlformats.org/officeDocument/2006/relationships/footer" Target="footer174.xml"/><Relationship Id="rId180" Type="http://schemas.openxmlformats.org/officeDocument/2006/relationships/footer" Target="footer173.xml"/><Relationship Id="rId18" Type="http://schemas.openxmlformats.org/officeDocument/2006/relationships/footer" Target="footer14.xml"/><Relationship Id="rId179" Type="http://schemas.openxmlformats.org/officeDocument/2006/relationships/footer" Target="footer172.xml"/><Relationship Id="rId178" Type="http://schemas.openxmlformats.org/officeDocument/2006/relationships/footer" Target="footer171.xml"/><Relationship Id="rId177" Type="http://schemas.openxmlformats.org/officeDocument/2006/relationships/footer" Target="footer170.xml"/><Relationship Id="rId176" Type="http://schemas.openxmlformats.org/officeDocument/2006/relationships/footer" Target="footer169.xml"/><Relationship Id="rId175" Type="http://schemas.openxmlformats.org/officeDocument/2006/relationships/footer" Target="footer168.xml"/><Relationship Id="rId174" Type="http://schemas.openxmlformats.org/officeDocument/2006/relationships/footer" Target="footer167.xml"/><Relationship Id="rId173" Type="http://schemas.openxmlformats.org/officeDocument/2006/relationships/footer" Target="footer166.xml"/><Relationship Id="rId172" Type="http://schemas.openxmlformats.org/officeDocument/2006/relationships/footer" Target="footer165.xml"/><Relationship Id="rId171" Type="http://schemas.openxmlformats.org/officeDocument/2006/relationships/footer" Target="footer164.xml"/><Relationship Id="rId170" Type="http://schemas.openxmlformats.org/officeDocument/2006/relationships/footer" Target="footer163.xml"/><Relationship Id="rId17" Type="http://schemas.openxmlformats.org/officeDocument/2006/relationships/footer" Target="footer13.xml"/><Relationship Id="rId169" Type="http://schemas.openxmlformats.org/officeDocument/2006/relationships/footer" Target="footer162.xml"/><Relationship Id="rId168" Type="http://schemas.openxmlformats.org/officeDocument/2006/relationships/footer" Target="footer161.xml"/><Relationship Id="rId167" Type="http://schemas.openxmlformats.org/officeDocument/2006/relationships/footer" Target="footer160.xml"/><Relationship Id="rId166" Type="http://schemas.openxmlformats.org/officeDocument/2006/relationships/footer" Target="footer159.xml"/><Relationship Id="rId165" Type="http://schemas.openxmlformats.org/officeDocument/2006/relationships/footer" Target="footer158.xml"/><Relationship Id="rId164" Type="http://schemas.openxmlformats.org/officeDocument/2006/relationships/footer" Target="footer157.xml"/><Relationship Id="rId163" Type="http://schemas.openxmlformats.org/officeDocument/2006/relationships/footer" Target="footer156.xml"/><Relationship Id="rId162" Type="http://schemas.openxmlformats.org/officeDocument/2006/relationships/footer" Target="footer155.xml"/><Relationship Id="rId161" Type="http://schemas.openxmlformats.org/officeDocument/2006/relationships/footer" Target="footer154.xml"/><Relationship Id="rId160" Type="http://schemas.openxmlformats.org/officeDocument/2006/relationships/footer" Target="footer153.xml"/><Relationship Id="rId16" Type="http://schemas.openxmlformats.org/officeDocument/2006/relationships/footer" Target="footer12.xml"/><Relationship Id="rId159" Type="http://schemas.openxmlformats.org/officeDocument/2006/relationships/footer" Target="footer152.xml"/><Relationship Id="rId158" Type="http://schemas.openxmlformats.org/officeDocument/2006/relationships/footer" Target="footer151.xml"/><Relationship Id="rId157" Type="http://schemas.openxmlformats.org/officeDocument/2006/relationships/footer" Target="footer150.xml"/><Relationship Id="rId156" Type="http://schemas.openxmlformats.org/officeDocument/2006/relationships/footer" Target="footer149.xml"/><Relationship Id="rId155" Type="http://schemas.openxmlformats.org/officeDocument/2006/relationships/footer" Target="footer148.xml"/><Relationship Id="rId154" Type="http://schemas.openxmlformats.org/officeDocument/2006/relationships/footer" Target="footer147.xml"/><Relationship Id="rId153" Type="http://schemas.openxmlformats.org/officeDocument/2006/relationships/footer" Target="footer146.xml"/><Relationship Id="rId152" Type="http://schemas.openxmlformats.org/officeDocument/2006/relationships/footer" Target="footer145.xml"/><Relationship Id="rId151" Type="http://schemas.openxmlformats.org/officeDocument/2006/relationships/footer" Target="footer144.xml"/><Relationship Id="rId150" Type="http://schemas.openxmlformats.org/officeDocument/2006/relationships/footer" Target="footer143.xml"/><Relationship Id="rId15" Type="http://schemas.openxmlformats.org/officeDocument/2006/relationships/footer" Target="footer11.xml"/><Relationship Id="rId149" Type="http://schemas.openxmlformats.org/officeDocument/2006/relationships/header" Target="header3.xml"/><Relationship Id="rId148" Type="http://schemas.openxmlformats.org/officeDocument/2006/relationships/footer" Target="footer142.xml"/><Relationship Id="rId147" Type="http://schemas.openxmlformats.org/officeDocument/2006/relationships/footer" Target="footer141.xml"/><Relationship Id="rId146" Type="http://schemas.openxmlformats.org/officeDocument/2006/relationships/footer" Target="footer140.xml"/><Relationship Id="rId145" Type="http://schemas.openxmlformats.org/officeDocument/2006/relationships/footer" Target="footer139.xml"/><Relationship Id="rId144" Type="http://schemas.openxmlformats.org/officeDocument/2006/relationships/footer" Target="footer138.xml"/><Relationship Id="rId143" Type="http://schemas.openxmlformats.org/officeDocument/2006/relationships/footer" Target="footer137.xml"/><Relationship Id="rId142" Type="http://schemas.openxmlformats.org/officeDocument/2006/relationships/footer" Target="footer136.xml"/><Relationship Id="rId141" Type="http://schemas.openxmlformats.org/officeDocument/2006/relationships/footer" Target="footer135.xml"/><Relationship Id="rId140" Type="http://schemas.openxmlformats.org/officeDocument/2006/relationships/footer" Target="footer134.xml"/><Relationship Id="rId14" Type="http://schemas.openxmlformats.org/officeDocument/2006/relationships/footer" Target="footer10.xml"/><Relationship Id="rId139" Type="http://schemas.openxmlformats.org/officeDocument/2006/relationships/footer" Target="footer133.xml"/><Relationship Id="rId138" Type="http://schemas.openxmlformats.org/officeDocument/2006/relationships/footer" Target="footer132.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9.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8.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7.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266</Pages>
  <Words>2091</Words>
  <Characters>2438</Characters>
  <TotalTime>74</TotalTime>
  <ScaleCrop>false</ScaleCrop>
  <LinksUpToDate>false</LinksUpToDate>
  <CharactersWithSpaces>3080</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小艳儿</cp:lastModifiedBy>
  <cp:lastPrinted>2026-05-13T05:56:00Z</cp:lastPrinted>
  <dcterms:modified xsi:type="dcterms:W3CDTF">2026-05-13T07:56:46Z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2052-12.1.0.25865</vt:lpwstr>
  </property>
  <property fmtid="{D5CDD505-2E9C-101B-9397-08002B2CF9AE}" pid="5" name="ICV">
    <vt:lpwstr>EC5BD4312BFB41909AB518C3071DC3A7_13</vt:lpwstr>
  </property>
  <property fmtid="{D5CDD505-2E9C-101B-9397-08002B2CF9AE}" pid="6" name="KSOTemplateDocerSaveRecord">
    <vt:lpwstr>eyJoZGlkIjoiNDRiNmYzMTM0YjgwYTY4YmJjMzcyNGE3Y2U1OTMwZTUiLCJ1c2VySWQiOiI0NjUxODUyNDgifQ==</vt:lpwstr>
  </property>
</Properties>
</file>